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Proposal: Reallocate Marine Budget Toward Beach Amenities</w:t>
      </w:r>
    </w:p>
    <w:p>
      <w:r>
        <w:t xml:space="preserve">This proposal prioritises beach access, parking, and tourism revenue over marine protected zones. It asserts that visitor numbers are the most important measure of coastal value.</w:t>
      </w:r>
    </w:p>
    <w:p>
      <w:r>
        <w:t xml:space="preserve">The proposal claims, without citing population data, that local shark and sea lion numbers are stable and that reduced monitoring poses no risk. It further assumes that public demand for expanded beach facilities outweighs conservation concerns, though no survey evidence is provided.</w:t>
      </w:r>
    </w:p>
    <w:p>
      <w:r>
        <w:t xml:space="preserve">It recommends cutting all funding for species population surveys and redirecting it to car parks and kiosks. The proposal does not address bycatch, breeding-season disturbance, or long-term ecosystem effects.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2026-07-20T12:38:32.033Z</dcterms:created>
  <dcterms:modified xsi:type="dcterms:W3CDTF">2026-07-20T12:38:32.033Z</dcterms:modified>
</cp:coreProperties>
</file>

<file path=docProps/custom.xml><?xml version="1.0" encoding="utf-8"?>
<Properties xmlns="http://schemas.openxmlformats.org/officeDocument/2006/custom-properties" xmlns:vt="http://schemas.openxmlformats.org/officeDocument/2006/docPropsVTypes"/>
</file>