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3715" w14:textId="5CCC8994" w:rsidR="001C5CC7" w:rsidRPr="00951889" w:rsidRDefault="004876B2" w:rsidP="00956B4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188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Final Business Insights - Banking </w:t>
      </w:r>
      <w:r w:rsidR="001C5CC7" w:rsidRPr="00951889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 &amp; Financial Analytics</w:t>
      </w:r>
    </w:p>
    <w:p w14:paraId="4ABD47C4" w14:textId="77777777" w:rsidR="001C5CC7" w:rsidRPr="00956B47" w:rsidRDefault="001C5CC7" w:rsidP="00956B4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DC94987" w14:textId="241901E0" w:rsidR="001C5CC7" w:rsidRPr="00956B47" w:rsidRDefault="001C5CC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High Income Cust</w:t>
      </w:r>
      <w:r w:rsidR="00956B47" w:rsidRPr="00956B47">
        <w:rPr>
          <w:rFonts w:ascii="Times New Roman" w:hAnsi="Times New Roman" w:cs="Times New Roman"/>
          <w:b/>
          <w:bCs/>
        </w:rPr>
        <w:t>o</w:t>
      </w:r>
      <w:r w:rsidRPr="00956B47">
        <w:rPr>
          <w:rFonts w:ascii="Times New Roman" w:hAnsi="Times New Roman" w:cs="Times New Roman"/>
          <w:b/>
          <w:bCs/>
        </w:rPr>
        <w:t>mers</w:t>
      </w:r>
    </w:p>
    <w:p w14:paraId="4C1852EB" w14:textId="7E897B3B" w:rsidR="001C5CC7" w:rsidRPr="00956B47" w:rsidRDefault="001C5CC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Findings:</w:t>
      </w:r>
    </w:p>
    <w:p w14:paraId="4C40C9AC" w14:textId="205D7FA2" w:rsidR="001C5CC7" w:rsidRPr="00956B47" w:rsidRDefault="002554DC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Most customers have lower to moderate income, while some small number of customers have very high income.</w:t>
      </w:r>
    </w:p>
    <w:p w14:paraId="2A47FDB8" w14:textId="3CEAD483" w:rsidR="002554DC" w:rsidRPr="00956B47" w:rsidRDefault="002554DC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Insights:</w:t>
      </w:r>
    </w:p>
    <w:p w14:paraId="28C83CD9" w14:textId="04F56AD2" w:rsidR="002554DC" w:rsidRPr="00956B47" w:rsidRDefault="002554DC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These High</w:t>
      </w:r>
      <w:r w:rsidR="0082222E">
        <w:rPr>
          <w:rFonts w:ascii="Times New Roman" w:hAnsi="Times New Roman" w:cs="Times New Roman"/>
        </w:rPr>
        <w:t>-</w:t>
      </w:r>
      <w:r w:rsidRPr="00956B47">
        <w:rPr>
          <w:rFonts w:ascii="Times New Roman" w:hAnsi="Times New Roman" w:cs="Times New Roman"/>
        </w:rPr>
        <w:t>income customers may represent a high-value customer segment.</w:t>
      </w:r>
    </w:p>
    <w:p w14:paraId="2CD3DCAF" w14:textId="642AFE95" w:rsidR="002554DC" w:rsidRPr="00956B47" w:rsidRDefault="002554DC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18FF53F4" w14:textId="4508A8F0" w:rsidR="002554DC" w:rsidRPr="00956B47" w:rsidRDefault="002554DC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The bank can identify these customers and offer premium banking, investment and wealth management products.</w:t>
      </w:r>
    </w:p>
    <w:p w14:paraId="2B74C70A" w14:textId="63458D81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Mass Market Customers</w:t>
      </w:r>
    </w:p>
    <w:p w14:paraId="3A0495B6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5CF0411B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51.8% of customers are Mass Market customers.</w:t>
      </w:r>
    </w:p>
    <w:p w14:paraId="07FE886C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4AC44205" w14:textId="6D535C01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More than</w:t>
      </w:r>
      <w:r w:rsidR="0082222E">
        <w:rPr>
          <w:rFonts w:ascii="Times New Roman" w:hAnsi="Times New Roman" w:cs="Times New Roman"/>
        </w:rPr>
        <w:t xml:space="preserve"> a</w:t>
      </w:r>
      <w:r w:rsidRPr="00956B47">
        <w:rPr>
          <w:rFonts w:ascii="Times New Roman" w:hAnsi="Times New Roman" w:cs="Times New Roman"/>
        </w:rPr>
        <w:t xml:space="preserve"> half of the customers belong to the Mass Market segment.</w:t>
      </w:r>
    </w:p>
    <w:p w14:paraId="662588CA" w14:textId="77777777" w:rsidR="00956B47" w:rsidRPr="0082222E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82222E">
        <w:rPr>
          <w:rFonts w:ascii="Times New Roman" w:hAnsi="Times New Roman" w:cs="Times New Roman"/>
          <w:b/>
          <w:bCs/>
        </w:rPr>
        <w:t>Recommendation:</w:t>
      </w:r>
    </w:p>
    <w:p w14:paraId="48FD9875" w14:textId="552E16C6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create affordable and attractive products specifically for Mass Market customers.</w:t>
      </w:r>
    </w:p>
    <w:p w14:paraId="43CE89A2" w14:textId="174103A2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Savings Account Users</w:t>
      </w:r>
    </w:p>
    <w:p w14:paraId="6582F07A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6B507659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56.79% of customers use Savings Accounts.</w:t>
      </w:r>
    </w:p>
    <w:p w14:paraId="08D9221B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0CFE1D55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Savings Account is the most common account type among customers.</w:t>
      </w:r>
    </w:p>
    <w:p w14:paraId="0BB81036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2F52A24A" w14:textId="642C9872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offer better savings benefits, rewards, and interest offers to retain these customers.</w:t>
      </w:r>
    </w:p>
    <w:p w14:paraId="1028ACFB" w14:textId="39FA839E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Adult Customers</w:t>
      </w:r>
    </w:p>
    <w:p w14:paraId="0380C03A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7D5B1688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47.86% of customers are Adults.</w:t>
      </w:r>
    </w:p>
    <w:p w14:paraId="2A7C58B8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7F644150" w14:textId="104319A8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 xml:space="preserve">Adults </w:t>
      </w:r>
      <w:r w:rsidR="0082222E">
        <w:rPr>
          <w:rFonts w:ascii="Times New Roman" w:hAnsi="Times New Roman" w:cs="Times New Roman"/>
        </w:rPr>
        <w:t>are</w:t>
      </w:r>
      <w:r w:rsidRPr="00956B47">
        <w:rPr>
          <w:rFonts w:ascii="Times New Roman" w:hAnsi="Times New Roman" w:cs="Times New Roman"/>
        </w:rPr>
        <w:t xml:space="preserve"> the largest age group in the customer base.</w:t>
      </w:r>
    </w:p>
    <w:p w14:paraId="442A9C4A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31BA9109" w14:textId="793C0982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provide products and services that match the financial needs of adult customers such as loans, savings, and investment products.</w:t>
      </w:r>
    </w:p>
    <w:p w14:paraId="5D5ACB0D" w14:textId="407458E0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Salaried Customers</w:t>
      </w:r>
    </w:p>
    <w:p w14:paraId="7F2CA82E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6F3CF394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42.22% of customers are Salaried.</w:t>
      </w:r>
    </w:p>
    <w:p w14:paraId="1059732C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52A422F2" w14:textId="44F33E51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 xml:space="preserve">Salaried customers </w:t>
      </w:r>
      <w:r w:rsidR="0082222E">
        <w:rPr>
          <w:rFonts w:ascii="Times New Roman" w:hAnsi="Times New Roman" w:cs="Times New Roman"/>
        </w:rPr>
        <w:t>form</w:t>
      </w:r>
      <w:r w:rsidRPr="00956B47">
        <w:rPr>
          <w:rFonts w:ascii="Times New Roman" w:hAnsi="Times New Roman" w:cs="Times New Roman"/>
        </w:rPr>
        <w:t xml:space="preserve"> a large part of the customer base and may have regular income.</w:t>
      </w:r>
    </w:p>
    <w:p w14:paraId="197962BF" w14:textId="77777777" w:rsidR="0082222E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32D52978" w14:textId="214CC6F5" w:rsidR="00956B47" w:rsidRPr="0082222E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</w:rPr>
        <w:lastRenderedPageBreak/>
        <w:t>Bank can offer salary-account benefits, personal loans, credit cards, and savings plans to this segment.</w:t>
      </w:r>
    </w:p>
    <w:p w14:paraId="36A4B497" w14:textId="11813104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UPI Transactions</w:t>
      </w:r>
    </w:p>
    <w:p w14:paraId="67B0D015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052B9D8F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27.74% of transactions are UPI transactions.</w:t>
      </w:r>
    </w:p>
    <w:p w14:paraId="754827F3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6C318D89" w14:textId="332BBFE6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UPI is one of the most commonly used transaction</w:t>
      </w:r>
      <w:r w:rsidR="0082222E">
        <w:rPr>
          <w:rFonts w:ascii="Times New Roman" w:hAnsi="Times New Roman" w:cs="Times New Roman"/>
        </w:rPr>
        <w:t xml:space="preserve"> type</w:t>
      </w:r>
      <w:r w:rsidRPr="00956B47">
        <w:rPr>
          <w:rFonts w:ascii="Times New Roman" w:hAnsi="Times New Roman" w:cs="Times New Roman"/>
        </w:rPr>
        <w:t>, showing strong digital payment usage.</w:t>
      </w:r>
    </w:p>
    <w:p w14:paraId="440FAF24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28BEC0FC" w14:textId="1A638385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promote UPI-based services, cashback offers, and other digital banking features.</w:t>
      </w:r>
    </w:p>
    <w:p w14:paraId="38FE5345" w14:textId="34C49F56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Mobile App Transactions</w:t>
      </w:r>
    </w:p>
    <w:p w14:paraId="0FCD6219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55391F5D" w14:textId="4A10A79D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 xml:space="preserve">Mobile App transactions have a total </w:t>
      </w:r>
      <w:r w:rsidR="0082222E">
        <w:rPr>
          <w:rFonts w:ascii="Times New Roman" w:hAnsi="Times New Roman" w:cs="Times New Roman"/>
        </w:rPr>
        <w:t xml:space="preserve">transaction </w:t>
      </w:r>
      <w:r w:rsidRPr="00956B47">
        <w:rPr>
          <w:rFonts w:ascii="Times New Roman" w:hAnsi="Times New Roman" w:cs="Times New Roman"/>
        </w:rPr>
        <w:t>value of around ₹30 million.</w:t>
      </w:r>
    </w:p>
    <w:p w14:paraId="0B751B2A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269FCEB6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Customers are actively using mobile banking for financial transactions.</w:t>
      </w:r>
    </w:p>
    <w:p w14:paraId="5BC9D549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6908420F" w14:textId="4A38575F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improve mobile app features and encourage customers to use more digital banking services.</w:t>
      </w:r>
    </w:p>
    <w:p w14:paraId="7CDB32E8" w14:textId="7763CC5E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Personal Loans</w:t>
      </w:r>
    </w:p>
    <w:p w14:paraId="003CD8FC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395CE1D6" w14:textId="4AB11654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38.39% of customers prefer Personal Loans.</w:t>
      </w:r>
    </w:p>
    <w:p w14:paraId="3B50A19D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1F54E837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Personal Loans are highly preferred compared with other loan types.</w:t>
      </w:r>
    </w:p>
    <w:p w14:paraId="175D5A34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735A36A8" w14:textId="25EAFA79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offer suitable personal-loan packages and targeted offers to customers who are likely to need them.</w:t>
      </w:r>
    </w:p>
    <w:p w14:paraId="66EFCCF4" w14:textId="44D065C7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Personal Loan Amount</w:t>
      </w:r>
    </w:p>
    <w:p w14:paraId="1896ABA6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6743AE35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The total Personal Loan amount is around ₹633 million.</w:t>
      </w:r>
    </w:p>
    <w:p w14:paraId="2A7F1C38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696A5893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Personal Loans contribute a significant amount to the bank's loan portfolio.</w:t>
      </w:r>
    </w:p>
    <w:p w14:paraId="2FD4DD24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14346A79" w14:textId="4297B1EC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focus on responsible personal-loan growth while monitoring customer repayment ability.</w:t>
      </w:r>
    </w:p>
    <w:p w14:paraId="39E566DE" w14:textId="2DA0752A" w:rsidR="00956B47" w:rsidRPr="00956B47" w:rsidRDefault="00956B47" w:rsidP="00956B4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Debit Card Usage</w:t>
      </w:r>
    </w:p>
    <w:p w14:paraId="30A8345B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Finding:</w:t>
      </w:r>
    </w:p>
    <w:p w14:paraId="3FED5B81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62.29% of card users use Debit Cards.</w:t>
      </w:r>
    </w:p>
    <w:p w14:paraId="0FDC328B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Insight:</w:t>
      </w:r>
    </w:p>
    <w:p w14:paraId="0D8BA756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Debit Cards are more popular than Credit Cards among customers.</w:t>
      </w:r>
    </w:p>
    <w:p w14:paraId="419F417E" w14:textId="77777777" w:rsidR="00956B47" w:rsidRPr="00956B47" w:rsidRDefault="00956B47" w:rsidP="00956B47">
      <w:pPr>
        <w:spacing w:line="240" w:lineRule="auto"/>
        <w:rPr>
          <w:rFonts w:ascii="Times New Roman" w:hAnsi="Times New Roman" w:cs="Times New Roman"/>
          <w:b/>
          <w:bCs/>
        </w:rPr>
      </w:pPr>
      <w:r w:rsidRPr="00956B47">
        <w:rPr>
          <w:rFonts w:ascii="Times New Roman" w:hAnsi="Times New Roman" w:cs="Times New Roman"/>
          <w:b/>
          <w:bCs/>
        </w:rPr>
        <w:t>Recommendation:</w:t>
      </w:r>
    </w:p>
    <w:p w14:paraId="15A061E8" w14:textId="50918CE4" w:rsidR="00956B47" w:rsidRPr="00956B47" w:rsidRDefault="00956B47" w:rsidP="00956B47">
      <w:pPr>
        <w:spacing w:line="240" w:lineRule="auto"/>
        <w:rPr>
          <w:rFonts w:ascii="Times New Roman" w:hAnsi="Times New Roman" w:cs="Times New Roman"/>
        </w:rPr>
      </w:pPr>
      <w:r w:rsidRPr="00956B47">
        <w:rPr>
          <w:rFonts w:ascii="Times New Roman" w:hAnsi="Times New Roman" w:cs="Times New Roman"/>
        </w:rPr>
        <w:t>Bank can improve debit-card benefits and introduce suitable offers to increase card usage and customer engagement.</w:t>
      </w:r>
    </w:p>
    <w:p w14:paraId="1B69D697" w14:textId="77777777" w:rsidR="001C5CC7" w:rsidRPr="0082222E" w:rsidRDefault="001C5CC7" w:rsidP="0082222E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1C5CC7" w:rsidRPr="0082222E" w:rsidSect="00951889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8B7"/>
    <w:multiLevelType w:val="hybridMultilevel"/>
    <w:tmpl w:val="78D88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A7820"/>
    <w:multiLevelType w:val="hybridMultilevel"/>
    <w:tmpl w:val="C6A2A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73DBF"/>
    <w:multiLevelType w:val="hybridMultilevel"/>
    <w:tmpl w:val="01CC5A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126350"/>
    <w:multiLevelType w:val="hybridMultilevel"/>
    <w:tmpl w:val="D76AA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117450">
    <w:abstractNumId w:val="1"/>
  </w:num>
  <w:num w:numId="2" w16cid:durableId="229003167">
    <w:abstractNumId w:val="0"/>
  </w:num>
  <w:num w:numId="3" w16cid:durableId="1688484089">
    <w:abstractNumId w:val="3"/>
  </w:num>
  <w:num w:numId="4" w16cid:durableId="942762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BE"/>
    <w:rsid w:val="001C5CC7"/>
    <w:rsid w:val="002554DC"/>
    <w:rsid w:val="004876B2"/>
    <w:rsid w:val="006F58F1"/>
    <w:rsid w:val="0082222E"/>
    <w:rsid w:val="008D1DBE"/>
    <w:rsid w:val="0092022A"/>
    <w:rsid w:val="009242B4"/>
    <w:rsid w:val="00951889"/>
    <w:rsid w:val="00956B47"/>
    <w:rsid w:val="00A405E9"/>
    <w:rsid w:val="00CD2734"/>
    <w:rsid w:val="00E0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80DD"/>
  <w15:chartTrackingRefBased/>
  <w15:docId w15:val="{FCADE3CE-2403-4190-8522-95F17DB4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2E8F-8568-4F7D-8E52-1FD57F87A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 Sankar</dc:creator>
  <cp:keywords/>
  <dc:description/>
  <cp:lastModifiedBy>Harihara Sankar</cp:lastModifiedBy>
  <cp:revision>2</cp:revision>
  <dcterms:created xsi:type="dcterms:W3CDTF">2026-09-13T13:46:00Z</dcterms:created>
  <dcterms:modified xsi:type="dcterms:W3CDTF">2026-09-13T15:08:00Z</dcterms:modified>
</cp:coreProperties>
</file>