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p>
    <w:p>
      <w:pPr>
        <w:spacing w:after="80" w:before="80"/>
        <w:jc w:val="center"/>
      </w:pPr>
      <w:r>
        <w:rPr>
          <w:rFonts w:ascii="Times New Roman" w:cs="Times New Roman" w:eastAsia="Times New Roman" w:hAnsi="Times New Roman"/>
          <w:b/>
          <w:bCs/>
          <w:sz w:val="32"/>
          <w:szCs w:val="32"/>
        </w:rPr>
        <w:t xml:space="preserve">ARTIFICIAL INTELLIGENCE OF THINGS (AIoT):</w:t>
      </w:r>
    </w:p>
    <w:p>
      <w:pPr>
        <w:spacing w:after="80" w:before="80"/>
        <w:jc w:val="center"/>
      </w:pPr>
      <w:r>
        <w:rPr>
          <w:rFonts w:ascii="Times New Roman" w:cs="Times New Roman" w:eastAsia="Times New Roman" w:hAnsi="Times New Roman"/>
          <w:b/>
          <w:bCs/>
          <w:sz w:val="32"/>
          <w:szCs w:val="32"/>
        </w:rPr>
        <w:t xml:space="preserve">AN INTEGRATED ANALYSIS OF ARCHITECTURE,</w:t>
      </w:r>
    </w:p>
    <w:p>
      <w:pPr>
        <w:spacing w:after="80" w:before="80"/>
        <w:jc w:val="center"/>
      </w:pPr>
      <w:r>
        <w:rPr>
          <w:rFonts w:ascii="Times New Roman" w:cs="Times New Roman" w:eastAsia="Times New Roman" w:hAnsi="Times New Roman"/>
          <w:b/>
          <w:bCs/>
          <w:sz w:val="32"/>
          <w:szCs w:val="32"/>
        </w:rPr>
        <w:t xml:space="preserve">APPLICATIONS, AND FUTURE DIRECTIONS</w:t>
      </w:r>
    </w:p>
    <w:p>
      <w:pPr>
        <w:spacing w:after="80" w:before="400"/>
      </w:pPr>
    </w:p>
    <w:p>
      <w:pPr>
        <w:spacing w:after="80" w:before="80"/>
        <w:jc w:val="center"/>
      </w:pPr>
      <w:r>
        <w:rPr>
          <w:rFonts w:ascii="Times New Roman" w:cs="Times New Roman" w:eastAsia="Times New Roman" w:hAnsi="Times New Roman"/>
          <w:i/>
          <w:iCs/>
          <w:sz w:val="24"/>
          <w:szCs w:val="24"/>
        </w:rPr>
        <w:t xml:space="preserve">A Mini Project Report Submitted in Partial Fulfilment</w:t>
      </w:r>
    </w:p>
    <w:p>
      <w:pPr>
        <w:spacing w:after="80" w:before="80"/>
        <w:jc w:val="center"/>
      </w:pPr>
      <w:r>
        <w:rPr>
          <w:rFonts w:ascii="Times New Roman" w:cs="Times New Roman" w:eastAsia="Times New Roman" w:hAnsi="Times New Roman"/>
          <w:i/>
          <w:iCs/>
          <w:sz w:val="24"/>
          <w:szCs w:val="24"/>
        </w:rPr>
        <w:t xml:space="preserve">of the Requirements for the Internship Programme</w:t>
      </w:r>
    </w:p>
    <w:p>
      <w:pPr>
        <w:spacing w:after="80" w:before="400"/>
      </w:pPr>
    </w:p>
    <w:p>
      <w:pPr>
        <w:spacing w:after="80" w:before="80"/>
        <w:jc w:val="center"/>
      </w:pPr>
      <w:r>
        <w:rPr>
          <w:rFonts w:ascii="Times New Roman" w:cs="Times New Roman" w:eastAsia="Times New Roman" w:hAnsi="Times New Roman"/>
          <w:sz w:val="24"/>
          <w:szCs w:val="24"/>
        </w:rPr>
        <w:t xml:space="preserve">Submitted By</w:t>
      </w:r>
    </w:p>
    <w:p>
      <w:pPr>
        <w:spacing w:after="80" w:before="80"/>
        <w:jc w:val="center"/>
      </w:pPr>
      <w:r>
        <w:rPr>
          <w:rFonts w:ascii="Times New Roman" w:cs="Times New Roman" w:eastAsia="Times New Roman" w:hAnsi="Times New Roman"/>
          <w:b/>
          <w:bCs/>
          <w:sz w:val="26"/>
          <w:szCs w:val="26"/>
        </w:rPr>
        <w:t xml:space="preserve">Harinath V</w:t>
      </w:r>
    </w:p>
    <w:p>
      <w:pPr>
        <w:spacing w:after="80" w:before="200"/>
      </w:pPr>
    </w:p>
    <w:p>
      <w:pPr>
        <w:spacing w:after="80" w:before="80"/>
        <w:jc w:val="center"/>
      </w:pPr>
      <w:r>
        <w:rPr>
          <w:rFonts w:ascii="Times New Roman" w:cs="Times New Roman" w:eastAsia="Times New Roman" w:hAnsi="Times New Roman"/>
          <w:sz w:val="24"/>
          <w:szCs w:val="24"/>
        </w:rPr>
        <w:t xml:space="preserve">Internship: CodeAlpha – Internet of Things (IoT)</w:t>
      </w:r>
    </w:p>
    <w:p>
      <w:pPr>
        <w:spacing w:after="80" w:before="80"/>
        <w:jc w:val="center"/>
      </w:pPr>
      <w:r>
        <w:rPr>
          <w:rFonts w:ascii="Times New Roman" w:cs="Times New Roman" w:eastAsia="Times New Roman" w:hAnsi="Times New Roman"/>
          <w:sz w:val="24"/>
          <w:szCs w:val="24"/>
        </w:rPr>
        <w:t xml:space="preserve">Task 4 – Mini Project: IoT Case Study</w:t>
      </w:r>
    </w:p>
    <w:p>
      <w:pPr>
        <w:spacing w:after="80" w:before="80"/>
        <w:jc w:val="center"/>
      </w:pPr>
      <w:r>
        <w:rPr>
          <w:rFonts w:ascii="Times New Roman" w:cs="Times New Roman" w:eastAsia="Times New Roman" w:hAnsi="Times New Roman"/>
          <w:sz w:val="24"/>
          <w:szCs w:val="24"/>
        </w:rPr>
        <w:t xml:space="preserve">June 2026</w:t>
      </w:r>
    </w:p>
    <w:p>
      <w:r>
        <w:br w:type="page"/>
      </w:r>
    </w:p>
    <w:p>
      <w:pPr>
        <w:pStyle w:val="Heading1"/>
        <w:spacing w:after="160" w:before="320"/>
      </w:pPr>
      <w:r>
        <w:rPr>
          <w:rFonts w:ascii="Times New Roman" w:cs="Times New Roman" w:eastAsia="Times New Roman" w:hAnsi="Times New Roman"/>
          <w:b/>
          <w:bCs/>
          <w:sz w:val="28"/>
          <w:szCs w:val="28"/>
        </w:rPr>
        <w:t xml:space="preserve">1. Introduction</w:t>
      </w:r>
    </w:p>
    <w:p>
      <w:pPr>
        <w:spacing w:after="160" w:before="0" w:line="360"/>
        <w:jc w:val="both"/>
      </w:pPr>
      <w:r>
        <w:rPr>
          <w:rFonts w:ascii="Times New Roman" w:cs="Times New Roman" w:eastAsia="Times New Roman" w:hAnsi="Times New Roman"/>
          <w:sz w:val="24"/>
          <w:szCs w:val="24"/>
        </w:rPr>
        <w:t xml:space="preserve">The Internet of Things (IoT) represents a paradigm shift in the way physical devices interact with the digital world. By embedding sensors, microcontrollers, and communication modules into everyday objects — ranging from household appliances to industrial machinery — IoT enables the continuous collection, transmission, and exchange of data across networked environments. Since its conceptual emergence in the late 1990s, IoT has evolved from a niche technological concept into a foundational pillar of modern digital infrastructure, with projections estimating that over 30 billion connected devices will be operational worldwide by 2030.</w:t>
      </w:r>
    </w:p>
    <w:p>
      <w:pPr>
        <w:spacing w:after="160" w:before="0" w:line="360"/>
        <w:jc w:val="both"/>
      </w:pPr>
      <w:r>
        <w:rPr>
          <w:rFonts w:ascii="Times New Roman" w:cs="Times New Roman" w:eastAsia="Times New Roman" w:hAnsi="Times New Roman"/>
          <w:sz w:val="24"/>
          <w:szCs w:val="24"/>
        </w:rPr>
        <w:t xml:space="preserve">Despite its remarkable growth, conventional IoT deployments have historically been confined to the passive roles of data collection and remote monitoring. These systems lacked the cognitive capacity to interpret gathered data autonomously or to derive actionable insights without human oversight. This limitation necessitated a more intelligent approach — one that could bridge the gap between raw data acquisition and intelligent decision-making.</w:t>
      </w:r>
    </w:p>
    <w:p>
      <w:pPr>
        <w:spacing w:after="160" w:before="0" w:line="360"/>
        <w:jc w:val="both"/>
      </w:pPr>
      <w:r>
        <w:rPr>
          <w:rFonts w:ascii="Times New Roman" w:cs="Times New Roman" w:eastAsia="Times New Roman" w:hAnsi="Times New Roman"/>
          <w:sz w:val="24"/>
          <w:szCs w:val="24"/>
        </w:rPr>
        <w:t xml:space="preserve">Artificial Intelligence (AI) addresses this gap by endowing IoT systems with the capacity to analyse complex datasets, recognise patterns, generate predictive models, and execute autonomous actions. The convergence of these two transformative technologies has given rise to what is now widely referred to as the Artificial Intelligence of Things (AIoT) — a framework in which AI functions as the cognitive layer atop the IoT's sensory and communicative infrastructure.</w:t>
      </w:r>
    </w:p>
    <w:p>
      <w:pPr>
        <w:spacing w:after="160" w:before="0" w:line="360"/>
        <w:jc w:val="both"/>
      </w:pPr>
      <w:r>
        <w:rPr>
          <w:rFonts w:ascii="Times New Roman" w:cs="Times New Roman" w:eastAsia="Times New Roman" w:hAnsi="Times New Roman"/>
          <w:sz w:val="24"/>
          <w:szCs w:val="24"/>
        </w:rPr>
        <w:t xml:space="preserve">AIoT is not merely an incremental improvement upon traditional IoT; it constitutes a fundamentally different paradigm in which connected devices are capable of not only sensing their environment but also understanding context, learning from experience, and adapting their behaviour accordingly. This integration is progressively transforming a wide spectrum of industries, including healthcare, precision agriculture, smart manufacturing, autonomous transportation, and urban infrastructure management. The present report provides a comprehensive examination of AIoT, encompassing its layered architecture, real-world applications, key benefits, inherent challenges, and prospective future developments.</w:t>
      </w:r>
    </w:p>
    <w:p>
      <w:pPr>
        <w:pStyle w:val="Heading1"/>
        <w:spacing w:after="160" w:before="320"/>
      </w:pPr>
      <w:r>
        <w:rPr>
          <w:rFonts w:ascii="Times New Roman" w:cs="Times New Roman" w:eastAsia="Times New Roman" w:hAnsi="Times New Roman"/>
          <w:b/>
          <w:bCs/>
          <w:sz w:val="28"/>
          <w:szCs w:val="28"/>
        </w:rPr>
        <w:t xml:space="preserve">2. AIoT Architecture</w:t>
      </w:r>
    </w:p>
    <w:p>
      <w:pPr>
        <w:spacing w:after="160" w:before="0" w:line="360"/>
        <w:jc w:val="both"/>
      </w:pPr>
      <w:r>
        <w:rPr>
          <w:rFonts w:ascii="Times New Roman" w:cs="Times New Roman" w:eastAsia="Times New Roman" w:hAnsi="Times New Roman"/>
          <w:sz w:val="24"/>
          <w:szCs w:val="24"/>
        </w:rPr>
        <w:t xml:space="preserve">The AIoT ecosystem is structured across four interdependent architectural layers, each fulfilling a distinct functional role. Together, these layers form a cohesive pipeline through which raw physical phenomena are transformed into intelligent, actionable outputs.</w:t>
      </w:r>
    </w:p>
    <w:p>
      <w:pPr>
        <w:pStyle w:val="Heading2"/>
        <w:spacing w:after="120" w:before="240"/>
      </w:pPr>
      <w:r>
        <w:rPr>
          <w:rFonts w:ascii="Times New Roman" w:cs="Times New Roman" w:eastAsia="Times New Roman" w:hAnsi="Times New Roman"/>
          <w:b/>
          <w:bCs/>
          <w:sz w:val="24"/>
          <w:szCs w:val="24"/>
        </w:rPr>
        <w:t xml:space="preserve">2.1 Sensing Layer</w:t>
      </w:r>
    </w:p>
    <w:p>
      <w:pPr>
        <w:spacing w:after="160" w:before="0" w:line="360"/>
        <w:jc w:val="both"/>
      </w:pPr>
      <w:r>
        <w:rPr>
          <w:rFonts w:ascii="Times New Roman" w:cs="Times New Roman" w:eastAsia="Times New Roman" w:hAnsi="Times New Roman"/>
          <w:sz w:val="24"/>
          <w:szCs w:val="24"/>
        </w:rPr>
        <w:t xml:space="preserve">The sensing layer constitutes the foundational tier of the AIoT architecture and serves as the primary interface between the physical and digital domains. This layer comprises a diverse array of sensors and transducers responsible for capturing environmental, physiological, and operational data in real time. Common sensing components include temperature and humidity sensors, motion detectors and accelerometers, optical cameras and LiDAR modules, GPS receivers for geospatial tracking, pressure and chemical sensors for industrial monitoring, and biometric sensors for healthcare applications.</w:t>
      </w:r>
    </w:p>
    <w:p>
      <w:pPr>
        <w:spacing w:after="160" w:before="0" w:line="360"/>
        <w:jc w:val="both"/>
      </w:pPr>
      <w:r>
        <w:rPr>
          <w:rFonts w:ascii="Times New Roman" w:cs="Times New Roman" w:eastAsia="Times New Roman" w:hAnsi="Times New Roman"/>
          <w:sz w:val="24"/>
          <w:szCs w:val="24"/>
        </w:rPr>
        <w:t xml:space="preserve">For instance, in a smart agricultural deployment, soil moisture sensors at this layer continuously measure the water content of fields, while satellite-linked GPS modules track the geospatial coordinates of farming equipment. The quality, resolution, and frequency of data captured at this layer directly determine the effectiveness of subsequent AI processing.</w:t>
      </w:r>
    </w:p>
    <w:p>
      <w:pPr>
        <w:pStyle w:val="Heading2"/>
        <w:spacing w:after="120" w:before="240"/>
      </w:pPr>
      <w:r>
        <w:rPr>
          <w:rFonts w:ascii="Times New Roman" w:cs="Times New Roman" w:eastAsia="Times New Roman" w:hAnsi="Times New Roman"/>
          <w:b/>
          <w:bCs/>
          <w:sz w:val="24"/>
          <w:szCs w:val="24"/>
        </w:rPr>
        <w:t xml:space="preserve">2.2 Communication Layer</w:t>
      </w:r>
    </w:p>
    <w:p>
      <w:pPr>
        <w:spacing w:after="160" w:before="0" w:line="360"/>
        <w:jc w:val="both"/>
      </w:pPr>
      <w:r>
        <w:rPr>
          <w:rFonts w:ascii="Times New Roman" w:cs="Times New Roman" w:eastAsia="Times New Roman" w:hAnsi="Times New Roman"/>
          <w:sz w:val="24"/>
          <w:szCs w:val="24"/>
        </w:rPr>
        <w:t xml:space="preserve">Once data has been collected, it must be transmitted reliably and efficiently to processing nodes. The communication layer governs this transmission through a variety of wireless and wired protocols, selected according to the requirements of range, bandwidth, power consumption, and latency.</w:t>
      </w:r>
    </w:p>
    <w:p>
      <w:pPr>
        <w:spacing w:after="160" w:before="0" w:line="360"/>
        <w:jc w:val="both"/>
      </w:pPr>
      <w:r>
        <w:rPr>
          <w:rFonts w:ascii="Times New Roman" w:cs="Times New Roman" w:eastAsia="Times New Roman" w:hAnsi="Times New Roman"/>
          <w:sz w:val="24"/>
          <w:szCs w:val="24"/>
        </w:rPr>
        <w:t xml:space="preserve">Widely adopted protocols include Wi-Fi for high-throughput, short-range communication in indoor environments; Bluetooth and Bluetooth Low Energy (BLE) for personal area networks and wearable devices; ZigBee for low-power mesh networking in smart home ecosystems; MQTT (Message Queuing Telemetry Transport), a lightweight publish-subscribe protocol optimised for constrained IoT devices; and LoRaWAN (Long Range Wide Area Network) for low-power, long-distance data transmission in rural or large-scale deployments. The selection of an appropriate communication protocol is critical to ensuring system efficiency, particularly in resource-constrained environments where battery life and bandwidth are limiting factors.</w:t>
      </w:r>
    </w:p>
    <w:p>
      <w:pPr>
        <w:pStyle w:val="Heading2"/>
        <w:spacing w:after="120" w:before="240"/>
      </w:pPr>
      <w:r>
        <w:rPr>
          <w:rFonts w:ascii="Times New Roman" w:cs="Times New Roman" w:eastAsia="Times New Roman" w:hAnsi="Times New Roman"/>
          <w:b/>
          <w:bCs/>
          <w:sz w:val="24"/>
          <w:szCs w:val="24"/>
        </w:rPr>
        <w:t xml:space="preserve">2.3 Processing Layer</w:t>
      </w:r>
    </w:p>
    <w:p>
      <w:pPr>
        <w:spacing w:after="160" w:before="0" w:line="360"/>
        <w:jc w:val="both"/>
      </w:pPr>
      <w:r>
        <w:rPr>
          <w:rFonts w:ascii="Times New Roman" w:cs="Times New Roman" w:eastAsia="Times New Roman" w:hAnsi="Times New Roman"/>
          <w:sz w:val="24"/>
          <w:szCs w:val="24"/>
        </w:rPr>
        <w:t xml:space="preserve">The processing layer is where AIoT's distinguishing intelligence resides. Data received from the communication layer is subjected to analysis, classification, and inference using a combination of edge computing, cloud computing, and AI algorithms. Edge computing enables low-latency processing by performing computations locally on or near the device itself, which is particularly advantageous in time-critical applications such as autonomous vehicles or real-time industrial monitoring. Cloud computing, by contrast, provides scalable storage and computational resources for handling large-scale, non-time-sensitive analytical workloads.</w:t>
      </w:r>
    </w:p>
    <w:p>
      <w:pPr>
        <w:spacing w:after="160" w:before="0" w:line="360"/>
        <w:jc w:val="both"/>
      </w:pPr>
      <w:r>
        <w:rPr>
          <w:rFonts w:ascii="Times New Roman" w:cs="Times New Roman" w:eastAsia="Times New Roman" w:hAnsi="Times New Roman"/>
          <w:sz w:val="24"/>
          <w:szCs w:val="24"/>
        </w:rPr>
        <w:t xml:space="preserve">AI techniques employed at this layer include supervised and unsupervised machine learning for pattern recognition, deep neural networks for image and speech processing, natural language processing for human-machine interaction, and reinforcement learning for adaptive control systems. This intelligent processing transforms raw data streams into structured, meaningful insights that drive automated responses.</w:t>
      </w:r>
    </w:p>
    <w:p>
      <w:pPr>
        <w:pStyle w:val="Heading2"/>
        <w:spacing w:after="120" w:before="240"/>
      </w:pPr>
      <w:r>
        <w:rPr>
          <w:rFonts w:ascii="Times New Roman" w:cs="Times New Roman" w:eastAsia="Times New Roman" w:hAnsi="Times New Roman"/>
          <w:b/>
          <w:bCs/>
          <w:sz w:val="24"/>
          <w:szCs w:val="24"/>
        </w:rPr>
        <w:t xml:space="preserve">2.4 Application Layer</w:t>
      </w:r>
    </w:p>
    <w:p>
      <w:pPr>
        <w:spacing w:after="160" w:before="0" w:line="360"/>
        <w:jc w:val="both"/>
      </w:pPr>
      <w:r>
        <w:rPr>
          <w:rFonts w:ascii="Times New Roman" w:cs="Times New Roman" w:eastAsia="Times New Roman" w:hAnsi="Times New Roman"/>
          <w:sz w:val="24"/>
          <w:szCs w:val="24"/>
        </w:rPr>
        <w:t xml:space="preserve">The application layer represents the point at which AIoT outputs are translated into tangible value for end users. This layer encompasses the software platforms, dashboards, and interfaces through which processed information is presented, monitored, and acted upon. Applications span a broad spectrum, from consumer-oriented systems such as smart home automation platforms to enterprise-grade solutions for industrial process control, healthcare management, and municipal infrastructure oversight. The application layer also encompasses APIs and integration frameworks that allow AIoT systems to interface with existing enterprise software ecosystems.</w:t>
      </w:r>
    </w:p>
    <w:p>
      <w:r>
        <w:br w:type="page"/>
      </w:r>
    </w:p>
    <w:p>
      <w:pPr>
        <w:pStyle w:val="Heading1"/>
        <w:spacing w:after="160" w:before="320"/>
      </w:pPr>
      <w:r>
        <w:rPr>
          <w:rFonts w:ascii="Times New Roman" w:cs="Times New Roman" w:eastAsia="Times New Roman" w:hAnsi="Times New Roman"/>
          <w:b/>
          <w:bCs/>
          <w:sz w:val="28"/>
          <w:szCs w:val="28"/>
        </w:rPr>
        <w:t xml:space="preserve">3. Real-World Applications of AIoT</w:t>
      </w:r>
    </w:p>
    <w:p>
      <w:pPr>
        <w:spacing w:after="160" w:before="0" w:line="360"/>
        <w:jc w:val="both"/>
      </w:pPr>
      <w:r>
        <w:rPr>
          <w:rFonts w:ascii="Times New Roman" w:cs="Times New Roman" w:eastAsia="Times New Roman" w:hAnsi="Times New Roman"/>
          <w:sz w:val="24"/>
          <w:szCs w:val="24"/>
        </w:rPr>
        <w:t xml:space="preserve">The practical deployment of AIoT spans a wide array of sectors, each leveraging the technology's capabilities to address domain-specific challenges. The following subsections examine four of the most prominent application domains in detail.</w:t>
      </w:r>
    </w:p>
    <w:p>
      <w:pPr>
        <w:pStyle w:val="Heading2"/>
        <w:spacing w:after="120" w:before="240"/>
      </w:pPr>
      <w:r>
        <w:rPr>
          <w:rFonts w:ascii="Times New Roman" w:cs="Times New Roman" w:eastAsia="Times New Roman" w:hAnsi="Times New Roman"/>
          <w:b/>
          <w:bCs/>
          <w:sz w:val="24"/>
          <w:szCs w:val="24"/>
        </w:rPr>
        <w:t xml:space="preserve">3.1 Smart Agriculture</w:t>
      </w:r>
    </w:p>
    <w:p>
      <w:pPr>
        <w:spacing w:after="160" w:before="0" w:line="360"/>
        <w:jc w:val="both"/>
      </w:pPr>
      <w:r>
        <w:rPr>
          <w:rFonts w:ascii="Times New Roman" w:cs="Times New Roman" w:eastAsia="Times New Roman" w:hAnsi="Times New Roman"/>
          <w:sz w:val="24"/>
          <w:szCs w:val="24"/>
        </w:rPr>
        <w:t xml:space="preserve">Agriculture stands as one of the sectors most profoundly impacted by AIoT, given its inherent reliance on environmental monitoring and resource management. Traditional farming practices have long been constrained by inefficiencies stemming from imprecise irrigation, delayed disease detection, and suboptimal resource allocation. AIoT addresses these challenges by deploying sensor networks across agricultural fields to continuously monitor soil moisture levels, ambient temperature and humidity, light intensity, and nutrient concentrations.</w:t>
      </w:r>
    </w:p>
    <w:p>
      <w:pPr>
        <w:spacing w:after="160" w:before="0" w:line="360"/>
        <w:jc w:val="both"/>
      </w:pPr>
      <w:r>
        <w:rPr>
          <w:rFonts w:ascii="Times New Roman" w:cs="Times New Roman" w:eastAsia="Times New Roman" w:hAnsi="Times New Roman"/>
          <w:sz w:val="24"/>
          <w:szCs w:val="24"/>
        </w:rPr>
        <w:t xml:space="preserve">AI algorithms process these multi-dimensional data streams to generate crop health assessments, irrigation schedules, and yield predictions. For example, machine learning models trained on historical crop data can identify early visual indicators of fungal disease through image recognition, enabling targeted intervention before large-scale infestation occurs. Furthermore, AI-driven irrigation controllers can dynamically adjust water delivery based on real-time soil moisture readings and weather forecasts, significantly reducing water consumption without compromising crop yield. Studies in precision agriculture have reported water savings of up to 30% and yield improvements of 15–20% in AIoT-enabled farms compared to conventional counterparts.</w:t>
      </w:r>
    </w:p>
    <w:p>
      <w:pPr>
        <w:pStyle w:val="Heading2"/>
        <w:spacing w:after="120" w:before="240"/>
      </w:pPr>
      <w:r>
        <w:rPr>
          <w:rFonts w:ascii="Times New Roman" w:cs="Times New Roman" w:eastAsia="Times New Roman" w:hAnsi="Times New Roman"/>
          <w:b/>
          <w:bCs/>
          <w:sz w:val="24"/>
          <w:szCs w:val="24"/>
        </w:rPr>
        <w:t xml:space="preserve">3.2 Smart Healthcare</w:t>
      </w:r>
    </w:p>
    <w:p>
      <w:pPr>
        <w:spacing w:after="160" w:before="0" w:line="360"/>
        <w:jc w:val="both"/>
      </w:pPr>
      <w:r>
        <w:rPr>
          <w:rFonts w:ascii="Times New Roman" w:cs="Times New Roman" w:eastAsia="Times New Roman" w:hAnsi="Times New Roman"/>
          <w:sz w:val="24"/>
          <w:szCs w:val="24"/>
        </w:rPr>
        <w:t xml:space="preserve">The integration of AIoT within healthcare systems is enabling a fundamental transition from reactive, episodic care models to proactive, continuous health management. Wearable devices — such as smartwatches, biosensor patches, and implantable monitors — constitute the sensing layer of healthcare AIoT, continuously capturing physiological parameters including heart rate, blood pressure, blood oxygen saturation (SpO2), electrocardiographic (ECG) signals, and glucose levels.</w:t>
      </w:r>
    </w:p>
    <w:p>
      <w:pPr>
        <w:spacing w:after="160" w:before="0" w:line="360"/>
        <w:jc w:val="both"/>
      </w:pPr>
      <w:r>
        <w:rPr>
          <w:rFonts w:ascii="Times New Roman" w:cs="Times New Roman" w:eastAsia="Times New Roman" w:hAnsi="Times New Roman"/>
          <w:sz w:val="24"/>
          <w:szCs w:val="24"/>
        </w:rPr>
        <w:t xml:space="preserve">The data streams generated by these devices are transmitted in real time to cloud-based AI platforms, which apply predictive analytics and anomaly detection algorithms to identify deviations from established health baselines. For instance, AI models deployed in cardiac monitoring systems can detect early signatures of atrial fibrillation or congestive heart failure with high sensitivity, triggering immediate alerts to medical personnel or emergency services. This remote patient monitoring capability is particularly transformative for ageing populations and patients in geographically underserved areas, reducing unnecessary hospital admissions and enabling more timely clinical intervention. During the COVID-19 pandemic, AIoT-enabled remote monitoring platforms played a pivotal role in managing patient care outside of overwhelmed hospital environments.</w:t>
      </w:r>
    </w:p>
    <w:p>
      <w:pPr>
        <w:pStyle w:val="Heading2"/>
        <w:spacing w:after="120" w:before="240"/>
      </w:pPr>
      <w:r>
        <w:rPr>
          <w:rFonts w:ascii="Times New Roman" w:cs="Times New Roman" w:eastAsia="Times New Roman" w:hAnsi="Times New Roman"/>
          <w:b/>
          <w:bCs/>
          <w:sz w:val="24"/>
          <w:szCs w:val="24"/>
        </w:rPr>
        <w:t xml:space="preserve">3.3 Smart Manufacturing and Industry 4.0</w:t>
      </w:r>
    </w:p>
    <w:p>
      <w:pPr>
        <w:spacing w:after="160" w:before="0" w:line="360"/>
        <w:jc w:val="both"/>
      </w:pPr>
      <w:r>
        <w:rPr>
          <w:rFonts w:ascii="Times New Roman" w:cs="Times New Roman" w:eastAsia="Times New Roman" w:hAnsi="Times New Roman"/>
          <w:sz w:val="24"/>
          <w:szCs w:val="24"/>
        </w:rPr>
        <w:t xml:space="preserve">The manufacturing sector has embraced AIoT as a core enabler of Industry 4.0 — the fourth industrial revolution characterised by cyber-physical systems, automation, and data exchange. In this context, AIoT facilitates three principal capabilities: predictive maintenance, quality inspection, and production optimisation.</w:t>
      </w:r>
    </w:p>
    <w:p>
      <w:pPr>
        <w:spacing w:after="160" w:before="0" w:line="360"/>
        <w:jc w:val="both"/>
      </w:pPr>
      <w:r>
        <w:rPr>
          <w:rFonts w:ascii="Times New Roman" w:cs="Times New Roman" w:eastAsia="Times New Roman" w:hAnsi="Times New Roman"/>
          <w:sz w:val="24"/>
          <w:szCs w:val="24"/>
        </w:rPr>
        <w:t xml:space="preserve">Predictive maintenance leverages sensor data from machinery — including vibration signatures, thermal profiles, and acoustic emissions — to identify the early onset of component degradation. AI models trained on failure history can predict equipment failure with sufficient lead time to schedule maintenance proactively, thereby avoiding costly unplanned downtime. Bosch and Siemens, among other industrial leaders, have reported reductions in unplanned downtime of over 30% through the deployment of predictive maintenance AIoT systems. Quality inspection employs computer vision and deep learning to detect manufacturing defects at speeds and accuracies that far exceed human capability, while production monitoring platforms dynamically optimise line throughput based on real-time operational data.</w:t>
      </w:r>
    </w:p>
    <w:p>
      <w:pPr>
        <w:pStyle w:val="Heading2"/>
        <w:spacing w:after="120" w:before="240"/>
      </w:pPr>
      <w:r>
        <w:rPr>
          <w:rFonts w:ascii="Times New Roman" w:cs="Times New Roman" w:eastAsia="Times New Roman" w:hAnsi="Times New Roman"/>
          <w:b/>
          <w:bCs/>
          <w:sz w:val="24"/>
          <w:szCs w:val="24"/>
        </w:rPr>
        <w:t xml:space="preserve">3.4 Smart Cities</w:t>
      </w:r>
    </w:p>
    <w:p>
      <w:pPr>
        <w:spacing w:after="160" w:before="0" w:line="360"/>
        <w:jc w:val="both"/>
      </w:pPr>
      <w:r>
        <w:rPr>
          <w:rFonts w:ascii="Times New Roman" w:cs="Times New Roman" w:eastAsia="Times New Roman" w:hAnsi="Times New Roman"/>
          <w:sz w:val="24"/>
          <w:szCs w:val="24"/>
        </w:rPr>
        <w:t xml:space="preserve">The smart city concept envisions urban environments in which infrastructure, services, and governance are dynamically optimised through interconnected data systems. AIoT provides the intelligence layer that makes this vision operationally viable. Traffic management systems equipped with computer vision analyse vehicle density at intersections in real time, enabling adaptive signal timing that reduces congestion and emissions. Smart parking solutions use sensor grids to direct drivers to available spaces, diminishing the environmental and economic costs associated with circuitous parking behaviour.</w:t>
      </w:r>
    </w:p>
    <w:p>
      <w:pPr>
        <w:spacing w:after="160" w:before="0" w:line="360"/>
        <w:jc w:val="both"/>
      </w:pPr>
      <w:r>
        <w:rPr>
          <w:rFonts w:ascii="Times New Roman" w:cs="Times New Roman" w:eastAsia="Times New Roman" w:hAnsi="Times New Roman"/>
          <w:sz w:val="24"/>
          <w:szCs w:val="24"/>
        </w:rPr>
        <w:t xml:space="preserve">Smart lighting systems adjust illumination intensity based on ambient light levels and pedestrian activity, reducing municipal energy expenditure. Waste management platforms deploy fill-level sensors in refuse bins and apply route-optimisation algorithms to minimise collection vehicle fuel consumption. Perhaps most significantly, integrated public safety platforms correlate data from surveillance cameras, acoustic sensors, and emergency service logs to enable more responsive and efficient policing and emergency management.</w:t>
      </w:r>
    </w:p>
    <w:p>
      <w:r>
        <w:br w:type="page"/>
      </w:r>
    </w:p>
    <w:p>
      <w:pPr>
        <w:pStyle w:val="Heading1"/>
        <w:spacing w:after="160" w:before="320"/>
      </w:pPr>
      <w:r>
        <w:rPr>
          <w:rFonts w:ascii="Times New Roman" w:cs="Times New Roman" w:eastAsia="Times New Roman" w:hAnsi="Times New Roman"/>
          <w:b/>
          <w:bCs/>
          <w:sz w:val="28"/>
          <w:szCs w:val="28"/>
        </w:rPr>
        <w:t xml:space="preserve">4. Key Benefits of AIoT Integration</w:t>
      </w:r>
    </w:p>
    <w:p>
      <w:pPr>
        <w:spacing w:after="160" w:before="0" w:line="360"/>
        <w:jc w:val="both"/>
      </w:pPr>
      <w:r>
        <w:rPr>
          <w:rFonts w:ascii="Times New Roman" w:cs="Times New Roman" w:eastAsia="Times New Roman" w:hAnsi="Times New Roman"/>
          <w:sz w:val="24"/>
          <w:szCs w:val="24"/>
        </w:rPr>
        <w:t xml:space="preserve">The convergence of AI and IoT yields a synergistic set of benefits that neither technology could individually achieve. The table below provides a structured overview of the primary benefits alongside comprehensive descriptions of each.</w:t>
      </w:r>
    </w:p>
    <w:p>
      <w:pPr>
        <w:spacing w:after="120" w:before="10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rPr>
          <w:tblHeader/>
        </w:trPr>
        <w:tc>
          <w:tcPr>
            <w:tcW w:type="dxa" w:w="2600"/>
            <w:tcBorders>
              <w:top w:val="single" w:color="999999" w:sz="1"/>
              <w:left w:val="single" w:color="999999" w:sz="1"/>
              <w:bottom w:val="single" w:color="999999" w:sz="1"/>
              <w:right w:val="single" w:color="999999" w:sz="1"/>
            </w:tcBorders>
            <w:shd w:fill="2E4057"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Benefit</w:t>
            </w:r>
          </w:p>
        </w:tc>
        <w:tc>
          <w:tcPr>
            <w:tcW w:type="dxa" w:w="6360"/>
            <w:tcBorders>
              <w:top w:val="single" w:color="999999" w:sz="1"/>
              <w:left w:val="single" w:color="999999" w:sz="1"/>
              <w:bottom w:val="single" w:color="999999" w:sz="1"/>
              <w:right w:val="single" w:color="999999" w:sz="1"/>
            </w:tcBorders>
            <w:shd w:fill="2E4057"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600"/>
            <w:tcBorders>
              <w:top w:val="single" w:color="999999" w:sz="1"/>
              <w:left w:val="single" w:color="999999" w:sz="1"/>
              <w:bottom w:val="single" w:color="999999" w:sz="1"/>
              <w:right w:val="single" w:color="999999" w:sz="1"/>
            </w:tcBorders>
            <w:shd w:fill="EEF2F7" w:val="clear"/>
            <w:tcMar>
              <w:top w:type="dxa" w:w="100"/>
              <w:left w:type="dxa" w:w="120"/>
              <w:bottom w:type="dxa" w:w="100"/>
              <w:right w:type="dxa" w:w="120"/>
            </w:tcMar>
            <w:vAlign w:val="center"/>
          </w:tcPr>
          <w:p>
            <w:pPr>
              <w:jc w:val="both"/>
            </w:pPr>
            <w:r>
              <w:rPr>
                <w:rFonts w:ascii="Times New Roman" w:cs="Times New Roman" w:eastAsia="Times New Roman" w:hAnsi="Times New Roman"/>
                <w:sz w:val="22"/>
                <w:szCs w:val="22"/>
              </w:rPr>
              <w:t xml:space="preserve">Automation</w:t>
            </w:r>
          </w:p>
        </w:tc>
        <w:tc>
          <w:tcPr>
            <w:tcW w:type="dxa" w:w="6360"/>
            <w:tcBorders>
              <w:top w:val="single" w:color="999999" w:sz="1"/>
              <w:left w:val="single" w:color="999999" w:sz="1"/>
              <w:bottom w:val="single" w:color="999999" w:sz="1"/>
              <w:right w:val="single" w:color="999999" w:sz="1"/>
            </w:tcBorders>
            <w:shd w:fill="EEF2F7" w:val="clear"/>
            <w:tcMar>
              <w:top w:type="dxa" w:w="100"/>
              <w:left w:type="dxa" w:w="120"/>
              <w:bottom w:type="dxa" w:w="100"/>
              <w:right w:type="dxa" w:w="120"/>
            </w:tcMar>
            <w:vAlign w:val="center"/>
          </w:tcPr>
          <w:p>
            <w:pPr>
              <w:jc w:val="both"/>
            </w:pPr>
            <w:r>
              <w:rPr>
                <w:rFonts w:ascii="Times New Roman" w:cs="Times New Roman" w:eastAsia="Times New Roman" w:hAnsi="Times New Roman"/>
                <w:sz w:val="22"/>
                <w:szCs w:val="22"/>
              </w:rPr>
              <w:t xml:space="preserve">AIoT significantly reduces the need for human intervention by enabling machines to execute routine and complex tasks autonomously, thereby minimising operational errors and improving consistency.</w:t>
            </w:r>
          </w:p>
        </w:tc>
      </w:tr>
      <w:tr>
        <w:tc>
          <w:tcPr>
            <w:tcW w:type="dxa" w:w="260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vAlign w:val="center"/>
          </w:tcPr>
          <w:p>
            <w:pPr>
              <w:jc w:val="both"/>
            </w:pPr>
            <w:r>
              <w:rPr>
                <w:rFonts w:ascii="Times New Roman" w:cs="Times New Roman" w:eastAsia="Times New Roman" w:hAnsi="Times New Roman"/>
                <w:sz w:val="22"/>
                <w:szCs w:val="22"/>
              </w:rPr>
              <w:t xml:space="preserve">Real-Time Decision Making</w:t>
            </w:r>
          </w:p>
        </w:tc>
        <w:tc>
          <w:tcPr>
            <w:tcW w:type="dxa" w:w="636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vAlign w:val="center"/>
          </w:tcPr>
          <w:p>
            <w:pPr>
              <w:jc w:val="both"/>
            </w:pPr>
            <w:r>
              <w:rPr>
                <w:rFonts w:ascii="Times New Roman" w:cs="Times New Roman" w:eastAsia="Times New Roman" w:hAnsi="Times New Roman"/>
                <w:sz w:val="22"/>
                <w:szCs w:val="22"/>
              </w:rPr>
              <w:t xml:space="preserve">By processing data at or near the source (edge computing), AIoT systems can respond to environmental changes within milliseconds — critical in applications such as autonomous vehicles and industrial safety systems.</w:t>
            </w:r>
          </w:p>
        </w:tc>
      </w:tr>
      <w:tr>
        <w:tc>
          <w:tcPr>
            <w:tcW w:type="dxa" w:w="2600"/>
            <w:tcBorders>
              <w:top w:val="single" w:color="999999" w:sz="1"/>
              <w:left w:val="single" w:color="999999" w:sz="1"/>
              <w:bottom w:val="single" w:color="999999" w:sz="1"/>
              <w:right w:val="single" w:color="999999" w:sz="1"/>
            </w:tcBorders>
            <w:shd w:fill="EEF2F7" w:val="clear"/>
            <w:tcMar>
              <w:top w:type="dxa" w:w="100"/>
              <w:left w:type="dxa" w:w="120"/>
              <w:bottom w:type="dxa" w:w="100"/>
              <w:right w:type="dxa" w:w="120"/>
            </w:tcMar>
            <w:vAlign w:val="center"/>
          </w:tcPr>
          <w:p>
            <w:pPr>
              <w:jc w:val="both"/>
            </w:pPr>
            <w:r>
              <w:rPr>
                <w:rFonts w:ascii="Times New Roman" w:cs="Times New Roman" w:eastAsia="Times New Roman" w:hAnsi="Times New Roman"/>
                <w:sz w:val="22"/>
                <w:szCs w:val="22"/>
              </w:rPr>
              <w:t xml:space="preserve">Predictive Analytics</w:t>
            </w:r>
          </w:p>
        </w:tc>
        <w:tc>
          <w:tcPr>
            <w:tcW w:type="dxa" w:w="6360"/>
            <w:tcBorders>
              <w:top w:val="single" w:color="999999" w:sz="1"/>
              <w:left w:val="single" w:color="999999" w:sz="1"/>
              <w:bottom w:val="single" w:color="999999" w:sz="1"/>
              <w:right w:val="single" w:color="999999" w:sz="1"/>
            </w:tcBorders>
            <w:shd w:fill="EEF2F7" w:val="clear"/>
            <w:tcMar>
              <w:top w:type="dxa" w:w="100"/>
              <w:left w:type="dxa" w:w="120"/>
              <w:bottom w:type="dxa" w:w="100"/>
              <w:right w:type="dxa" w:w="120"/>
            </w:tcMar>
            <w:vAlign w:val="center"/>
          </w:tcPr>
          <w:p>
            <w:pPr>
              <w:jc w:val="both"/>
            </w:pPr>
            <w:r>
              <w:rPr>
                <w:rFonts w:ascii="Times New Roman" w:cs="Times New Roman" w:eastAsia="Times New Roman" w:hAnsi="Times New Roman"/>
                <w:sz w:val="22"/>
                <w:szCs w:val="22"/>
              </w:rPr>
              <w:t xml:space="preserve">Machine learning models embedded within AIoT systems analyse historical and real-time data to forecast potential failures, anomalies, or opportunities, enabling pre-emptive corrective actions.</w:t>
            </w:r>
          </w:p>
        </w:tc>
      </w:tr>
      <w:tr>
        <w:tc>
          <w:tcPr>
            <w:tcW w:type="dxa" w:w="260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vAlign w:val="center"/>
          </w:tcPr>
          <w:p>
            <w:pPr>
              <w:jc w:val="both"/>
            </w:pPr>
            <w:r>
              <w:rPr>
                <w:rFonts w:ascii="Times New Roman" w:cs="Times New Roman" w:eastAsia="Times New Roman" w:hAnsi="Times New Roman"/>
                <w:sz w:val="22"/>
                <w:szCs w:val="22"/>
              </w:rPr>
              <w:t xml:space="preserve">Cost Reduction</w:t>
            </w:r>
          </w:p>
        </w:tc>
        <w:tc>
          <w:tcPr>
            <w:tcW w:type="dxa" w:w="636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vAlign w:val="center"/>
          </w:tcPr>
          <w:p>
            <w:pPr>
              <w:jc w:val="both"/>
            </w:pPr>
            <w:r>
              <w:rPr>
                <w:rFonts w:ascii="Times New Roman" w:cs="Times New Roman" w:eastAsia="Times New Roman" w:hAnsi="Times New Roman"/>
                <w:sz w:val="22"/>
                <w:szCs w:val="22"/>
              </w:rPr>
              <w:t xml:space="preserve">Streamlined operations, reduced manual labour, and minimised equipment downtime collectively contribute to significant reductions in both capital and operational expenditure.</w:t>
            </w:r>
          </w:p>
        </w:tc>
      </w:tr>
      <w:tr>
        <w:tc>
          <w:tcPr>
            <w:tcW w:type="dxa" w:w="2600"/>
            <w:tcBorders>
              <w:top w:val="single" w:color="999999" w:sz="1"/>
              <w:left w:val="single" w:color="999999" w:sz="1"/>
              <w:bottom w:val="single" w:color="999999" w:sz="1"/>
              <w:right w:val="single" w:color="999999" w:sz="1"/>
            </w:tcBorders>
            <w:shd w:fill="EEF2F7" w:val="clear"/>
            <w:tcMar>
              <w:top w:type="dxa" w:w="100"/>
              <w:left w:type="dxa" w:w="120"/>
              <w:bottom w:type="dxa" w:w="100"/>
              <w:right w:type="dxa" w:w="120"/>
            </w:tcMar>
            <w:vAlign w:val="center"/>
          </w:tcPr>
          <w:p>
            <w:pPr>
              <w:jc w:val="both"/>
            </w:pPr>
            <w:r>
              <w:rPr>
                <w:rFonts w:ascii="Times New Roman" w:cs="Times New Roman" w:eastAsia="Times New Roman" w:hAnsi="Times New Roman"/>
                <w:sz w:val="22"/>
                <w:szCs w:val="22"/>
              </w:rPr>
              <w:t xml:space="preserve">Scalability</w:t>
            </w:r>
          </w:p>
        </w:tc>
        <w:tc>
          <w:tcPr>
            <w:tcW w:type="dxa" w:w="6360"/>
            <w:tcBorders>
              <w:top w:val="single" w:color="999999" w:sz="1"/>
              <w:left w:val="single" w:color="999999" w:sz="1"/>
              <w:bottom w:val="single" w:color="999999" w:sz="1"/>
              <w:right w:val="single" w:color="999999" w:sz="1"/>
            </w:tcBorders>
            <w:shd w:fill="EEF2F7" w:val="clear"/>
            <w:tcMar>
              <w:top w:type="dxa" w:w="100"/>
              <w:left w:type="dxa" w:w="120"/>
              <w:bottom w:type="dxa" w:w="100"/>
              <w:right w:type="dxa" w:w="120"/>
            </w:tcMar>
            <w:vAlign w:val="center"/>
          </w:tcPr>
          <w:p>
            <w:pPr>
              <w:jc w:val="both"/>
            </w:pPr>
            <w:r>
              <w:rPr>
                <w:rFonts w:ascii="Times New Roman" w:cs="Times New Roman" w:eastAsia="Times New Roman" w:hAnsi="Times New Roman"/>
                <w:sz w:val="22"/>
                <w:szCs w:val="22"/>
              </w:rPr>
              <w:t xml:space="preserve">Cloud-integrated AIoT architectures are inherently scalable, supporting the seamless addition of thousands of devices and data streams without substantial redesign.</w:t>
            </w:r>
          </w:p>
        </w:tc>
      </w:tr>
      <w:tr>
        <w:tc>
          <w:tcPr>
            <w:tcW w:type="dxa" w:w="260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vAlign w:val="center"/>
          </w:tcPr>
          <w:p>
            <w:pPr>
              <w:jc w:val="both"/>
            </w:pPr>
            <w:r>
              <w:rPr>
                <w:rFonts w:ascii="Times New Roman" w:cs="Times New Roman" w:eastAsia="Times New Roman" w:hAnsi="Times New Roman"/>
                <w:sz w:val="22"/>
                <w:szCs w:val="22"/>
              </w:rPr>
              <w:t xml:space="preserve">Improved Efficiency</w:t>
            </w:r>
          </w:p>
        </w:tc>
        <w:tc>
          <w:tcPr>
            <w:tcW w:type="dxa" w:w="636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vAlign w:val="center"/>
          </w:tcPr>
          <w:p>
            <w:pPr>
              <w:jc w:val="both"/>
            </w:pPr>
            <w:r>
              <w:rPr>
                <w:rFonts w:ascii="Times New Roman" w:cs="Times New Roman" w:eastAsia="Times New Roman" w:hAnsi="Times New Roman"/>
                <w:sz w:val="22"/>
                <w:szCs w:val="22"/>
              </w:rPr>
              <w:t xml:space="preserve">Intelligent resource management — including energy, water, and raw materials — results in optimised utilisation and reduced waste across diverse sectors.</w:t>
            </w:r>
          </w:p>
        </w:tc>
      </w:tr>
    </w:tbl>
    <w:p>
      <w:pPr>
        <w:spacing w:after="80" w:before="120"/>
      </w:pPr>
    </w:p>
    <w:p>
      <w:pPr>
        <w:spacing w:after="160" w:before="0" w:line="360"/>
        <w:jc w:val="both"/>
      </w:pPr>
      <w:r>
        <w:rPr>
          <w:rFonts w:ascii="Times New Roman" w:cs="Times New Roman" w:eastAsia="Times New Roman" w:hAnsi="Times New Roman"/>
          <w:sz w:val="24"/>
          <w:szCs w:val="24"/>
        </w:rPr>
        <w:t xml:space="preserve">Collectively, these benefits position AIoT as a transformative force across economic sectors. The shift from reactive to predictive operational models not only reduces costs but fundamentally alters how organisations engage with their physical assets and service delivery infrastructure.</w:t>
      </w:r>
    </w:p>
    <w:p>
      <w:pPr>
        <w:pStyle w:val="Heading1"/>
        <w:spacing w:after="160" w:before="320"/>
      </w:pPr>
      <w:r>
        <w:rPr>
          <w:rFonts w:ascii="Times New Roman" w:cs="Times New Roman" w:eastAsia="Times New Roman" w:hAnsi="Times New Roman"/>
          <w:b/>
          <w:bCs/>
          <w:sz w:val="28"/>
          <w:szCs w:val="28"/>
        </w:rPr>
        <w:t xml:space="preserve">5. Challenges and Limitations</w:t>
      </w:r>
    </w:p>
    <w:p>
      <w:pPr>
        <w:spacing w:after="160" w:before="0" w:line="360"/>
        <w:jc w:val="both"/>
      </w:pPr>
      <w:r>
        <w:rPr>
          <w:rFonts w:ascii="Times New Roman" w:cs="Times New Roman" w:eastAsia="Times New Roman" w:hAnsi="Times New Roman"/>
          <w:sz w:val="24"/>
          <w:szCs w:val="24"/>
        </w:rPr>
        <w:t xml:space="preserve">Notwithstanding its considerable promise, the widespread adoption of AIoT is accompanied by a range of significant technical, operational, and ethical challenges that must be systematically addressed before its full potential can be realised.</w:t>
      </w:r>
    </w:p>
    <w:p>
      <w:pPr>
        <w:pStyle w:val="Heading2"/>
        <w:spacing w:after="120" w:before="240"/>
      </w:pPr>
      <w:r>
        <w:rPr>
          <w:rFonts w:ascii="Times New Roman" w:cs="Times New Roman" w:eastAsia="Times New Roman" w:hAnsi="Times New Roman"/>
          <w:b/>
          <w:bCs/>
          <w:sz w:val="24"/>
          <w:szCs w:val="24"/>
        </w:rPr>
        <w:t xml:space="preserve">5.1 Security Vulnerabilities</w:t>
      </w:r>
    </w:p>
    <w:p>
      <w:pPr>
        <w:spacing w:after="160" w:before="0" w:line="360"/>
        <w:jc w:val="both"/>
      </w:pPr>
      <w:r>
        <w:rPr>
          <w:rFonts w:ascii="Times New Roman" w:cs="Times New Roman" w:eastAsia="Times New Roman" w:hAnsi="Times New Roman"/>
          <w:sz w:val="24"/>
          <w:szCs w:val="24"/>
        </w:rPr>
        <w:t xml:space="preserve">The proliferation of internet-connected devices substantially expands the attack surface available to malicious actors. Many IoT devices are manufactured with limited onboard computational resources, which often precludes the implementation of robust encryption and authentication mechanisms. Consequently, AIoT networks are susceptible to a variety of cyber threats, including device hijacking, man-in-the-middle attacks, distributed denial-of-service (DDoS) campaigns, and ransomware infiltrations. The Mirai botnet attack of 2016, which leveraged compromised IoT devices to orchestrate one of the largest DDoS attacks in history, serves as a stark illustration of the systemic security risks inherent to poorly secured IoT deployments. Addressing these vulnerabilities necessitates the adoption of end-to-end encryption, secure device provisioning protocols, and regular firmware update mechanisms.</w:t>
      </w:r>
    </w:p>
    <w:p>
      <w:pPr>
        <w:pStyle w:val="Heading2"/>
        <w:spacing w:after="120" w:before="240"/>
      </w:pPr>
      <w:r>
        <w:rPr>
          <w:rFonts w:ascii="Times New Roman" w:cs="Times New Roman" w:eastAsia="Times New Roman" w:hAnsi="Times New Roman"/>
          <w:b/>
          <w:bCs/>
          <w:sz w:val="24"/>
          <w:szCs w:val="24"/>
        </w:rPr>
        <w:t xml:space="preserve">5.2 Privacy Concerns</w:t>
      </w:r>
    </w:p>
    <w:p>
      <w:pPr>
        <w:spacing w:after="160" w:before="0" w:line="360"/>
        <w:jc w:val="both"/>
      </w:pPr>
      <w:r>
        <w:rPr>
          <w:rFonts w:ascii="Times New Roman" w:cs="Times New Roman" w:eastAsia="Times New Roman" w:hAnsi="Times New Roman"/>
          <w:sz w:val="24"/>
          <w:szCs w:val="24"/>
        </w:rPr>
        <w:t xml:space="preserve">AIoT systems, by virtue of their continuous data collection capabilities, inherently generate large volumes of personally identifiable and behaviourally sensitive information. Wearable health monitors, smart home devices, and urban surveillance platforms, in particular, raise profound questions regarding consent, data ownership, and the potential for surveillance overreach. Regulatory frameworks such as the General Data Protection Regulation (GDPR) in the European Union and the Information Technology Act in India provide partial guidance, but the global harmonisation of AIoT privacy standards remains an ongoing and unresolved challenge.</w:t>
      </w:r>
    </w:p>
    <w:p>
      <w:pPr>
        <w:pStyle w:val="Heading2"/>
        <w:spacing w:after="120" w:before="240"/>
      </w:pPr>
      <w:r>
        <w:rPr>
          <w:rFonts w:ascii="Times New Roman" w:cs="Times New Roman" w:eastAsia="Times New Roman" w:hAnsi="Times New Roman"/>
          <w:b/>
          <w:bCs/>
          <w:sz w:val="24"/>
          <w:szCs w:val="24"/>
        </w:rPr>
        <w:t xml:space="preserve">5.3 Infrastructure and Cost Constraints</w:t>
      </w:r>
    </w:p>
    <w:p>
      <w:pPr>
        <w:spacing w:after="160" w:before="0" w:line="360"/>
        <w:jc w:val="both"/>
      </w:pPr>
      <w:r>
        <w:rPr>
          <w:rFonts w:ascii="Times New Roman" w:cs="Times New Roman" w:eastAsia="Times New Roman" w:hAnsi="Times New Roman"/>
          <w:sz w:val="24"/>
          <w:szCs w:val="24"/>
        </w:rPr>
        <w:t xml:space="preserve">The deployment of a comprehensive AIoT ecosystem requires substantial financial investment across multiple domains, including sensor hardware procurement, networking infrastructure, cloud computing subscriptions, and AI model development and maintenance. For small and medium-sized enterprises, as well as organisations in developing economies, these cost barriers may represent a significant impediment to adoption. Additionally, the integration of AIoT systems with legacy operational technology infrastructure presents complex engineering challenges, often requiring costly custom middleware solutions.</w:t>
      </w:r>
    </w:p>
    <w:p>
      <w:pPr>
        <w:pStyle w:val="Heading2"/>
        <w:spacing w:after="120" w:before="240"/>
      </w:pPr>
      <w:r>
        <w:rPr>
          <w:rFonts w:ascii="Times New Roman" w:cs="Times New Roman" w:eastAsia="Times New Roman" w:hAnsi="Times New Roman"/>
          <w:b/>
          <w:bCs/>
          <w:sz w:val="24"/>
          <w:szCs w:val="24"/>
        </w:rPr>
        <w:t xml:space="preserve">5.4 Connectivity and Interoperability</w:t>
      </w:r>
    </w:p>
    <w:p>
      <w:pPr>
        <w:spacing w:after="160" w:before="0" w:line="360"/>
        <w:jc w:val="both"/>
      </w:pPr>
      <w:r>
        <w:rPr>
          <w:rFonts w:ascii="Times New Roman" w:cs="Times New Roman" w:eastAsia="Times New Roman" w:hAnsi="Times New Roman"/>
          <w:sz w:val="24"/>
          <w:szCs w:val="24"/>
        </w:rPr>
        <w:t xml:space="preserve">Reliable, low-latency connectivity is a prerequisite for effective AIoT operation. In geographically remote or infrastructure-poor environments, intermittent or absent internet connectivity can critically impair system functionality. Beyond physical connectivity, the heterogeneity of communication protocols, data formats, and hardware platforms employed across the AIoT ecosystem creates significant interoperability challenges. The absence of universally adopted standards hampers seamless device integration and data exchange, necessitating the development of sophisticated middleware and translation layers.</w:t>
      </w:r>
    </w:p>
    <w:p>
      <w:pPr>
        <w:pStyle w:val="Heading2"/>
        <w:spacing w:after="120" w:before="240"/>
      </w:pPr>
      <w:r>
        <w:rPr>
          <w:rFonts w:ascii="Times New Roman" w:cs="Times New Roman" w:eastAsia="Times New Roman" w:hAnsi="Times New Roman"/>
          <w:b/>
          <w:bCs/>
          <w:sz w:val="24"/>
          <w:szCs w:val="24"/>
        </w:rPr>
        <w:t xml:space="preserve">5.5 Data Management and Analytical Complexity</w:t>
      </w:r>
    </w:p>
    <w:p>
      <w:pPr>
        <w:spacing w:after="160" w:before="0" w:line="360"/>
        <w:jc w:val="both"/>
      </w:pPr>
      <w:r>
        <w:rPr>
          <w:rFonts w:ascii="Times New Roman" w:cs="Times New Roman" w:eastAsia="Times New Roman" w:hAnsi="Times New Roman"/>
          <w:sz w:val="24"/>
          <w:szCs w:val="24"/>
        </w:rPr>
        <w:t xml:space="preserve">AIoT systems generate data at an unprecedented scale and velocity. Managing, storing, and extracting meaningful insights from these vast data streams demands sophisticated data engineering pipelines, scalable storage architectures, and high-performance computing resources. Furthermore, the quality of AI-driven insights is fundamentally dependent on the quality, completeness, and representativeness of the underlying training data. Data bias, sensor drift, and incomplete labelling can significantly degrade model performance, introducing risk into autonomous decision-making systems.</w:t>
      </w:r>
    </w:p>
    <w:p>
      <w:r>
        <w:br w:type="page"/>
      </w:r>
    </w:p>
    <w:p>
      <w:pPr>
        <w:pStyle w:val="Heading1"/>
        <w:spacing w:after="160" w:before="320"/>
      </w:pPr>
      <w:r>
        <w:rPr>
          <w:rFonts w:ascii="Times New Roman" w:cs="Times New Roman" w:eastAsia="Times New Roman" w:hAnsi="Times New Roman"/>
          <w:b/>
          <w:bCs/>
          <w:sz w:val="28"/>
          <w:szCs w:val="28"/>
        </w:rPr>
        <w:t xml:space="preserve">6. Future Directions and Emerging Trends</w:t>
      </w:r>
    </w:p>
    <w:p>
      <w:pPr>
        <w:spacing w:after="160" w:before="0" w:line="360"/>
        <w:jc w:val="both"/>
      </w:pPr>
      <w:r>
        <w:rPr>
          <w:rFonts w:ascii="Times New Roman" w:cs="Times New Roman" w:eastAsia="Times New Roman" w:hAnsi="Times New Roman"/>
          <w:sz w:val="24"/>
          <w:szCs w:val="24"/>
        </w:rPr>
        <w:t xml:space="preserve">The trajectory of AIoT development is shaped by a confluence of technological advancements and shifting societal imperatives. Several key trends are anticipated to define the next phase of AIoT evolution.</w:t>
      </w:r>
    </w:p>
    <w:p>
      <w:pPr>
        <w:spacing w:after="160" w:before="0" w:line="360"/>
        <w:jc w:val="both"/>
      </w:pPr>
      <w:r>
        <w:rPr>
          <w:rFonts w:ascii="Times New Roman" w:cs="Times New Roman" w:eastAsia="Times New Roman" w:hAnsi="Times New Roman"/>
          <w:b/>
          <w:bCs/>
          <w:sz w:val="24"/>
          <w:szCs w:val="24"/>
        </w:rPr>
        <w:t xml:space="preserve">5G Network Integration: </w:t>
      </w:r>
      <w:r>
        <w:rPr>
          <w:rFonts w:ascii="Times New Roman" w:cs="Times New Roman" w:eastAsia="Times New Roman" w:hAnsi="Times New Roman"/>
          <w:sz w:val="24"/>
          <w:szCs w:val="24"/>
        </w:rPr>
        <w:t xml:space="preserve">The global rollout of 5G telecommunications infrastructure is expected to fundamentally enhance AIoT capabilities by delivering ultra-low latency (sub-1 millisecond), dramatically increased bandwidth, and support for massive device density. These characteristics will unlock new application categories, including real-time remote surgery, large-scale autonomous vehicle coordination, and immersive augmented reality experiences.</w:t>
      </w:r>
    </w:p>
    <w:p>
      <w:pPr>
        <w:spacing w:after="160" w:before="0" w:line="360"/>
        <w:jc w:val="both"/>
      </w:pPr>
      <w:r>
        <w:rPr>
          <w:rFonts w:ascii="Times New Roman" w:cs="Times New Roman" w:eastAsia="Times New Roman" w:hAnsi="Times New Roman"/>
          <w:b/>
          <w:bCs/>
          <w:sz w:val="24"/>
          <w:szCs w:val="24"/>
        </w:rPr>
        <w:t xml:space="preserve">Edge AI: </w:t>
      </w:r>
      <w:r>
        <w:rPr>
          <w:rFonts w:ascii="Times New Roman" w:cs="Times New Roman" w:eastAsia="Times New Roman" w:hAnsi="Times New Roman"/>
          <w:sz w:val="24"/>
          <w:szCs w:val="24"/>
        </w:rPr>
        <w:t xml:space="preserve">The migration of AI inference workloads from centralised cloud platforms to edge devices is an increasingly important trend. By processing data locally, Edge AI eliminates the latency and bandwidth costs associated with cloud transmission, enabling near-instantaneous responses in time-critical applications. Advances in neuromorphic computing chips — such as Intel's Loihi and NVIDIA's Jetson platform — are progressively making edge AI more computationally accessible.</w:t>
      </w:r>
    </w:p>
    <w:p>
      <w:pPr>
        <w:spacing w:after="160" w:before="0" w:line="360"/>
        <w:jc w:val="both"/>
      </w:pPr>
      <w:r>
        <w:rPr>
          <w:rFonts w:ascii="Times New Roman" w:cs="Times New Roman" w:eastAsia="Times New Roman" w:hAnsi="Times New Roman"/>
          <w:b/>
          <w:bCs/>
          <w:sz w:val="24"/>
          <w:szCs w:val="24"/>
        </w:rPr>
        <w:t xml:space="preserve">Digital Twins: </w:t>
      </w:r>
      <w:r>
        <w:rPr>
          <w:rFonts w:ascii="Times New Roman" w:cs="Times New Roman" w:eastAsia="Times New Roman" w:hAnsi="Times New Roman"/>
          <w:sz w:val="24"/>
          <w:szCs w:val="24"/>
        </w:rPr>
        <w:t xml:space="preserve">Digital twin technology creates virtual replicas of physical assets, systems, or processes, continuously synchronised with their real-world counterparts through AIoT data feeds. These digital representations enable engineers to simulate operational scenarios, test modifications, and optimise performance without incurring the risks and costs of real-world experimentation. Applications range from simulating industrial plant operations to modelling the energy dynamics of entire cities.</w:t>
      </w:r>
    </w:p>
    <w:p>
      <w:pPr>
        <w:spacing w:after="160" w:before="0" w:line="360"/>
        <w:jc w:val="both"/>
      </w:pPr>
      <w:r>
        <w:rPr>
          <w:rFonts w:ascii="Times New Roman" w:cs="Times New Roman" w:eastAsia="Times New Roman" w:hAnsi="Times New Roman"/>
          <w:b/>
          <w:bCs/>
          <w:sz w:val="24"/>
          <w:szCs w:val="24"/>
        </w:rPr>
        <w:t xml:space="preserve">Autonomous Systems and Robotics: </w:t>
      </w:r>
      <w:r>
        <w:rPr>
          <w:rFonts w:ascii="Times New Roman" w:cs="Times New Roman" w:eastAsia="Times New Roman" w:hAnsi="Times New Roman"/>
          <w:sz w:val="24"/>
          <w:szCs w:val="24"/>
        </w:rPr>
        <w:t xml:space="preserve">The integration of AIoT with robotics is giving rise to a new generation of autonomous systems capable of navigating complex, unstructured environments. From self-driving logistics vehicles in warehouses to autonomous agricultural drones that can identify and treat diseased crops, AIoT-enabled robotics is transforming labour-intensive industries.</w:t>
      </w:r>
    </w:p>
    <w:p>
      <w:pPr>
        <w:spacing w:after="160" w:before="0" w:line="360"/>
        <w:jc w:val="both"/>
      </w:pPr>
      <w:r>
        <w:rPr>
          <w:rFonts w:ascii="Times New Roman" w:cs="Times New Roman" w:eastAsia="Times New Roman" w:hAnsi="Times New Roman"/>
          <w:b/>
          <w:bCs/>
          <w:sz w:val="24"/>
          <w:szCs w:val="24"/>
        </w:rPr>
        <w:t xml:space="preserve">AI-Powered Smart City Platforms: </w:t>
      </w:r>
      <w:r>
        <w:rPr>
          <w:rFonts w:ascii="Times New Roman" w:cs="Times New Roman" w:eastAsia="Times New Roman" w:hAnsi="Times New Roman"/>
          <w:sz w:val="24"/>
          <w:szCs w:val="24"/>
        </w:rPr>
        <w:t xml:space="preserve">Next-generation smart city initiatives will leverage AI to holistically optimise urban systems — integrating energy, transport, public safety, health, and governance data into unified decision-support platforms. Cities such as Singapore and Copenhagen are already pioneering this vision, deploying city-scale AIoT infrastructure to improve sustainability and quality of life.</w:t>
      </w:r>
    </w:p>
    <w:p>
      <w:pPr>
        <w:spacing w:after="160" w:before="0" w:line="360"/>
        <w:jc w:val="both"/>
      </w:pPr>
      <w:r>
        <w:rPr>
          <w:rFonts w:ascii="Times New Roman" w:cs="Times New Roman" w:eastAsia="Times New Roman" w:hAnsi="Times New Roman"/>
          <w:sz w:val="24"/>
          <w:szCs w:val="24"/>
        </w:rPr>
        <w:t xml:space="preserve">Collectively, these trends indicate that AIoT will progressively underpin the operational fabric of modern civilisation, driving a transition toward more intelligent, autonomous, and sustainable socio-technical systems.</w:t>
      </w:r>
    </w:p>
    <w:p>
      <w:pPr>
        <w:pStyle w:val="Heading1"/>
        <w:spacing w:after="160" w:before="320"/>
      </w:pPr>
      <w:r>
        <w:rPr>
          <w:rFonts w:ascii="Times New Roman" w:cs="Times New Roman" w:eastAsia="Times New Roman" w:hAnsi="Times New Roman"/>
          <w:b/>
          <w:bCs/>
          <w:sz w:val="28"/>
          <w:szCs w:val="28"/>
        </w:rPr>
        <w:t xml:space="preserve">7. Conclusion</w:t>
      </w:r>
    </w:p>
    <w:p>
      <w:pPr>
        <w:spacing w:after="160" w:before="0" w:line="360"/>
        <w:jc w:val="both"/>
      </w:pPr>
      <w:r>
        <w:rPr>
          <w:rFonts w:ascii="Times New Roman" w:cs="Times New Roman" w:eastAsia="Times New Roman" w:hAnsi="Times New Roman"/>
          <w:sz w:val="24"/>
          <w:szCs w:val="24"/>
        </w:rPr>
        <w:t xml:space="preserve">The Artificial Intelligence of Things represents a seminal convergence of two of the most consequential technological developments of the contemporary era. By endowing connected devices with the capacity to reason, learn, and act autonomously, AIoT transcends the limitations of traditional IoT and establishes the groundwork for genuinely intelligent, self-adapting physical systems. Across agriculture, healthcare, manufacturing, and urban infrastructure, AIoT is demonstrably improving efficiency, reducing operational costs, and enabling innovations that were previously unattainable.</w:t>
      </w:r>
    </w:p>
    <w:p>
      <w:pPr>
        <w:spacing w:after="160" w:before="0" w:line="360"/>
        <w:jc w:val="both"/>
      </w:pPr>
      <w:r>
        <w:rPr>
          <w:rFonts w:ascii="Times New Roman" w:cs="Times New Roman" w:eastAsia="Times New Roman" w:hAnsi="Times New Roman"/>
          <w:sz w:val="24"/>
          <w:szCs w:val="24"/>
        </w:rPr>
        <w:t xml:space="preserve">Nevertheless, the transformative potential of AIoT is tempered by a series of substantive challenges. Security vulnerabilities, privacy implications, infrastructure costs, interoperability barriers, and data management complexities collectively represent impediments that must be addressed through coordinated efforts spanning technological innovation, regulatory development, and industry standardisation. The responsible deployment of AIoT requires not only technical excellence but also thoughtful ethical governance frameworks that safeguard individual rights and societal values.</w:t>
      </w:r>
    </w:p>
    <w:p>
      <w:pPr>
        <w:spacing w:after="160" w:before="0" w:line="360"/>
        <w:jc w:val="both"/>
      </w:pPr>
      <w:r>
        <w:rPr>
          <w:rFonts w:ascii="Times New Roman" w:cs="Times New Roman" w:eastAsia="Times New Roman" w:hAnsi="Times New Roman"/>
          <w:sz w:val="24"/>
          <w:szCs w:val="24"/>
        </w:rPr>
        <w:t xml:space="preserve">As advancements in 5G connectivity, Edge AI, digital twin technology, and neuromorphic computing continue to accelerate, the capabilities of AIoT systems will expand correspondingly. The coming decade is likely to witness AIoT evolving from a collection of promising pilot projects into a ubiquitous infrastructure layer that silently orchestrates the systems upon which modern life depends. For practitioners, researchers, and policymakers alike, engaging seriously with AIoT — both its opportunities and its risks — is not merely advisable but essential.</w:t>
      </w:r>
    </w:p>
    <w:p>
      <w:pPr>
        <w:pStyle w:val="Heading1"/>
        <w:spacing w:after="160" w:before="320"/>
      </w:pPr>
      <w:r>
        <w:rPr>
          <w:rFonts w:ascii="Times New Roman" w:cs="Times New Roman" w:eastAsia="Times New Roman" w:hAnsi="Times New Roman"/>
          <w:b/>
          <w:bCs/>
          <w:sz w:val="28"/>
          <w:szCs w:val="28"/>
        </w:rPr>
        <w:t xml:space="preserve">References</w:t>
      </w:r>
    </w:p>
    <w:p>
      <w:pPr>
        <w:spacing w:after="160" w:before="0" w:line="360"/>
        <w:jc w:val="both"/>
      </w:pPr>
      <w:r>
        <w:rPr>
          <w:rFonts w:ascii="Times New Roman" w:cs="Times New Roman" w:eastAsia="Times New Roman" w:hAnsi="Times New Roman"/>
          <w:sz w:val="24"/>
          <w:szCs w:val="24"/>
        </w:rPr>
        <w:t xml:space="preserve">Atzori, L., Iera, A., &amp; Morabito, G. (2010). The Internet of Things: A survey. Computer Networks, 54(15), 2787–2805.</w:t>
      </w:r>
    </w:p>
    <w:p>
      <w:pPr>
        <w:spacing w:after="160" w:before="0" w:line="360"/>
        <w:jc w:val="both"/>
      </w:pPr>
      <w:r>
        <w:rPr>
          <w:rFonts w:ascii="Times New Roman" w:cs="Times New Roman" w:eastAsia="Times New Roman" w:hAnsi="Times New Roman"/>
          <w:sz w:val="24"/>
          <w:szCs w:val="24"/>
        </w:rPr>
        <w:t xml:space="preserve">Cisco Systems Inc. (2023). Cisco IoT Fundamentals: Connecting the unconnected. Cisco Press.</w:t>
      </w:r>
    </w:p>
    <w:p>
      <w:pPr>
        <w:spacing w:after="160" w:before="0" w:line="360"/>
        <w:jc w:val="both"/>
      </w:pPr>
      <w:r>
        <w:rPr>
          <w:rFonts w:ascii="Times New Roman" w:cs="Times New Roman" w:eastAsia="Times New Roman" w:hAnsi="Times New Roman"/>
          <w:sz w:val="24"/>
          <w:szCs w:val="24"/>
        </w:rPr>
        <w:t xml:space="preserve">IBM Corporation. (2024). IBM Watson IoT Platform: Technical overview and enterprise applications. IBM Developer Documentation.</w:t>
      </w:r>
    </w:p>
    <w:p>
      <w:pPr>
        <w:spacing w:after="160" w:before="0" w:line="360"/>
        <w:jc w:val="both"/>
      </w:pPr>
      <w:r>
        <w:rPr>
          <w:rFonts w:ascii="Times New Roman" w:cs="Times New Roman" w:eastAsia="Times New Roman" w:hAnsi="Times New Roman"/>
          <w:sz w:val="24"/>
          <w:szCs w:val="24"/>
        </w:rPr>
        <w:t xml:space="preserve">IEEE Xplore Digital Library. (2024). Selected publications on Artificial Intelligence of Things (AIoT). Institute of Electrical and Electronics Engineers. Retrieved from https://ieeexplore.ieee.org</w:t>
      </w:r>
    </w:p>
    <w:p>
      <w:pPr>
        <w:spacing w:after="160" w:before="0" w:line="360"/>
        <w:jc w:val="both"/>
      </w:pPr>
      <w:r>
        <w:rPr>
          <w:rFonts w:ascii="Times New Roman" w:cs="Times New Roman" w:eastAsia="Times New Roman" w:hAnsi="Times New Roman"/>
          <w:sz w:val="24"/>
          <w:szCs w:val="24"/>
        </w:rPr>
        <w:t xml:space="preserve">International Journal of Artificial Intelligence and IoT. (2023–2024). Research compendium: AIoT applications in industry. Elsevier Publications.</w:t>
      </w:r>
    </w:p>
    <w:p>
      <w:pPr>
        <w:spacing w:after="160" w:before="0" w:line="360"/>
        <w:jc w:val="both"/>
      </w:pPr>
      <w:r>
        <w:rPr>
          <w:rFonts w:ascii="Times New Roman" w:cs="Times New Roman" w:eastAsia="Times New Roman" w:hAnsi="Times New Roman"/>
          <w:sz w:val="24"/>
          <w:szCs w:val="24"/>
        </w:rPr>
        <w:t xml:space="preserve">McKinsey Global Institute. (2023). The Internet of Things: Mapping the value beyond the hype. McKinsey &amp; Company.</w:t>
      </w:r>
    </w:p>
    <w:p>
      <w:pPr>
        <w:spacing w:after="160" w:before="0" w:line="360"/>
        <w:jc w:val="both"/>
      </w:pPr>
      <w:r>
        <w:rPr>
          <w:rFonts w:ascii="Times New Roman" w:cs="Times New Roman" w:eastAsia="Times New Roman" w:hAnsi="Times New Roman"/>
          <w:sz w:val="24"/>
          <w:szCs w:val="24"/>
        </w:rPr>
        <w:t xml:space="preserve">Schwab, K. (2016). The Fourth Industrial Revolution. World Economic Forum.</w:t>
      </w:r>
    </w:p>
    <w:p>
      <w:pPr>
        <w:spacing w:after="160" w:before="0" w:line="360"/>
        <w:jc w:val="both"/>
      </w:pPr>
      <w:r>
        <w:rPr>
          <w:rFonts w:ascii="Times New Roman" w:cs="Times New Roman" w:eastAsia="Times New Roman" w:hAnsi="Times New Roman"/>
          <w:sz w:val="24"/>
          <w:szCs w:val="24"/>
        </w:rPr>
        <w:t xml:space="preserve">World Economic Forum. (2024). The Global Smart City Index and AI integration in urban infrastructure. WEF Technology and Innovation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A1A2E"/>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2026-06-18T05:50:21.153Z</dcterms:created>
  <dcterms:modified xsi:type="dcterms:W3CDTF">2026-06-18T05:50:21.153Z</dcterms:modified>
</cp:coreProperties>
</file>

<file path=docProps/custom.xml><?xml version="1.0" encoding="utf-8"?>
<Properties xmlns="http://schemas.openxmlformats.org/officeDocument/2006/custom-properties" xmlns:vt="http://schemas.openxmlformats.org/officeDocument/2006/docPropsVTypes"/>
</file>