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5"/>
        <w:gridCol w:w="1350"/>
      </w:tblGrid>
      <w:tr>
        <w:trPr>
          <w:trHeight w:val="300" w:hRule="atLeast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>
          <w:rFonts w:eastAsiaTheme="minorEastAsia"/>
          <w:b/>
          <w:b/>
          <w:bCs/>
          <w:highlight w:val="yellow"/>
        </w:rPr>
      </w:pPr>
      <w:r>
        <w:rPr>
          <w:rFonts w:eastAsiaTheme="minorEastAsia"/>
          <w:b/>
          <w:bCs/>
          <w:highlight w:val="yellow"/>
        </w:rPr>
        <w:t>Histogram, Boxplot of ‘Measure X’:</w:t>
      </w:r>
    </w:p>
    <w:p>
      <w:pPr>
        <w:pStyle w:val="Normal"/>
        <w:spacing w:before="0" w:after="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118110</wp:posOffset>
            </wp:positionH>
            <wp:positionV relativeFrom="paragraph">
              <wp:posOffset>76200</wp:posOffset>
            </wp:positionV>
            <wp:extent cx="3199765" cy="290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Normal"/>
        <w:spacing w:before="0" w:after="0"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=""/>
          <w:b/>
          <w:b/>
          <w:bCs/>
        </w:rPr>
      </w:pPr>
      <w:r>
        <w:rPr>
          <w:rFonts w:eastAsiaTheme="minorEastAsia"/>
          <w:highlight w:val="yellow"/>
        </w:rPr>
      </w:r>
    </w:p>
    <w:p>
      <w:pPr>
        <w:pStyle w:val="ListParagraph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="" w:eastAsiaTheme="minorEastAsia"/>
          <w:b/>
          <w:bCs/>
          <w:highlight w:val="yellow"/>
        </w:rPr>
        <w:t>From the above histogram, boxplot, we can say that the data point “Morgan Stanley” is an outlier.</w:t>
      </w:r>
    </w:p>
    <w:p>
      <w:pPr>
        <w:pStyle w:val="ListParagraph"/>
        <w:spacing w:before="0" w:after="0"/>
        <w:contextualSpacing/>
        <w:rPr>
          <w:rFonts w:ascii="Calibri" w:hAnsi="Calibri"/>
          <w:sz w:val="22"/>
          <w:szCs w:val="22"/>
        </w:rPr>
      </w:pPr>
      <w:r>
        <w:rPr>
          <w:rFonts w:eastAsia="" w:ascii="Calibri" w:hAnsi="Calibri" w:eastAsiaTheme="minorEastAsia"/>
          <w:b/>
          <w:bCs/>
          <w:sz w:val="22"/>
          <w:szCs w:val="22"/>
          <w:highlight w:val="yellow"/>
        </w:rPr>
        <w:t>Mean(</w:t>
      </w:r>
      <w:r>
        <w:rPr>
          <w:rFonts w:ascii="Calibri" w:hAnsi="Calibri" w:eastAsiaTheme="minorEastAsia"/>
          <w:b w:val="false"/>
          <w:i w:val="false"/>
          <w:caps w:val="false"/>
          <w:smallCaps w:val="false"/>
          <w:color w:val="202124"/>
          <w:spacing w:val="0"/>
          <w:sz w:val="22"/>
          <w:szCs w:val="22"/>
          <w:highlight w:val="yellow"/>
        </w:rPr>
        <w:t>μ</w:t>
      </w:r>
      <w:r>
        <w:rPr>
          <w:rFonts w:ascii="Calibri" w:hAnsi="Calibri" w:eastAsiaTheme="minorEastAsia"/>
          <w:sz w:val="22"/>
          <w:szCs w:val="22"/>
          <w:highlight w:val="yellow"/>
        </w:rPr>
        <w:t xml:space="preserve"> </w:t>
      </w:r>
      <w:r>
        <w:rPr>
          <w:rFonts w:eastAsia="" w:ascii="Calibri" w:hAnsi="Calibri" w:eastAsiaTheme="minorEastAsia"/>
          <w:b/>
          <w:bCs/>
          <w:sz w:val="22"/>
          <w:szCs w:val="22"/>
          <w:highlight w:val="yellow"/>
        </w:rPr>
        <w:t xml:space="preserve">): </w:t>
      </w:r>
      <w:bookmarkStart w:id="1" w:name="rstudio_console_output"/>
      <w:bookmarkEnd w:id="1"/>
      <w:r>
        <w:rPr>
          <w:rFonts w:eastAsia="" w:ascii="Calibri" w:hAnsi="Calibri" w:eastAsiaTheme="minorEastAsi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  <w:t>33.27133</w:t>
      </w:r>
    </w:p>
    <w:p>
      <w:pPr>
        <w:pStyle w:val="ListParagraph"/>
        <w:spacing w:before="0" w:after="0"/>
        <w:contextualSpacing/>
        <w:rPr>
          <w:rFonts w:ascii="Calibri" w:hAnsi="Calibri" w:eastAsiaTheme="minorEastAsia"/>
          <w:sz w:val="22"/>
          <w:szCs w:val="22"/>
          <w:highlight w:val="yellow"/>
        </w:rPr>
      </w:pPr>
      <w:r>
        <w:rPr>
          <w:rFonts w:eastAsia="" w:eastAsiaTheme="minorEastAsia" w:ascii="Calibri" w:hAnsi="Calibri"/>
          <w:b/>
          <w:bCs/>
          <w:sz w:val="22"/>
          <w:szCs w:val="22"/>
          <w:highlight w:val="yellow"/>
        </w:rPr>
        <w:t>Variance(</w:t>
      </w:r>
      <w:r>
        <w:rPr>
          <w:rFonts w:eastAsiaTheme="minorEastAsia"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  <w:highlight w:val="yellow"/>
        </w:rPr>
        <w:t>σ2</w:t>
      </w:r>
      <w:r>
        <w:rPr>
          <w:rFonts w:eastAsiaTheme="minorEastAsia" w:ascii="Calibri" w:hAnsi="Calibri"/>
          <w:sz w:val="22"/>
          <w:szCs w:val="22"/>
          <w:highlight w:val="yellow"/>
        </w:rPr>
        <w:t xml:space="preserve"> </w:t>
      </w:r>
      <w:r>
        <w:rPr>
          <w:rFonts w:eastAsia="" w:eastAsiaTheme="minorEastAsia" w:ascii="Calibri" w:hAnsi="Calibri"/>
          <w:b/>
          <w:bCs/>
          <w:sz w:val="22"/>
          <w:szCs w:val="22"/>
          <w:highlight w:val="yellow"/>
        </w:rPr>
        <w:t xml:space="preserve">): </w:t>
      </w:r>
      <w:bookmarkStart w:id="2" w:name="rstudio_console_output1"/>
      <w:bookmarkEnd w:id="2"/>
      <w:r>
        <w:rPr>
          <w:rFonts w:eastAsia="" w:eastAsiaTheme="minorEastAsia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  <w:t>287.1466</w:t>
      </w:r>
    </w:p>
    <w:p>
      <w:pPr>
        <w:pStyle w:val="ListParagraph"/>
        <w:spacing w:before="0" w:after="0"/>
        <w:contextualSpacing/>
        <w:rPr>
          <w:rFonts w:ascii="Calibri" w:hAnsi="Calibri" w:eastAsiaTheme="minorEastAsia"/>
          <w:sz w:val="22"/>
          <w:szCs w:val="22"/>
          <w:highlight w:val="yellow"/>
        </w:rPr>
      </w:pPr>
      <w:r>
        <w:rPr>
          <w:rFonts w:eastAsia="" w:eastAsiaTheme="minorEastAsia" w:ascii="Calibri" w:hAnsi="Calibri"/>
          <w:b/>
          <w:bCs/>
          <w:sz w:val="22"/>
          <w:szCs w:val="22"/>
          <w:highlight w:val="yellow"/>
        </w:rPr>
        <w:t>Standard Deviation(</w:t>
      </w:r>
      <w:r>
        <w:rPr>
          <w:rFonts w:eastAsiaTheme="minorEastAsia" w:ascii="Calibri" w:hAnsi="Calibri"/>
          <w:b w:val="false"/>
          <w:i w:val="false"/>
          <w:caps w:val="false"/>
          <w:smallCaps w:val="false"/>
          <w:color w:val="202124"/>
          <w:spacing w:val="0"/>
          <w:sz w:val="22"/>
          <w:szCs w:val="22"/>
          <w:highlight w:val="yellow"/>
        </w:rPr>
        <w:t>σ</w:t>
      </w:r>
      <w:r>
        <w:rPr>
          <w:rFonts w:eastAsia="" w:eastAsiaTheme="minorEastAsia" w:ascii="Calibri" w:hAnsi="Calibri"/>
          <w:b/>
          <w:bCs/>
          <w:sz w:val="22"/>
          <w:szCs w:val="22"/>
          <w:highlight w:val="yellow"/>
        </w:rPr>
        <w:t xml:space="preserve">): </w:t>
      </w:r>
      <w:bookmarkStart w:id="3" w:name="rstudio_console_output2"/>
      <w:bookmarkEnd w:id="3"/>
      <w:r>
        <w:rPr>
          <w:rFonts w:eastAsia="" w:eastAsiaTheme="minorEastAsia"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yellow"/>
        </w:rPr>
        <w:t>16.9454</w:t>
      </w:r>
    </w:p>
    <w:p>
      <w:pPr>
        <w:pStyle w:val="ListParagraph"/>
        <w:spacing w:before="0" w:after="0"/>
        <w:contextualSpacing/>
        <w:rPr/>
      </w:pPr>
      <w:r>
        <w:rPr>
          <w:rFonts w:eastAsia="" w:ascii="Calibri" w:hAnsi="Calibri" w:eastAsiaTheme="minorEastAsia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Respective Code files: Set1_Q1.R, Set1_Q1.py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2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Normal"/>
        <w:spacing w:before="0" w:after="0"/>
        <w:contextualSpacing/>
        <w:rPr/>
      </w:pPr>
      <w:bookmarkStart w:id="4" w:name="docs-internal-guid-a53d6a33-7fff-317f-2a"/>
      <w:bookmarkEnd w:id="4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Ans: IQR region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is where 50% data points lie. It is the difference between 75%, 25%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19"/>
          <w:highlight w:val="yellow"/>
          <w:u w:val="none"/>
          <w:effect w:val="none"/>
        </w:rPr>
        <w:t> 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highlight w:val="yellow"/>
          <w:u w:val="none"/>
          <w:effect w:val="none"/>
        </w:rPr>
        <w:t>quartiles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. Here, Q1=5, Q3=12 approximately. So, IQR = Q3-Q1 = 7.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Normal"/>
        <w:spacing w:before="0" w:after="0"/>
        <w:contextualSpacing/>
        <w:rPr/>
      </w:pPr>
      <w:bookmarkStart w:id="5" w:name="docs-internal-guid-c21b2bad-7fff-1c0a-9e"/>
      <w:bookmarkEnd w:id="5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Ans: Most of the data is lying to the left of the plot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(has a tail to its right)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. So this data set is right-skewed.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TextBody"/>
        <w:spacing w:before="0" w:after="0"/>
        <w:contextualSpacing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6" w:name="docs-internal-guid-7149f9ee-7fff-2246-dc"/>
      <w:bookmarkEnd w:id="6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Ans: The outlier would be removed and, 2.5 being the lowest value, IQR would be 12-2.5 = 9.5</w:t>
      </w:r>
    </w:p>
    <w:p>
      <w:pPr>
        <w:pStyle w:val="TextBody"/>
        <w:rPr/>
      </w:pPr>
      <w:r>
        <w:rPr/>
        <w:b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3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TextBody"/>
        <w:spacing w:before="0" w:after="0"/>
        <w:ind w:left="1440" w:hanging="720"/>
        <w:contextualSpacing/>
        <w:rPr>
          <w:b w:val="false"/>
        </w:rPr>
      </w:pPr>
      <w:bookmarkStart w:id="7" w:name="docs-internal-guid-11654f4d-7fff-e7bc-d7"/>
      <w:bookmarkEnd w:id="7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Ans: 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yellow"/>
          <w:u w:val="none"/>
          <w:effect w:val="none"/>
        </w:rPr>
        <w:drawing>
          <wp:inline distT="0" distB="0" distL="0" distR="0">
            <wp:extent cx="1562100" cy="96774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0" w:right="0" w:firstLine="72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Mode can lie anywhere between 4 to 10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  <w:tab/>
      </w:r>
    </w:p>
    <w:p>
      <w:pPr>
        <w:pStyle w:val="Normal"/>
        <w:spacing w:before="0" w:after="0"/>
        <w:ind w:left="1440" w:hanging="720"/>
        <w:contextualSpacing/>
        <w:rPr/>
      </w:pPr>
      <w:bookmarkStart w:id="8" w:name="docs-internal-guid-5c786223-7fff-35b5-fe"/>
      <w:bookmarkEnd w:id="8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Ans: Right Skewed.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Normal"/>
        <w:spacing w:before="0" w:after="0"/>
        <w:ind w:left="1440" w:hanging="720"/>
        <w:contextualSpacing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9" w:name="docs-internal-guid-fc8ab2a6-7fff-9682-4f"/>
      <w:bookmarkEnd w:id="9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Ans: Based on the data distribution, both the plots show the data is Right Skewed. Data has an outlier 25. 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Normal"/>
        <w:spacing w:before="0" w:after="0"/>
        <w:contextualSpacing/>
        <w:rPr>
          <w:rFonts w:ascii="Calibri;sans-serif" w:hAnsi="Calibri;sans-serif" w:eastAsia="" w:cs="BaskervilleBE-Regular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10" w:name="docs-internal-guid-8f2df95c-7fff-3ed5-84"/>
      <w:bookmarkEnd w:id="10"/>
      <w:r>
        <w:rPr>
          <w:rFonts w:eastAsia="" w:cs="BaskervilleBE-Regular"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Ans: </w:t>
      </w:r>
      <w:r>
        <w:rPr>
          <w:rFonts w:eastAsia="" w:cs="BaskervilleBE-Regular"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From the given data, one out of 200 calls is misdirected. So, the probability </w:t>
      </w:r>
      <w:r>
        <w:rPr>
          <w:rFonts w:eastAsia="" w:cs="BaskervilleBE-Regular"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of a call misdirecting =</w:t>
      </w:r>
      <w:r>
        <w:rPr>
          <w:rFonts w:eastAsia="" w:cs="BaskervilleBE-Regular"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 1/200 </w:t>
      </w:r>
    </w:p>
    <w:p>
      <w:pPr>
        <w:pStyle w:val="Normal"/>
        <w:spacing w:before="0" w:after="0"/>
        <w:contextualSpacing/>
        <w:rPr>
          <w:rFonts w:ascii="Calibri;sans-serif" w:hAnsi="Calibri;sans-serif" w:eastAsia="" w:cs="BaskervilleBE-Regular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eastAsia="" w:cs="BaskervilleBE-Regular"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probability of a call not misdirecting is 1-1/200 = 199/200</w:t>
      </w:r>
    </w:p>
    <w:p>
      <w:pPr>
        <w:pStyle w:val="Normal"/>
        <w:spacing w:before="0" w:after="0"/>
        <w:contextualSpacing/>
        <w:rPr>
          <w:rFonts w:ascii="Calibri;sans-serif" w:hAnsi="Calibri;sans-serif" w:eastAsia="" w:cs="BaskervilleBE-Regular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eastAsia="" w:cs="BaskervilleBE-Regular"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highlight w:val="yellow"/>
          <w:u w:val="none"/>
          <w:effect w:val="none"/>
        </w:rPr>
        <w:t>Probability that at least one in 5 attempted call reaches the wrong number = 1-(199/200)^5 = 0.025</w:t>
      </w:r>
    </w:p>
    <w:p>
      <w:pPr>
        <w:pStyle w:val="Normal"/>
        <w:spacing w:before="0" w:after="0"/>
        <w:contextualSpacing/>
        <w:rPr>
          <w:rFonts w:cs="BaskervilleBE-Regular"/>
        </w:rPr>
      </w:pPr>
      <w:r>
        <w:rPr>
          <w:rFonts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/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x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-2,000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-1,000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1000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2000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3000</w:t>
            </w:r>
          </w:p>
        </w:tc>
        <w:tc>
          <w:tcPr>
            <w:tcW w:w="207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TextBody"/>
        <w:spacing w:before="0" w:after="0"/>
        <w:contextualSpacing/>
        <w:rPr/>
      </w:pPr>
      <w:bookmarkStart w:id="11" w:name="docs-internal-guid-b7836cfc-7fff-0b91-1e"/>
      <w:bookmarkEnd w:id="11"/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Ans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: 2000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as it has the highest probability 0.3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TextBody"/>
        <w:numPr>
          <w:ilvl w:val="0"/>
          <w:numId w:val="0"/>
        </w:numPr>
        <w:spacing w:before="0" w:after="0"/>
        <w:ind w:left="1440" w:hanging="0"/>
        <w:contextualSpacing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bookmarkStart w:id="12" w:name="docs-internal-guid-f9bed252-7fff-cb0b-71"/>
      <w:bookmarkEnd w:id="12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Ans: Yes. 60% of the time they got profit.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spacing w:before="0" w:after="0"/>
        <w:contextualSpacing/>
        <w:rPr/>
      </w:pPr>
      <w:r>
        <w:rPr/>
        <w:tab/>
      </w: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E</w:t>
      </w:r>
      <w:r>
        <w:rPr>
          <w:rFonts w:ascii="arial;sans-serif" w:hAnsi="arial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19"/>
          <w:highlight w:val="yellow"/>
          <w:u w:val="none"/>
          <w:effect w:val="none"/>
        </w:rPr>
        <w:t>xpected value</w:t>
      </w: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2"/>
          <w:highlight w:val="yellow"/>
          <w:u w:val="none"/>
          <w:effect w:val="none"/>
        </w:rPr>
        <w:t> </w:t>
      </w:r>
      <w:r>
        <w:rPr>
          <w:rFonts w:ascii="arial;sans-serif" w:hAnsi="arial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19"/>
          <w:highlight w:val="yellow"/>
          <w:u w:val="none"/>
          <w:effect w:val="none"/>
        </w:rPr>
        <w:t>(EV) is an anticipated value</w:t>
      </w: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2"/>
          <w:highlight w:val="yellow"/>
          <w:u w:val="none"/>
          <w:effect w:val="none"/>
        </w:rPr>
        <w:t> </w:t>
      </w:r>
      <w:r>
        <w:rPr>
          <w:rFonts w:ascii="arial;sans-serif" w:hAnsi="arial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19"/>
          <w:highlight w:val="yellow"/>
          <w:u w:val="none"/>
          <w:effect w:val="none"/>
        </w:rPr>
        <w:t>for an investment at some point in the future</w:t>
      </w: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 </w:t>
      </w:r>
    </w:p>
    <w:p>
      <w:pPr>
        <w:pStyle w:val="TextBody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rFonts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 xml:space="preserve">EV = x*P(x) </w:t>
      </w:r>
    </w:p>
    <w:p>
      <w:pPr>
        <w:pStyle w:val="TextBody"/>
        <w:spacing w:before="0" w:after="0"/>
        <w:contextualSpacing/>
        <w:rPr>
          <w:rFonts w:eastAsiaTheme="minorEastAsia"/>
          <w:highlight w:val="yellow"/>
        </w:rPr>
      </w:pPr>
      <w:r>
        <w:rPr>
          <w:rFonts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</w:r>
      <w:r>
        <w:rPr>
          <w:rFonts w:eastAsiaTheme="minorEastAsia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= (-2000*0.1) + (-1000*0.1) + (0*0.2) + (1000*0.2) + (2000*0.3) + (3000*0.1)</w:t>
      </w:r>
    </w:p>
    <w:p>
      <w:pPr>
        <w:pStyle w:val="ListParagraph"/>
        <w:spacing w:before="0" w:after="0"/>
        <w:contextualSpacing/>
        <w:rPr/>
      </w:pP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Calibri;sans-serif" w:hAnsi="Calibri;sans-serif" w:eastAsiaTheme="minorEastAs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= 800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spacing w:before="0" w:after="0"/>
        <w:contextualSpacing/>
        <w:rPr/>
      </w:pPr>
      <w:r>
        <w:rPr/>
        <w:tab/>
      </w:r>
      <w:bookmarkStart w:id="13" w:name="docs-internal-guid-c4d690f4-7fff-6880-4d"/>
      <w:bookmarkEnd w:id="13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Ans: (sd(x)) = 1870.829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modern"/>
    <w:pitch w:val="fixed"/>
  </w:font>
  <w:font w:name="Calibri">
    <w:charset w:val="01"/>
    <w:family w:val="swiss"/>
    <w:pitch w:val="variable"/>
  </w:font>
  <w:font w:name="Calibri">
    <w:altName w:val="sans-serif"/>
    <w:charset w:val="00"/>
    <w:family w:val="auto"/>
    <w:pitch w:val="default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Trio_Office/6.2.8.2$Windows_x86 LibreOffice_project/</Application>
  <Pages>4</Pages>
  <Words>638</Words>
  <Characters>3183</Characters>
  <CharactersWithSpaces>3743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2021-05-08T17:51:10Z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