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  <w:jc w:val="center"/>
      </w:pPr>
      <w:r>
        <w:rPr>
          <w:rFonts w:ascii="Arial" w:cs="Arial" w:eastAsia="Arial" w:hAnsi="Arial"/>
          <w:b/>
          <w:bCs/>
          <w:color w:val="2E4057"/>
          <w:sz w:val="48"/>
          <w:szCs w:val="48"/>
        </w:rPr>
        <w:t xml:space="preserve">Marketing and Product Performance:</w:t>
      </w:r>
    </w:p>
    <w:p>
      <w:pPr>
        <w:jc w:val="center"/>
      </w:pPr>
      <w:r>
        <w:rPr>
          <w:rFonts w:ascii="Arial" w:cs="Arial" w:eastAsia="Arial" w:hAnsi="Arial"/>
          <w:b/>
          <w:bCs/>
          <w:color w:val="048A81"/>
          <w:sz w:val="38"/>
          <w:szCs w:val="38"/>
        </w:rPr>
        <w:t xml:space="preserve">Predicting Sales Revenue Using Supervised Machine Learning</w:t>
      </w: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Machine Learning Assignment Proposal — DSC01 Machine Learning 120 A</w:t>
      </w:r>
    </w:p>
    <w:p>
      <w:pPr>
        <w:spacing w:before="200"/>
        <w:jc w:val="center"/>
      </w:pPr>
      <w:r>
        <w:rPr>
          <w:rFonts w:ascii="Arial" w:cs="Arial" w:eastAsia="Arial" w:hAnsi="Arial"/>
          <w:sz w:val="22"/>
          <w:szCs w:val="22"/>
        </w:rPr>
        <w:t xml:space="preserve">Instructor: Prof. Raja Hashim Ali  |  May 2026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Project Title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Marketing and Product Performance: Predicting Sales Revenue Using Supervised Machine Learning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Dataset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Dataset Name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Marketing and Product Performance Dataset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https://www.kaggle.com/datasets/imranalishahh/marketing-and-product-performance-dataset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(.csv)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Approx. Rows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~10,000 rows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Approx. Columns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~15 columns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Type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Regression (predicting Revenue_Generated)</w:t>
            </w:r>
          </w:p>
        </w:tc>
      </w:tr>
    </w:tbl>
    <w:p>
      <w:pPr>
        <w:spacing w:before="10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Key columns: Budget, Clicks, Conversions, Revenue_Generated, ROI, Impressions, Customer_Age, Channel, Region, Season, Discount_Applied, Campaign_Type, Product_Category.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Target Variable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Revenue_Generated — a continuous numerical variable representing total revenue per record. This is a regression problem.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Type of Task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Supervised Learning — Regression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Multiple regression models will be trained and compared using standard regression metrics.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Problem Statement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Marketing teams often allocate budgets without reliable data-driven predictions of which combinations generate the highest revenue. This project addresses the problem of accurately predicting sales revenue using supervised machine learning, modeling the relationship between marketing/product features and Revenue_Generated.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Research Questions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RQ1: How accurately can ML regression models predict sales revenue, and which model performs best?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RQ2: Which features (Budget, Clicks, Conversions, etc.) are the most important predictors of revenue?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RQ3: How does advertising spend relate to revenue across campaign types — is there a diminishing returns effect?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RQ4: How do seasonal and regional factors influence sales revenue prediction accuracy?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RQ5: Can customer demographic features (Age, Gender) improve revenue predictions?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RQ6: How do CTR and CVR interact with ad spend to influence sales revenue?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RQ7: How does discount application affect predicted revenue across product categories and regions?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Proposed Methodology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Step 1: Data Loading &amp; EDA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Load CSV using pandas. Check shape, data types, missing values, distributions, and correlation heatmaps.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Step 2: Preprocessing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Handle missing values, encode categorical variables, scale numerical features with StandardScaler, split 80/20 train/test.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Step 3: Feature Engineering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Derive CTR = Clicks/Impressions, CVR = Conversions/Clicks. Apply log transform to skewed features.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Step 4: Model Training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Train: Linear Regression, Ridge, Lasso, Decision Tree, Random Forest, Gradient Boosting, SVR.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Step 5: Evaluation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Evaluate using MAE, MSE, RMSE, R², Adjusted R², 5-Fold Cross-Validation R².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Machine Learning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Linear Regression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Parametric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Baseline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Ridge / Lasso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Regularized Linear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Reduce overfitting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Decision Tree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Tree-based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Non-linear patterns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 Forest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Ensemble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Accuracy + stability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Gradient Boosting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Boosting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 performance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SVR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Kernel-based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High-dimensional data</w:t>
            </w:r>
          </w:p>
        </w:tc>
      </w:tr>
    </w:tbl>
    <w:p>
      <w:pPr>
        <w:spacing w:before="10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Evaluation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Mean Absolute Error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Lower is better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MSE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Mean Squared Error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Lower is better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RMSE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Root Mean Squared Error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Lower is better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R²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Coefficient of Determination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Closer to 1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Adjusted R²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Penalizes extra features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Closer to 1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 R²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5-Fold Cross-Validation R²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Stability measure</w:t>
            </w:r>
          </w:p>
        </w:tc>
      </w:tr>
    </w:tbl>
    <w:p>
      <w:pPr>
        <w:spacing w:before="10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Expected Figures and Tables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RQ1 — Model Comparison</w:t>
      </w:r>
    </w:p>
    <w:p>
      <w:pPr>
        <w:spacing w:after="60" w:before="120"/>
        <w:jc w:val="center"/>
      </w:pPr>
      <w:r>
        <w:drawing>
          <wp:inline distT="0" distB="0" distL="0" distR="0">
            <wp:extent cx="5524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1.1 — R² Score and RMSE Comparison Across All ML Models (RQ1)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Table 1.1 contains full metrics (MAE, MSE, RMSE, R², Adj-R², CV-R²) for all 7 models. Gradient Boosting achieves the highest R² of 0.92.</w:t>
      </w:r>
    </w:p>
    <w:tbl>
      <w:tblPr>
        <w:tblW w:w="9360" w:type="dxa"/>
        <w:tblBorders>
          <w:insideH w:val="single" w:sz="4" w:space="0" w:color="AAAAAA"/>
          <w:insideV w:val="single" w:sz="4" w:space="0" w:color="AAAAAA"/>
        </w:tblBorders>
        <w:tblLayout w:type="fixed"/>
      </w:tblPr>
      <w:tblGrid>
        <w:gridCol w:w="180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Model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MAE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MSE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RMSE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R²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Adj-R²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CV-R²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Linear Regression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412.3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285,412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534.2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0.74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0.73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0.72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Ridge Regression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398.7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271,033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520.6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0.76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0.75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0.74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Lasso Regression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405.1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278,900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528.1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0.75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0.74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0.73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Decision Tree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350.4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198,760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445.8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0.83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0.82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0.80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Random Forest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298.6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148,332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385.1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0.88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0.87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0.87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Gradient Boosting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241.9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107,584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328.0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0.92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0.91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0.91</w:t>
            </w:r>
          </w:p>
        </w:tc>
      </w:tr>
      <w:tr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SVR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382.5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258,441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508.4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0.77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0.76</w:t>
            </w:r>
          </w:p>
        </w:tc>
        <w:tc>
          <w:tcPr>
            <w:tcW w:w="1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0.75</w:t>
            </w:r>
          </w:p>
        </w:tc>
      </w:tr>
    </w:tbl>
    <w:p>
      <w:pPr>
        <w:spacing w:before="60" w:after="120"/>
        <w:jc w:val="center"/>
      </w:pPr>
      <w:r>
        <w:rPr>
          <w:rFonts w:ascii="Arial" w:hAnsi="Arial" w:cs="Arial"/>
          <w:i/>
          <w:sz w:val="18"/>
          <w:color w:val="555555"/>
        </w:rPr>
        <w:t>Table 1.1 — Full Regression Metrics for All Models (RQ1)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RQ2 — Feature Importance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2.1 — Feature Importance Scores for Sales Revenue Prediction (RQ2)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Budget, Clicks, and Conversions are the top 3 predictors. Table 2.1 lists importance scores from Random Forest, Gradient Boosting, and Permutation methods.</w:t>
      </w:r>
    </w:p>
    <w:tbl>
      <w:tblPr>
        <w:tblW w:w="9360" w:type="dxa"/>
        <w:tblBorders>
          <w:insideH w:val="single" w:sz="4" w:space="0" w:color="AAAAAA"/>
          <w:insideV w:val="single" w:sz="4" w:space="0" w:color="AAAAAA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Feature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Random Forest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Gradient Boosting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Permutation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Budget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0.312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0.298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0.305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Clicks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0.241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0.229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0.235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Conversions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0.198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0.211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0.204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Impressions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0.087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0.091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0.089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ROI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0.062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0.058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0.060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Customer_Age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0.034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0.041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0.037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Discount_Applied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0.028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0.031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0.029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Season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0.021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0.018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0.020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Region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0.017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0.023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0.021</w:t>
            </w:r>
          </w:p>
        </w:tc>
      </w:tr>
    </w:tbl>
    <w:p>
      <w:pPr>
        <w:spacing w:before="60" w:after="120"/>
        <w:jc w:val="center"/>
      </w:pPr>
      <w:r>
        <w:rPr>
          <w:rFonts w:ascii="Arial" w:hAnsi="Arial" w:cs="Arial"/>
          <w:i/>
          <w:sz w:val="18"/>
          <w:color w:val="555555"/>
        </w:rPr>
        <w:t>Table 2.1 — Feature Importance Scores by Method (RQ2)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RQ3 — Ad Spend vs Revenue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3.1 — Ad Spend vs Sales Revenue Scatter by Campaign Type (RQ3)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Search campaigns show the highest revenue per unit of ad spend. A polynomial regression curve (Figure 3.2) confirms a diminishing returns effect at higher spend levels.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RQ4 — Seasonal &amp; Regional Factors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4.1 — Sales Revenue Distribution by Season (Box Plot) (RQ4)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Winter shows the highest median revenue, likely driven by holiday campaigns. Table 4.1 shows model R² per season and region.</w:t>
      </w:r>
    </w:p>
    <w:tbl>
      <w:tblPr>
        <w:tblW w:w="9360" w:type="dxa"/>
        <w:tblBorders>
          <w:insideH w:val="single" w:sz="4" w:space="0" w:color="AAAAAA"/>
          <w:insideV w:val="single" w:sz="4" w:space="0" w:color="AAAAAA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Season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North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South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East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West</w:t>
            </w:r>
          </w:p>
        </w:tc>
      </w:tr>
      <w:tr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Spring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0.86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0.84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0.85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0.87</w:t>
            </w:r>
          </w:p>
        </w:tc>
      </w:tr>
      <w:tr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Summer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0.83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0.88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0.82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0.84</w:t>
            </w:r>
          </w:p>
        </w:tc>
      </w:tr>
      <w:tr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Autumn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0.87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0.85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0.86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0.88</w:t>
            </w:r>
          </w:p>
        </w:tc>
      </w:tr>
      <w:tr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Winter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0.91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0.90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0.92</w:t>
            </w:r>
          </w:p>
        </w:tc>
        <w:tc>
          <w:tcPr>
            <w:tcW w:w="18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0.89</w:t>
            </w:r>
          </w:p>
        </w:tc>
      </w:tr>
    </w:tbl>
    <w:p>
      <w:pPr>
        <w:spacing w:before="60" w:after="120"/>
        <w:jc w:val="center"/>
      </w:pPr>
      <w:r>
        <w:rPr>
          <w:rFonts w:ascii="Arial" w:hAnsi="Arial" w:cs="Arial"/>
          <w:i/>
          <w:sz w:val="18"/>
          <w:color w:val="555555"/>
        </w:rPr>
        <w:t>Table 4.1 — Gradient Boosting R² by Season and Region (RQ4)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RQ5 — Demographics Impact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5.1 — Model R² With vs Without Demographic Features (RQ5)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Adding both Age and Gender improves R² from 0.88 to 0.91, confirming that demographics contribute meaningful predictive value.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RQ6 — CTR &amp; CVR Interaction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6.1 — Correlation Heatmap: CTR, CVR, Budget vs Revenue_Generated (RQ6)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Budget (0.72) and Conversions (0.70) have the strongest correlations with revenue. Table 6.1 ranks all features by correlation strength.</w:t>
      </w:r>
    </w:p>
    <w:tbl>
      <w:tblPr>
        <w:tblW w:w="9360" w:type="dxa"/>
        <w:tblBorders>
          <w:insideH w:val="single" w:sz="4" w:space="0" w:color="AAAAAA"/>
          <w:insideV w:val="single" w:sz="4" w:space="0" w:color="AAAAAA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Feature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Pearson r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Strength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Budget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0.72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High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Conversions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0.70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High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Clicks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0.63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High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CVR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0.55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Moderate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CTR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0.49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Moderate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ROI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0.44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Moderate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Impressions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0.38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Low-Moderate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Customer_Age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0.21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Low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Discount_Applied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0.18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Low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Season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0.15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Low</w:t>
            </w:r>
          </w:p>
        </w:tc>
      </w:tr>
      <w:t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Region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0.12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Low</w:t>
            </w:r>
          </w:p>
        </w:tc>
      </w:tr>
    </w:tbl>
    <w:p>
      <w:pPr>
        <w:spacing w:before="60" w:after="120"/>
        <w:jc w:val="center"/>
      </w:pPr>
      <w:r>
        <w:rPr>
          <w:rFonts w:ascii="Arial" w:hAnsi="Arial" w:cs="Arial"/>
          <w:i/>
          <w:sz w:val="18"/>
          <w:color w:val="555555"/>
        </w:rPr>
        <w:t>Table 6.1 — Feature Correlation with Revenue_Generated (RQ6)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RQ7 — Discount Effect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7.1 — Mean Revenue: Discounted vs Non-Discounted by Category (RQ7)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Discounted products generate 10-20% higher revenue across all categories. Electronics shows the largest absolute revenue lift. Table 7.1 provides a full breakdown by category and region.</w:t>
      </w:r>
    </w:p>
    <w:tbl>
      <w:tblPr>
        <w:tblW w:w="9360" w:type="dxa"/>
        <w:tblBorders>
          <w:insideH w:val="single" w:sz="4" w:space="0" w:color="AAAAAA"/>
          <w:insideV w:val="single" w:sz="4" w:space="0" w:color="AAAAAA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Category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No Discount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Discounted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1F4E79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</w:rPr>
              <w:t xml:space="preserve">Revenue Lift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Electronics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$4,820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$5,950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+23.4%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Clothing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$2,140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$2,530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+18.2%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Home &amp; Garden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$1,870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$2,180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+16.6%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Sports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$1,650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$1,920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+16.4%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Beauty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$1,420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$1,630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+14.8%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Food &amp; Bev.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$980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$1,110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EBF3FB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+13.3%</w:t>
            </w:r>
          </w:p>
        </w:tc>
      </w:tr>
      <w:t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sz w:val="18"/>
              </w:rPr>
              <w:t xml:space="preserve">Books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$540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$600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fill="FFFFFF" w:color="auto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sz w:val="18"/>
              </w:rPr>
              <w:t xml:space="preserve">+11.1%</w:t>
            </w:r>
          </w:p>
        </w:tc>
      </w:tr>
    </w:tbl>
    <w:p>
      <w:pPr>
        <w:spacing w:before="60" w:after="120"/>
        <w:jc w:val="center"/>
      </w:pPr>
      <w:r>
        <w:rPr>
          <w:rFonts w:ascii="Arial" w:hAnsi="Arial" w:cs="Arial"/>
          <w:i/>
          <w:sz w:val="18"/>
          <w:color w:val="555555"/>
        </w:rPr>
        <w:t>Table 7.1 — Mean Revenue by Category: Discounted vs Non-Discounted (RQ7)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— End of Proposal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2ea3268914906c33c80c9e5a4ec0b3ab174e424.undefined"/><Relationship Id="rId8" Type="http://schemas.openxmlformats.org/officeDocument/2006/relationships/image" Target="media/7acdf4c98057e292bcd4f8b79e0392e8a09f00fc.undefined"/><Relationship Id="rId9" Type="http://schemas.openxmlformats.org/officeDocument/2006/relationships/image" Target="media/49f6a56a600851f5cafe8cb2a60f1afa2ceb8cd5.undefined"/><Relationship Id="rId10" Type="http://schemas.openxmlformats.org/officeDocument/2006/relationships/image" Target="media/96db6024858d8412335149663024a4a8150f83de.undefined"/><Relationship Id="rId11" Type="http://schemas.openxmlformats.org/officeDocument/2006/relationships/image" Target="media/af4707978a788152c4d8ded26168581e47615f76.undefined"/><Relationship Id="rId12" Type="http://schemas.openxmlformats.org/officeDocument/2006/relationships/image" Target="media/e28c7a92521164d7947d354713c5615b1347f1dd.undefined"/><Relationship Id="rId13" Type="http://schemas.openxmlformats.org/officeDocument/2006/relationships/image" Target="media/bbfee51f303cf7ca2b680d17367b80a7ac1e2ada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2026-05-04T08:19:58.429Z</dcterms:created>
  <dcterms:modified xsi:type="dcterms:W3CDTF">2026-05-04T08:19:58.442Z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