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Lumina: An Intelligent Multi-Agent Adaptive Learning Management System with Bayesian Knowledge Tracing, Deep Knowledge Tracing, and Reinforcement Learning for Personalized Education</w:t>
      </w:r>
    </w:p>
    <w:p>
      <w:pPr>
        <w:spacing w:after="40"/>
        <w:jc w:val="center"/>
      </w:pPr>
      <w:r>
        <w:rPr>
          <w:rFonts w:ascii="Times New Roman" w:cs="Times New Roman" w:eastAsia="Times New Roman" w:hAnsi="Times New Roman"/>
          <w:b/>
          <w:bCs/>
          <w:sz w:val="22"/>
          <w:szCs w:val="22"/>
        </w:rPr>
        <w:t xml:space="preserve">Dr. Rayudu Srinivas</w:t>
      </w:r>
    </w:p>
    <w:p>
      <w:pPr>
        <w:spacing w:after="40"/>
        <w:jc w:val="center"/>
      </w:pPr>
      <w:r>
        <w:rPr>
          <w:rFonts w:ascii="Times New Roman" w:cs="Times New Roman" w:eastAsia="Times New Roman" w:hAnsi="Times New Roman"/>
          <w:i/>
          <w:iCs/>
          <w:sz w:val="20"/>
          <w:szCs w:val="20"/>
        </w:rPr>
        <w:t xml:space="preserve">Professor</w:t>
      </w:r>
    </w:p>
    <w:p>
      <w:pPr>
        <w:spacing w:after="80"/>
        <w:jc w:val="center"/>
      </w:pPr>
      <w:r>
        <w:rPr>
          <w:rFonts w:ascii="Times New Roman" w:cs="Times New Roman" w:eastAsia="Times New Roman" w:hAnsi="Times New Roman"/>
          <w:sz w:val="22"/>
          <w:szCs w:val="22"/>
        </w:rPr>
        <w:t xml:space="preserve">Chepuri Hari Kiran, Pathivada Laxmi Ram Charan</w:t>
      </w:r>
    </w:p>
    <w:p>
      <w:pPr>
        <w:spacing w:after="240"/>
        <w:jc w:val="center"/>
      </w:pPr>
      <w:r>
        <w:rPr>
          <w:rFonts w:ascii="Times New Roman" w:cs="Times New Roman" w:eastAsia="Times New Roman" w:hAnsi="Times New Roman"/>
          <w:i/>
          <w:iCs/>
          <w:sz w:val="20"/>
          <w:szCs w:val="20"/>
        </w:rPr>
        <w:t xml:space="preserve">Department of Computer Science and Engineering</w:t>
      </w:r>
    </w:p>
    <w:p>
      <w:pPr>
        <w:spacing w:after="120" w:before="160"/>
        <w:jc w:val="center"/>
      </w:pPr>
      <w:r>
        <w:rPr>
          <w:rFonts w:ascii="Times New Roman" w:cs="Times New Roman" w:eastAsia="Times New Roman" w:hAnsi="Times New Roman"/>
          <w:b/>
          <w:bCs/>
          <w:i/>
          <w:iCs/>
          <w:sz w:val="24"/>
          <w:szCs w:val="24"/>
        </w:rPr>
        <w:t xml:space="preserve">Abstract</w:t>
      </w:r>
    </w:p>
    <w:p>
      <w:pPr>
        <w:spacing w:after="120" w:line="276"/>
        <w:jc w:val="both"/>
      </w:pPr>
      <w:r>
        <w:rPr>
          <w:rFonts w:ascii="Times New Roman" w:cs="Times New Roman" w:eastAsia="Times New Roman" w:hAnsi="Times New Roman"/>
          <w:sz w:val="18"/>
          <w:szCs w:val="18"/>
        </w:rPr>
        <w:t xml:space="preserve">The global educational technology market, valued at over $340 billion in 2024, faces a fundamental paradox: despite unprecedented investment, student outcomes remain stagnant, educator burnout continues to rise, and the promise of truly personalized learning remains unfulfilled. Current Learning Management Systems (LMS) treat education as a content distribution problem, employing rudimentary adaptive algorithms that personalize the surface rather than the substance of learning. This paper presents Lumina, a next-generation AI-powered self-hosted learning management system that addresses these systemic failures through a novel multi-agent architecture integrating Bayesian Knowledge Tracing (BKT), Deep Knowledge Tracing (DKT), Retrieval-Augmented Generation (RAG), and Reinforcement Learning (RL) for adaptive pathway optimization. Lumina introduces a closed-loop learning system where every student interaction generates behavioral data that feeds into personalization models, which in turn influence the next learning experience. The platform features six specialized AI agents—Tutor, Pathway, Assessment, Intervention, Analytics, and Guardian—coordinated through the Model Context Protocol (MCP) to deliver real-time, context-aware educational support. The system incorporates a four-dimensional scoring model measuring correctness, understanding, effort, and growth, along with a Student Behavior Engine that passively collects over 50 behavioral signals for proactive intervention. Experimental evaluation demonstrates 100% detection of struggling learners with zero false positives for healthy learners, processing throughput of approximately 3,400 inference runs per second, and sub-3-second execution time across 10,000 simulation iterations. Lumina operates as a privacy-first, self-hosted platform supporting local LLM inference, eliminating dependency on external API providers and ensuring compliance with FERPA, GDPR, and COPPA regulations.</w:t>
      </w:r>
    </w:p>
    <w:p>
      <w:pPr>
        <w:spacing w:after="20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Adaptive Learning, Bayesian Knowledge Tracing, Deep Knowledge Tracing, Multi-Agent Systems, Reinforcement Learning, Learning Management System, Retrieval-Augmented Generation, Intelligent Tutoring Systems</w:t>
      </w:r>
    </w:p>
    <w:p>
      <w:pPr>
        <w:spacing w:after="120" w:before="200"/>
        <w:jc w:val="left"/>
      </w:pPr>
      <w:r>
        <w:rPr>
          <w:rFonts w:ascii="Times New Roman" w:cs="Times New Roman" w:eastAsia="Times New Roman" w:hAnsi="Times New Roman"/>
          <w:b/>
          <w:bCs/>
          <w:sz w:val="24"/>
          <w:szCs w:val="24"/>
        </w:rPr>
        <w:t xml:space="preserve">I. INTRODUCTION</w:t>
      </w:r>
    </w:p>
    <w:p>
      <w:pPr>
        <w:spacing w:after="80" w:line="276"/>
        <w:jc w:val="both"/>
      </w:pPr>
      <w:r>
        <w:rPr>
          <w:rFonts w:ascii="Times New Roman" w:cs="Times New Roman" w:eastAsia="Times New Roman" w:hAnsi="Times New Roman"/>
          <w:sz w:val="20"/>
          <w:szCs w:val="20"/>
        </w:rPr>
        <w:t xml:space="preserve">The rapid proliferation of digital learning platforms has fundamentally transformed how education is delivered worldwide. With over 1.5 billion learners engaged in digital learning and the educational technology market surpassing $340 billion in 2024, the scale of online education is unprecedented [1]. However, this growth has not translated into proportionally improved learning outcomes. Studies show that 40-60% of online course enrollments result in non-completion, with learner disengagement cited as the primary cause [2]. In corporate training environments, only 12% of employees apply skills learned from digital training programs to their work [3]. This disconnect between investment and outcomes represents a fundamental crisis in educational technology.</w:t>
      </w:r>
    </w:p>
    <w:p>
      <w:pPr>
        <w:spacing w:after="80" w:line="276"/>
        <w:ind w:firstLine="360"/>
        <w:jc w:val="both"/>
      </w:pPr>
      <w:r>
        <w:rPr>
          <w:rFonts w:ascii="Times New Roman" w:cs="Times New Roman" w:eastAsia="Times New Roman" w:hAnsi="Times New Roman"/>
          <w:sz w:val="20"/>
          <w:szCs w:val="20"/>
        </w:rPr>
        <w:t xml:space="preserve">Current Learning Management Systems (LMS) such as Moodle, Blackboard, Canvas, Coursera, and Udemy operate on an industrial-age model that treats education as a content distribution problem rather than a learning facilitation challenge [4]. These platforms deliver identical course materials to millions of learners regardless of prior knowledge levels, learning pace, cognitive preferences, cultural contexts, or accessibility needs. Even second-generation platforms claiming AI-powered personalization typically implement rudimentary adaptive algorithms that adjust difficulty based solely on correctness metrics, recommend content using collaborative filtering, and optimize for engagement metrics rather than deep learning [5].</w:t>
      </w:r>
    </w:p>
    <w:p>
      <w:pPr>
        <w:spacing w:after="80" w:line="276"/>
        <w:ind w:firstLine="360"/>
        <w:jc w:val="both"/>
      </w:pPr>
      <w:r>
        <w:rPr>
          <w:rFonts w:ascii="Times New Roman" w:cs="Times New Roman" w:eastAsia="Times New Roman" w:hAnsi="Times New Roman"/>
          <w:sz w:val="20"/>
          <w:szCs w:val="20"/>
        </w:rPr>
        <w:t xml:space="preserve">The assessment paradigm in digital education has barely evolved beyond multiple-choice questions and auto-graded assignments. Current systems exhibit critical deficiencies including binary evaluation without recognition of partial understanding, delayed feedback loops that intervene after learning failures rather than preventing them, and assessment inauthenticity where tests measure recall rather than application, analysis, or synthesis [6]. The educational assessment industry generates $4 billion annually, yet employers consistently report that 60% of recent graduates lack practical problem-solving skills despite passing grades [7].</w:t>
      </w:r>
    </w:p>
    <w:p>
      <w:pPr>
        <w:spacing w:after="80" w:line="276"/>
        <w:ind w:firstLine="360"/>
        <w:jc w:val="both"/>
      </w:pPr>
      <w:r>
        <w:rPr>
          <w:rFonts w:ascii="Times New Roman" w:cs="Times New Roman" w:eastAsia="Times New Roman" w:hAnsi="Times New Roman"/>
          <w:sz w:val="20"/>
          <w:szCs w:val="20"/>
        </w:rPr>
        <w:t xml:space="preserve">Furthermore, existing platforms suffer from a behavioral intelligence gap, reducing the complexity of learning behavior to simplistic metrics such as time on page, completion rates, and click patterns that fail to capture cognitive engagement, struggle signals, or consolidation patterns [8]. Without behavioral intelligence, personalization is fundamentally guesswork. Educators spend 25-40% of their work time on administrative tasks that add no direct educational value, contributing to burnout rates exceeding 44% in the United States [9].</w:t>
      </w:r>
    </w:p>
    <w:p>
      <w:pPr>
        <w:spacing w:after="80" w:line="276"/>
        <w:ind w:firstLine="360"/>
        <w:jc w:val="both"/>
      </w:pPr>
      <w:r>
        <w:rPr>
          <w:rFonts w:ascii="Times New Roman" w:cs="Times New Roman" w:eastAsia="Times New Roman" w:hAnsi="Times New Roman"/>
          <w:sz w:val="20"/>
          <w:szCs w:val="20"/>
        </w:rPr>
        <w:t xml:space="preserve">This paper presents Lumina, a next-generation AI-powered self-hosted learning management system that addresses these systemic failures through a novel multi-agent architecture. The key contributions of this research are:</w:t>
      </w:r>
    </w:p>
    <w:p>
      <w:pPr>
        <w:spacing w:after="60" w:line="276"/>
        <w:ind w:left="720"/>
        <w:jc w:val="both"/>
      </w:pPr>
      <w:r>
        <w:rPr>
          <w:rFonts w:ascii="Times New Roman" w:cs="Times New Roman" w:eastAsia="Times New Roman" w:hAnsi="Times New Roman"/>
          <w:sz w:val="20"/>
          <w:szCs w:val="20"/>
        </w:rPr>
        <w:t xml:space="preserve">(1) A closed-loop multi-agent learning system integrating six specialized AI agents coordinated through the Model Context Protocol (MCP) for real-time, context-aware educational support.</w:t>
      </w:r>
    </w:p>
    <w:p>
      <w:pPr>
        <w:spacing w:after="60" w:line="276"/>
        <w:ind w:left="720"/>
        <w:jc w:val="both"/>
      </w:pPr>
      <w:r>
        <w:rPr>
          <w:rFonts w:ascii="Times New Roman" w:cs="Times New Roman" w:eastAsia="Times New Roman" w:hAnsi="Times New Roman"/>
          <w:sz w:val="20"/>
          <w:szCs w:val="20"/>
        </w:rPr>
        <w:t xml:space="preserve">(2) A hybrid knowledge tracing framework combining Bayesian Knowledge Tracing (BKT) and Deep Knowledge Tracing (DKT) with a four-dimensional scoring model measuring correctness, understanding, effort, and growth.</w:t>
      </w:r>
    </w:p>
    <w:p>
      <w:pPr>
        <w:spacing w:after="60" w:line="276"/>
        <w:ind w:left="720"/>
        <w:jc w:val="both"/>
      </w:pPr>
      <w:r>
        <w:rPr>
          <w:rFonts w:ascii="Times New Roman" w:cs="Times New Roman" w:eastAsia="Times New Roman" w:hAnsi="Times New Roman"/>
          <w:sz w:val="20"/>
          <w:szCs w:val="20"/>
        </w:rPr>
        <w:t xml:space="preserve">(3) A Student Behavior Engine that passively collects over 50 behavioral signals to enable proactive intervention through predictive analytics.</w:t>
      </w:r>
    </w:p>
    <w:p>
      <w:pPr>
        <w:spacing w:after="60" w:line="276"/>
        <w:ind w:left="720"/>
        <w:jc w:val="both"/>
      </w:pPr>
      <w:r>
        <w:rPr>
          <w:rFonts w:ascii="Times New Roman" w:cs="Times New Roman" w:eastAsia="Times New Roman" w:hAnsi="Times New Roman"/>
          <w:sz w:val="20"/>
          <w:szCs w:val="20"/>
        </w:rPr>
        <w:t xml:space="preserve">(4) A Reinforcement Learning-based Pathway Agent using Proximal Policy Optimization (PPO) for adaptive curriculum sequencing.</w:t>
      </w:r>
    </w:p>
    <w:p>
      <w:pPr>
        <w:spacing w:after="120" w:line="276"/>
        <w:ind w:left="720"/>
        <w:jc w:val="both"/>
      </w:pPr>
      <w:r>
        <w:rPr>
          <w:rFonts w:ascii="Times New Roman" w:cs="Times New Roman" w:eastAsia="Times New Roman" w:hAnsi="Times New Roman"/>
          <w:sz w:val="20"/>
          <w:szCs w:val="20"/>
        </w:rPr>
        <w:t xml:space="preserve">(5) A privacy-first, self-hosted architecture supporting local LLM inference that eliminates dependency on external AI providers while ensuring regulatory compliance.</w:t>
      </w:r>
    </w:p>
    <w:p>
      <w:pPr>
        <w:spacing w:after="120" w:before="200"/>
        <w:jc w:val="left"/>
      </w:pPr>
      <w:r>
        <w:rPr>
          <w:rFonts w:ascii="Times New Roman" w:cs="Times New Roman" w:eastAsia="Times New Roman" w:hAnsi="Times New Roman"/>
          <w:b/>
          <w:bCs/>
          <w:sz w:val="24"/>
          <w:szCs w:val="24"/>
        </w:rPr>
        <w:t xml:space="preserve">II. RELATED WORK</w:t>
      </w:r>
    </w:p>
    <w:p>
      <w:pPr>
        <w:spacing w:after="80" w:line="276"/>
        <w:jc w:val="both"/>
      </w:pPr>
      <w:r>
        <w:rPr>
          <w:rFonts w:ascii="Times New Roman" w:cs="Times New Roman" w:eastAsia="Times New Roman" w:hAnsi="Times New Roman"/>
          <w:sz w:val="20"/>
          <w:szCs w:val="20"/>
        </w:rPr>
        <w:t xml:space="preserve">This section reviews existing research and systems across several dimensions relevant to Lumina's design: adaptive learning platforms, knowledge tracing models, intelligent tutoring systems, multi-agent architectures, and privacy-preserving educational AI.</w:t>
      </w:r>
    </w:p>
    <w:p>
      <w:pPr>
        <w:spacing w:after="80" w:before="160"/>
        <w:jc w:val="left"/>
      </w:pPr>
      <w:r>
        <w:rPr>
          <w:rFonts w:ascii="Times New Roman" w:cs="Times New Roman" w:eastAsia="Times New Roman" w:hAnsi="Times New Roman"/>
          <w:b/>
          <w:bCs/>
          <w:i/>
          <w:iCs/>
          <w:sz w:val="22"/>
          <w:szCs w:val="22"/>
        </w:rPr>
        <w:t xml:space="preserve">A. Adaptive Learning Platforms</w:t>
      </w:r>
    </w:p>
    <w:p>
      <w:pPr>
        <w:spacing w:after="80" w:line="276"/>
        <w:ind w:firstLine="360"/>
        <w:jc w:val="both"/>
      </w:pPr>
      <w:r>
        <w:rPr>
          <w:rFonts w:ascii="Times New Roman" w:cs="Times New Roman" w:eastAsia="Times New Roman" w:hAnsi="Times New Roman"/>
          <w:sz w:val="20"/>
          <w:szCs w:val="20"/>
        </w:rPr>
        <w:t xml:space="preserve">Duolingo employs spaced repetition and adaptive difficulty adjustment for language learning but relies on simple correctness metrics without modeling deep conceptual understanding [10]. Carnegie Learning's MATHia implements cognitive tutoring based on ACT-R theory, providing step-by-step guidance but limited to mathematics and lacking multi-agent coordination [11]. Century Tech uses a neural network-based system for content recommendation but operates as a cloud-dependent platform with limited institutional control over data [12]. Knewton's adaptive platform applied Bayesian inference for content sequencing but was criticized for optimizing engagement over deep learning and was ultimately acquired due to scalability challenges [13].</w:t>
      </w:r>
    </w:p>
    <w:p>
      <w:pPr>
        <w:spacing w:after="80" w:before="160"/>
        <w:jc w:val="left"/>
      </w:pPr>
      <w:r>
        <w:rPr>
          <w:rFonts w:ascii="Times New Roman" w:cs="Times New Roman" w:eastAsia="Times New Roman" w:hAnsi="Times New Roman"/>
          <w:b/>
          <w:bCs/>
          <w:i/>
          <w:iCs/>
          <w:sz w:val="22"/>
          <w:szCs w:val="22"/>
        </w:rPr>
        <w:t xml:space="preserve">B. Knowledge Tracing Models</w:t>
      </w:r>
    </w:p>
    <w:p>
      <w:pPr>
        <w:spacing w:after="80" w:line="276"/>
        <w:ind w:firstLine="360"/>
        <w:jc w:val="both"/>
      </w:pPr>
      <w:r>
        <w:rPr>
          <w:rFonts w:ascii="Times New Roman" w:cs="Times New Roman" w:eastAsia="Times New Roman" w:hAnsi="Times New Roman"/>
          <w:sz w:val="20"/>
          <w:szCs w:val="20"/>
        </w:rPr>
        <w:t xml:space="preserve">Corbett and Anderson introduced Bayesian Knowledge Tracing (BKT) in 1994, modeling student knowledge as a binary latent variable updated through observed responses [14]. Pardos and Heffernan extended BKT with individualized parameters, improving prediction accuracy [15]. Piech et al. proposed Deep Knowledge Tracing (DKT) using recurrent neural networks to model student learning as a sequential process, demonstrating superior predictive performance on benchmark datasets [16]. Zhang et al. combined attention mechanisms with knowledge tracing, enabling dynamic weighting of historical interactions [17]. However, existing systems typically employ either BKT or DKT in isolation rather than leveraging their complementary strengths—BKT's interpretability and DKT's sequential modeling capacity.</w:t>
      </w:r>
    </w:p>
    <w:p>
      <w:pPr>
        <w:spacing w:after="80" w:before="160"/>
        <w:jc w:val="left"/>
      </w:pPr>
      <w:r>
        <w:rPr>
          <w:rFonts w:ascii="Times New Roman" w:cs="Times New Roman" w:eastAsia="Times New Roman" w:hAnsi="Times New Roman"/>
          <w:b/>
          <w:bCs/>
          <w:i/>
          <w:iCs/>
          <w:sz w:val="22"/>
          <w:szCs w:val="22"/>
        </w:rPr>
        <w:t xml:space="preserve">C. Intelligent Tutoring Systems</w:t>
      </w:r>
    </w:p>
    <w:p>
      <w:pPr>
        <w:spacing w:after="80" w:line="276"/>
        <w:ind w:firstLine="360"/>
        <w:jc w:val="both"/>
      </w:pPr>
      <w:r>
        <w:rPr>
          <w:rFonts w:ascii="Times New Roman" w:cs="Times New Roman" w:eastAsia="Times New Roman" w:hAnsi="Times New Roman"/>
          <w:sz w:val="20"/>
          <w:szCs w:val="20"/>
        </w:rPr>
        <w:t xml:space="preserve">VanLehn's review of intelligent tutoring systems identified the 2-sigma problem: human tutoring produces learning gains two standard deviations above classroom instruction, while commercial ITS systems typically achieve only 0.2-sigma gains [18]. AutoTutor by Graesser et al. demonstrated Socratic dialogue capabilities using latent semantic analysis [19]. However, no existing commercial system integrates Socratic tutoring with real-time knowledge tracing, behavioral analytics, and adaptive pathway generation within a unified multi-agent framework.</w:t>
      </w:r>
    </w:p>
    <w:p>
      <w:pPr>
        <w:spacing w:after="80" w:before="160"/>
        <w:jc w:val="left"/>
      </w:pPr>
      <w:r>
        <w:rPr>
          <w:rFonts w:ascii="Times New Roman" w:cs="Times New Roman" w:eastAsia="Times New Roman" w:hAnsi="Times New Roman"/>
          <w:b/>
          <w:bCs/>
          <w:i/>
          <w:iCs/>
          <w:sz w:val="22"/>
          <w:szCs w:val="22"/>
        </w:rPr>
        <w:t xml:space="preserve">D. Multi-Agent Systems in Education</w:t>
      </w:r>
    </w:p>
    <w:p>
      <w:pPr>
        <w:spacing w:after="80" w:line="276"/>
        <w:ind w:firstLine="360"/>
        <w:jc w:val="both"/>
      </w:pPr>
      <w:r>
        <w:rPr>
          <w:rFonts w:ascii="Times New Roman" w:cs="Times New Roman" w:eastAsia="Times New Roman" w:hAnsi="Times New Roman"/>
          <w:sz w:val="20"/>
          <w:szCs w:val="20"/>
        </w:rPr>
        <w:t xml:space="preserve">Wooldridge and Jennings established foundational principles for multi-agent coordination [20]. Recent work by Park et al. demonstrated the potential of LLM-based agents for complex collaborative tasks [21]. The Model Context Protocol (MCP) proposed by Anthropic provides a standardized framework for agent-tool interaction [22]. However, the application of coordinated multi-agent architectures with standardized communication protocols to educational systems remains largely unexplored.</w:t>
      </w:r>
    </w:p>
    <w:p>
      <w:pPr>
        <w:spacing w:after="80" w:before="160"/>
        <w:jc w:val="left"/>
      </w:pPr>
      <w:r>
        <w:rPr>
          <w:rFonts w:ascii="Times New Roman" w:cs="Times New Roman" w:eastAsia="Times New Roman" w:hAnsi="Times New Roman"/>
          <w:b/>
          <w:bCs/>
          <w:i/>
          <w:iCs/>
          <w:sz w:val="22"/>
          <w:szCs w:val="22"/>
        </w:rPr>
        <w:t xml:space="preserve">E. Privacy-Preserving Educational AI</w:t>
      </w:r>
    </w:p>
    <w:p>
      <w:pPr>
        <w:spacing w:after="80" w:line="276"/>
        <w:ind w:firstLine="360"/>
        <w:jc w:val="both"/>
      </w:pPr>
      <w:r>
        <w:rPr>
          <w:rFonts w:ascii="Times New Roman" w:cs="Times New Roman" w:eastAsia="Times New Roman" w:hAnsi="Times New Roman"/>
          <w:sz w:val="20"/>
          <w:szCs w:val="20"/>
        </w:rPr>
        <w:t xml:space="preserve">McMahan et al. introduced federated learning for privacy-preserving model training across distributed datasets [23]. The UNESCO guidance for generative AI in education emphasizes human agency, equity, and data protection [24]. The U.S. Department of Education report on AI highlights the need for explainable, human-overridable AI systems in educational contexts [25]. Current cloud-dependent EdTech platforms face growing regulatory pressure regarding FERPA, GDPR, and COPPA compliance, yet fewer than 10% of institutions have formal AI governance policies [26].</w:t>
      </w:r>
    </w:p>
    <w:p>
      <w:pPr>
        <w:spacing w:after="80" w:before="160"/>
        <w:jc w:val="left"/>
      </w:pPr>
      <w:r>
        <w:rPr>
          <w:rFonts w:ascii="Times New Roman" w:cs="Times New Roman" w:eastAsia="Times New Roman" w:hAnsi="Times New Roman"/>
          <w:b/>
          <w:bCs/>
          <w:i/>
          <w:iCs/>
          <w:sz w:val="22"/>
          <w:szCs w:val="22"/>
        </w:rPr>
        <w:t xml:space="preserve">F. Research Gaps</w:t>
      </w:r>
    </w:p>
    <w:p>
      <w:pPr>
        <w:spacing w:after="80" w:line="276"/>
        <w:ind w:firstLine="360"/>
        <w:jc w:val="both"/>
      </w:pPr>
      <w:r>
        <w:rPr>
          <w:rFonts w:ascii="Times New Roman" w:cs="Times New Roman" w:eastAsia="Times New Roman" w:hAnsi="Times New Roman"/>
          <w:sz w:val="20"/>
          <w:szCs w:val="20"/>
        </w:rPr>
        <w:t xml:space="preserve">Table I summarizes the comparative analysis of existing systems against Lumina's capabilities. The analysis reveals that no existing platform integrates all critical components: multi-agent coordination, hybrid knowledge tracing, behavioral analytics, adaptive pathways, privacy-first architecture, and comprehensive scoring within a unified self-hosted system.</w:t>
      </w:r>
    </w:p>
    <w:p>
      <w:pPr>
        <w:spacing w:after="80" w:before="120"/>
        <w:jc w:val="center"/>
      </w:pPr>
      <w:r>
        <w:rPr>
          <w:rFonts w:ascii="Times New Roman" w:cs="Times New Roman" w:eastAsia="Times New Roman" w:hAnsi="Times New Roman"/>
          <w:b/>
          <w:bCs/>
          <w:sz w:val="18"/>
          <w:szCs w:val="18"/>
        </w:rPr>
        <w:t xml:space="preserve">TABLE I: COMPARATIVE ANALYSIS OF EXISTING SYSTEMS AND LUMINA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100"/>
        <w:gridCol w:w="1400"/>
        <w:gridCol w:w="900"/>
        <w:gridCol w:w="11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System/Feature</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Adaptive Content</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Knowledge Tracing</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Multi-Agent</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Behavioral Analytics</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Self-Hosted</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RL Pathways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Moodle/Canvas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Basic</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Coursera/Udemy</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Limited</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Basic</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Duolingo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BKT-like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Limited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Carnegie Learning</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BKT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Limited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Century Tech</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NN-based</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Moderate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Knewton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Bayesian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Limited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Lumina (Proposed)</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BKT + DKT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 (6 Agents)</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50+ Signals</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 (PPO)</w:t>
            </w:r>
          </w:p>
        </w:tc>
      </w:tr>
    </w:tbl>
    <w:p>
      <w:r>
        <w:br w:type="page"/>
      </w:r>
    </w:p>
    <w:p>
      <w:pPr>
        <w:spacing w:after="120" w:before="200"/>
        <w:jc w:val="left"/>
      </w:pPr>
      <w:r>
        <w:rPr>
          <w:rFonts w:ascii="Times New Roman" w:cs="Times New Roman" w:eastAsia="Times New Roman" w:hAnsi="Times New Roman"/>
          <w:b/>
          <w:bCs/>
          <w:sz w:val="24"/>
          <w:szCs w:val="24"/>
        </w:rPr>
        <w:t xml:space="preserve">III. PROBLEM STATEMENT</w:t>
      </w:r>
    </w:p>
    <w:p>
      <w:pPr>
        <w:spacing w:after="80" w:line="276"/>
        <w:jc w:val="both"/>
      </w:pPr>
      <w:r>
        <w:rPr>
          <w:rFonts w:ascii="Times New Roman" w:cs="Times New Roman" w:eastAsia="Times New Roman" w:hAnsi="Times New Roman"/>
          <w:sz w:val="20"/>
          <w:szCs w:val="20"/>
        </w:rPr>
        <w:t xml:space="preserve">The crisis in digital education systems can be characterized by thirteen interconnected failures that collectively undermine the promise of technology-enhanced learning:</w:t>
      </w:r>
    </w:p>
    <w:p>
      <w:pPr>
        <w:spacing w:after="80" w:line="276"/>
        <w:ind w:firstLine="360"/>
        <w:jc w:val="both"/>
      </w:pPr>
      <w:r>
        <w:rPr>
          <w:rFonts w:ascii="Times New Roman" w:cs="Times New Roman" w:eastAsia="Times New Roman" w:hAnsi="Times New Roman"/>
          <w:sz w:val="20"/>
          <w:szCs w:val="20"/>
        </w:rPr>
        <w:t xml:space="preserve">First, the static content delivery problem: current platforms deliver identical materials regardless of prior knowledge, learning pace, cognitive preferences, or accessibility needs, resulting in 40-60% non-completion rates [1]. Second, the false promise of AI personalization: platforms claiming adaptive learning merely adjust content sequence but not content type, delivery method, or pedagogical approach, optimizing for the average rather than the individual [5]. Third, the assessment crisis: digital assessment relies on binary evaluation without recognition of partial understanding, common misconceptions, or growth trajectories [6].</w:t>
      </w:r>
    </w:p>
    <w:p>
      <w:pPr>
        <w:spacing w:after="80" w:line="276"/>
        <w:ind w:firstLine="360"/>
        <w:jc w:val="both"/>
      </w:pPr>
      <w:r>
        <w:rPr>
          <w:rFonts w:ascii="Times New Roman" w:cs="Times New Roman" w:eastAsia="Times New Roman" w:hAnsi="Times New Roman"/>
          <w:sz w:val="20"/>
          <w:szCs w:val="20"/>
        </w:rPr>
        <w:t xml:space="preserve">Fourth, the behavioral intelligence gap: current analytics reduce learning behavior to simplistic metrics (time on page, completion rates, click patterns) that fail to capture cognitive engagement, struggle signals, or consolidation patterns [8]. Fifth, the adaptive learning path illusion: most systems implement predetermined decision trees with limited branching rather than truly personalized sequences [13]. Sixth, the real-time monitoring failure: systems operate reactively, with intervention arriving only after students have already failed assessments [18].</w:t>
      </w:r>
    </w:p>
    <w:p>
      <w:pPr>
        <w:spacing w:after="80" w:line="276"/>
        <w:ind w:firstLine="360"/>
        <w:jc w:val="both"/>
      </w:pPr>
      <w:r>
        <w:rPr>
          <w:rFonts w:ascii="Times New Roman" w:cs="Times New Roman" w:eastAsia="Times New Roman" w:hAnsi="Times New Roman"/>
          <w:sz w:val="20"/>
          <w:szCs w:val="20"/>
        </w:rPr>
        <w:t xml:space="preserve">Seventh, the strength-weakness imbalance: current systems focus exclusively on deficit remediation without identifying or nurturing areas of exceptional ability [27]. Eighth, the educator burden: teachers spend 25-40% of work time on administrative tasks, contributing to burnout rates exceeding 44% [9]. Ninth, the attendance verification crisis: login-based attendance measures presence rather than genuine engagement [28]. Tenth, the privacy and vendor lock-in problem: cloud-dependent AI platforms transmit student data to external servers with unclear retention policies and escalating per-token costs [29].</w:t>
      </w:r>
    </w:p>
    <w:p>
      <w:pPr>
        <w:spacing w:after="80" w:line="276"/>
        <w:ind w:firstLine="360"/>
        <w:jc w:val="both"/>
      </w:pPr>
      <w:r>
        <w:rPr>
          <w:rFonts w:ascii="Times New Roman" w:cs="Times New Roman" w:eastAsia="Times New Roman" w:hAnsi="Times New Roman"/>
          <w:sz w:val="20"/>
          <w:szCs w:val="20"/>
        </w:rPr>
        <w:t xml:space="preserve">The formal problem can be stated as follows: Given a learner L with knowledge state K, behavioral profile B, and learning objectives O, design an adaptive system S that continuously optimizes the learning trajectory T to maximize mastery M while minimizing time-to-proficiency and maintaining learner engagement E, subject to privacy constraints P and pedagogical soundness G. This optimization must operate in real-time across multiple concurrent learners with diverse profiles.</w:t>
      </w:r>
    </w:p>
    <w:p>
      <w:pPr>
        <w:spacing w:after="120" w:before="200"/>
        <w:jc w:val="left"/>
      </w:pPr>
      <w:r>
        <w:rPr>
          <w:rFonts w:ascii="Times New Roman" w:cs="Times New Roman" w:eastAsia="Times New Roman" w:hAnsi="Times New Roman"/>
          <w:b/>
          <w:bCs/>
          <w:sz w:val="24"/>
          <w:szCs w:val="24"/>
        </w:rPr>
        <w:t xml:space="preserve">IV. PROPOSED SYSTEM</w:t>
      </w:r>
    </w:p>
    <w:p>
      <w:pPr>
        <w:spacing w:after="80" w:line="276"/>
        <w:jc w:val="both"/>
      </w:pPr>
      <w:r>
        <w:rPr>
          <w:rFonts w:ascii="Times New Roman" w:cs="Times New Roman" w:eastAsia="Times New Roman" w:hAnsi="Times New Roman"/>
          <w:sz w:val="20"/>
          <w:szCs w:val="20"/>
        </w:rPr>
        <w:t xml:space="preserve">Lumina is designed as a comprehensive AI-powered learning management system that transforms static content delivery into intelligent, adaptive learning experiences. Unlike existing platforms that bolt AI features onto traditional LMS architectures, Lumina is architected from the ground up as an AI-native system where every component is informed by and contributes to a unified learner model.</w:t>
      </w:r>
    </w:p>
    <w:p>
      <w:pPr>
        <w:spacing w:after="80" w:before="160"/>
        <w:jc w:val="left"/>
      </w:pPr>
      <w:r>
        <w:rPr>
          <w:rFonts w:ascii="Times New Roman" w:cs="Times New Roman" w:eastAsia="Times New Roman" w:hAnsi="Times New Roman"/>
          <w:b/>
          <w:bCs/>
          <w:i/>
          <w:iCs/>
          <w:sz w:val="22"/>
          <w:szCs w:val="22"/>
        </w:rPr>
        <w:t xml:space="preserve">A. Design Philosophy</w:t>
      </w:r>
    </w:p>
    <w:p>
      <w:pPr>
        <w:spacing w:after="80" w:line="276"/>
        <w:ind w:firstLine="360"/>
        <w:jc w:val="both"/>
      </w:pPr>
      <w:r>
        <w:rPr>
          <w:rFonts w:ascii="Times New Roman" w:cs="Times New Roman" w:eastAsia="Times New Roman" w:hAnsi="Times New Roman"/>
          <w:sz w:val="20"/>
          <w:szCs w:val="20"/>
        </w:rPr>
        <w:t xml:space="preserve">Lumina's design is guided by four core principles: (1) One personal AI learning operating system per student, (2) One AI teaching copilot per teacher, (3) One governed, explainable intelligence layer for the institution, and (4) Privacy-first, self-hosted architecture with local AI inference. The system implements a closed-loop learning paradigm where user interaction generates data, which feeds analysis pipelines, which update models, which personalize the next experience.</w:t>
      </w:r>
    </w:p>
    <w:p>
      <w:pPr>
        <w:spacing w:after="80" w:before="160"/>
        <w:jc w:val="left"/>
      </w:pPr>
      <w:r>
        <w:rPr>
          <w:rFonts w:ascii="Times New Roman" w:cs="Times New Roman" w:eastAsia="Times New Roman" w:hAnsi="Times New Roman"/>
          <w:b/>
          <w:bCs/>
          <w:i/>
          <w:iCs/>
          <w:sz w:val="22"/>
          <w:szCs w:val="22"/>
        </w:rPr>
        <w:t xml:space="preserve">B. Core Modules</w:t>
      </w:r>
    </w:p>
    <w:p>
      <w:pPr>
        <w:spacing w:after="80" w:line="276"/>
        <w:ind w:firstLine="360"/>
        <w:jc w:val="both"/>
      </w:pPr>
      <w:r>
        <w:rPr>
          <w:rFonts w:ascii="Times New Roman" w:cs="Times New Roman" w:eastAsia="Times New Roman" w:hAnsi="Times New Roman"/>
          <w:sz w:val="20"/>
          <w:szCs w:val="20"/>
        </w:rPr>
        <w:t xml:space="preserve">The system comprises the following integrated modules: (a) Learner Profile Engine: maintains a comprehensive per-student profile containing concept mastery maps, behavioral patterns, learning style preferences, misconception clusters, and engagement metrics. (b) Multi-Agent AI Engine: six specialized agents (Tutor, Pathway, Assessment, Intervention, Analytics, Guardian) coordinated through MCP for coherent decision-making. (c) Adaptive Assessment Engine: generates questions dynamically using LLMs, adapts difficulty in real-time based on mastery state, and grades open-ended responses using rubric-based scoring. (d) RAG Pipeline: processes multi-format educational content (PDF, DOCX, PPT, video) through semantic chunking, hybrid embedding, and reranking for context-aware tutoring. (e) Student Behavior Engine: passively collects 50+ behavioral signals for real-time state estimation. (f) Teacher Intelligence Dashboard: provides actionable insights including intervention queues, class-level misconception clusters, and evidence-based recommendations.</w:t>
      </w:r>
    </w:p>
    <w:p>
      <w:pPr>
        <w:spacing w:after="120" w:before="200"/>
        <w:jc w:val="left"/>
      </w:pPr>
      <w:r>
        <w:rPr>
          <w:rFonts w:ascii="Times New Roman" w:cs="Times New Roman" w:eastAsia="Times New Roman" w:hAnsi="Times New Roman"/>
          <w:b/>
          <w:bCs/>
          <w:sz w:val="24"/>
          <w:szCs w:val="24"/>
        </w:rPr>
        <w:t xml:space="preserve">V. SYSTEM ARCHITECTURE</w:t>
      </w:r>
    </w:p>
    <w:p>
      <w:pPr>
        <w:spacing w:after="80" w:line="276"/>
        <w:jc w:val="both"/>
      </w:pPr>
      <w:r>
        <w:rPr>
          <w:rFonts w:ascii="Times New Roman" w:cs="Times New Roman" w:eastAsia="Times New Roman" w:hAnsi="Times New Roman"/>
          <w:sz w:val="20"/>
          <w:szCs w:val="20"/>
        </w:rPr>
        <w:t xml:space="preserve">Lumina employs a layered architecture consisting of seven distinct layers, each with clearly defined responsibilities and interfaces. The architecture follows a monorepo structure to ensure type safety and contract alignment across services.</w:t>
      </w:r>
    </w:p>
    <w:p>
      <w:pPr>
        <w:spacing w:after="80" w:before="120"/>
        <w:jc w:val="center"/>
      </w:pPr>
      <w:r>
        <w:rPr>
          <w:rFonts w:ascii="Times New Roman" w:cs="Times New Roman" w:eastAsia="Times New Roman" w:hAnsi="Times New Roman"/>
          <w:b/>
          <w:bCs/>
          <w:sz w:val="18"/>
          <w:szCs w:val="18"/>
        </w:rPr>
        <w:t xml:space="preserve">TABLE II: LUMINA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Layer</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Primary Components</w:t>
            </w:r>
          </w:p>
        </w:tc>
        <w:tc>
          <w:tcPr>
            <w:tcW w:type="dxa" w:w="47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Responsibility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Presentation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Next.js 14 Web App, Flutter Mobile, Electron Desktop</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Student, teacher, admin experiences with PWA support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Client Integration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API client, AI Tutor routing, Sync logic</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API calls, caching, offline-first data synchronization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API Gateway</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FastAPI, Kong, JWT/RBAC middleware</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Route registration, authentication, rate limiting, metrics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Domain Services</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Course, Student, Assignment, Grading, OCR stores</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Business logic, content management, notification dispatch</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Adaptive Learning Core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Assessment Engine, Pathway Agent, Learner Profile</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Mastery tracking, behavior analysis, next-step logic</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AI Orchestration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Agent Swarm, RAG Pipeline, LLM providers, Guardrails</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Tutor prompts, pathway optimization, content generation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Persistence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PostgreSQL, Redis, Neo4j, Milvus, TimescaleDB, MinIO</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Relational data, caching, graph storage, vectors, time-series</w:t>
            </w:r>
          </w:p>
        </w:tc>
      </w:tr>
    </w:tbl>
    <w:p>
      <w:pPr>
        <w:spacing w:after="80" w:before="160"/>
        <w:jc w:val="left"/>
      </w:pPr>
      <w:r>
        <w:rPr>
          <w:rFonts w:ascii="Times New Roman" w:cs="Times New Roman" w:eastAsia="Times New Roman" w:hAnsi="Times New Roman"/>
          <w:b/>
          <w:bCs/>
          <w:i/>
          <w:iCs/>
          <w:sz w:val="22"/>
          <w:szCs w:val="22"/>
        </w:rPr>
        <w:t xml:space="preserve">A. Multi-Agent Architecture</w:t>
      </w:r>
    </w:p>
    <w:p>
      <w:pPr>
        <w:spacing w:after="80" w:line="276"/>
        <w:ind w:firstLine="360"/>
        <w:jc w:val="both"/>
      </w:pPr>
      <w:r>
        <w:rPr>
          <w:rFonts w:ascii="Times New Roman" w:cs="Times New Roman" w:eastAsia="Times New Roman" w:hAnsi="Times New Roman"/>
          <w:sz w:val="20"/>
          <w:szCs w:val="20"/>
        </w:rPr>
        <w:t xml:space="preserve">The AI Engine implements a swarm of six specialized agents, each with distinct responsibilities and shared context through the Model Context Protocol (MCP). The Orchestrator Agent serves as the master router, classifying user intent and delegating to the appropriate specialized agent. The Tutor Agent implements Socratic dialogue with context-aware explanation generation using RAG. The Pathway Agent employs Reinforcement Learning (PPO/SAC) to continuously select the learner's next best action. The Assessment Agent generates adaptive questions aligned with Bloom's taxonomy and current mastery state. The Intervention Agent monitors behavioral signals and triggers proactive support. The Guardian Agent enforces safety guardrails including PII redaction, topic filtering, hallucination detection, and bias mitigation.</w:t>
      </w:r>
    </w:p>
    <w:p>
      <w:pPr>
        <w:spacing w:after="120" w:before="80"/>
        <w:jc w:val="center"/>
      </w:pPr>
      <w:r>
        <w:rPr>
          <w:rFonts w:ascii="Times New Roman" w:cs="Times New Roman" w:eastAsia="Times New Roman" w:hAnsi="Times New Roman"/>
          <w:i/>
          <w:iCs/>
          <w:sz w:val="18"/>
          <w:szCs w:val="18"/>
        </w:rPr>
        <w:t xml:space="preserve">Fig. 1: Multi-Agent Architecture. The Orchestrator routes requests to specialized agents (Tutor, Pathway, Assessment, Intervention, Analytics, Guardian), all sharing context through MCP and accessing the unified Learner Profile Service. Each agent produces structured evidence that feeds back into the learner model.</w:t>
      </w:r>
    </w:p>
    <w:p>
      <w:pPr>
        <w:spacing w:after="80" w:before="160"/>
        <w:jc w:val="left"/>
      </w:pPr>
      <w:r>
        <w:rPr>
          <w:rFonts w:ascii="Times New Roman" w:cs="Times New Roman" w:eastAsia="Times New Roman" w:hAnsi="Times New Roman"/>
          <w:b/>
          <w:bCs/>
          <w:i/>
          <w:iCs/>
          <w:sz w:val="22"/>
          <w:szCs w:val="22"/>
        </w:rPr>
        <w:t xml:space="preserve">B. Data Flow Architecture</w:t>
      </w:r>
    </w:p>
    <w:p>
      <w:pPr>
        <w:spacing w:after="80" w:line="276"/>
        <w:ind w:firstLine="360"/>
        <w:jc w:val="both"/>
      </w:pPr>
      <w:r>
        <w:rPr>
          <w:rFonts w:ascii="Times New Roman" w:cs="Times New Roman" w:eastAsia="Times New Roman" w:hAnsi="Times New Roman"/>
          <w:sz w:val="20"/>
          <w:szCs w:val="20"/>
        </w:rPr>
        <w:t xml:space="preserve">Lumina implements a closed-loop data flow where every interaction generates data that feeds personalization: Student Interaction leads to Event Capture, which feeds the Analysis Pipeline, which triggers Model Update, which drives the Personalization Engine, which shapes the Next Experience. The core data flows include: (1) Authentication Flow with JWT-based session management and role-based access control, (2) Student Learning Flow tracking lesson progression and generating behavioral signals, (3) AI Tutor 3-Tier Response Flow with RAG-enhanced context, (4) Assessment and Knowledge Tracing Flow with real-time BKT/DKT updates, (5) Adaptive Pathway Flow with RL-based next-action selection, (6) Assignment Grading Flow with OCR-to-LLM pipeline, and (7) Behavior Tracking Flow with real-time state adaptation.</w:t>
      </w:r>
    </w:p>
    <w:p>
      <w:pPr>
        <w:spacing w:after="80" w:before="160"/>
        <w:jc w:val="left"/>
      </w:pPr>
      <w:r>
        <w:rPr>
          <w:rFonts w:ascii="Times New Roman" w:cs="Times New Roman" w:eastAsia="Times New Roman" w:hAnsi="Times New Roman"/>
          <w:b/>
          <w:bCs/>
          <w:i/>
          <w:iCs/>
          <w:sz w:val="22"/>
          <w:szCs w:val="22"/>
        </w:rPr>
        <w:t xml:space="preserve">C. Database Architecture</w:t>
      </w:r>
    </w:p>
    <w:p>
      <w:pPr>
        <w:spacing w:after="80" w:line="276"/>
        <w:ind w:firstLine="360"/>
        <w:jc w:val="both"/>
      </w:pPr>
      <w:r>
        <w:rPr>
          <w:rFonts w:ascii="Times New Roman" w:cs="Times New Roman" w:eastAsia="Times New Roman" w:hAnsi="Times New Roman"/>
          <w:sz w:val="20"/>
          <w:szCs w:val="20"/>
        </w:rPr>
        <w:t xml:space="preserve">The persistence layer employs a polyglot database strategy with 35 tables across multiple storage systems. PostgreSQL 16+ serves as the primary relational store with Row-Level Security (RLS) enforcement, JSONB columns for flexible semi-structured data, and extensions including pgvector for embeddings. Redis provides session caching, rate limiting, and task queues. Neo4j stores knowledge graphs with concept dependencies. Milvus provides GPU-accelerated vector search for the RAG pipeline. TimescaleDB handles time-series behavioral analytics. MinIO provides S3-compatible object storage with server-side encryption.</w:t>
      </w:r>
    </w:p>
    <w:p>
      <w:r>
        <w:br w:type="page"/>
      </w:r>
    </w:p>
    <w:p>
      <w:pPr>
        <w:spacing w:after="120" w:before="200"/>
        <w:jc w:val="left"/>
      </w:pPr>
      <w:r>
        <w:rPr>
          <w:rFonts w:ascii="Times New Roman" w:cs="Times New Roman" w:eastAsia="Times New Roman" w:hAnsi="Times New Roman"/>
          <w:b/>
          <w:bCs/>
          <w:sz w:val="24"/>
          <w:szCs w:val="24"/>
        </w:rPr>
        <w:t xml:space="preserve">VI. METHODOLOGY</w:t>
      </w:r>
    </w:p>
    <w:p>
      <w:pPr>
        <w:spacing w:after="80" w:before="160"/>
        <w:jc w:val="left"/>
      </w:pPr>
      <w:r>
        <w:rPr>
          <w:rFonts w:ascii="Times New Roman" w:cs="Times New Roman" w:eastAsia="Times New Roman" w:hAnsi="Times New Roman"/>
          <w:b/>
          <w:bCs/>
          <w:i/>
          <w:iCs/>
          <w:sz w:val="22"/>
          <w:szCs w:val="22"/>
        </w:rPr>
        <w:t xml:space="preserve">A. Bayesian Knowledge Tracing (BKT)</w:t>
      </w:r>
    </w:p>
    <w:p>
      <w:pPr>
        <w:spacing w:after="80" w:line="276"/>
        <w:jc w:val="both"/>
      </w:pPr>
      <w:r>
        <w:rPr>
          <w:rFonts w:ascii="Times New Roman" w:cs="Times New Roman" w:eastAsia="Times New Roman" w:hAnsi="Times New Roman"/>
          <w:sz w:val="20"/>
          <w:szCs w:val="20"/>
        </w:rPr>
        <w:t xml:space="preserve">Lumina employs BKT as its interpretable mastery model, implementing the Hidden Markov Model formulation where student knowledge is a binary latent variable (known/unknown) updated through Bayesian inference after each observation. The model parameters include: P(L_0) = initial probability of knowledge (0.2), P(T) = probability of learning from practice (0.15), P(G) = probability of correct guess (0.25), and P(S) = probability of careless slip (0.10). After each observation, the posterior probability of mastery is updated using Bayes' theorem. For a correct response: P(K|correct) = P(correct|K) * P(K) / [P(correct|K) * P(K) + P(correct|not K) * P(not K)], where P(correct|K) = 1 - P(S) and P(correct|not K) = P(G). After the Bayesian update, the learning transition is applied: P(K_new) = P(K_updated) + P(T) * (1 - P(K_updated)). Mastery thresholds are defined as: Not Started (0.0-0.1), Emerging (0.1-0.4), Developing (0.4-0.6), Proficient (0.6-0.8), and Mastered (0.8-1.0).</w:t>
      </w:r>
    </w:p>
    <w:p>
      <w:pPr>
        <w:spacing w:after="80" w:before="160"/>
        <w:jc w:val="left"/>
      </w:pPr>
      <w:r>
        <w:rPr>
          <w:rFonts w:ascii="Times New Roman" w:cs="Times New Roman" w:eastAsia="Times New Roman" w:hAnsi="Times New Roman"/>
          <w:b/>
          <w:bCs/>
          <w:i/>
          <w:iCs/>
          <w:sz w:val="22"/>
          <w:szCs w:val="22"/>
        </w:rPr>
        <w:t xml:space="preserve">B. Deep Knowledge Tracing (DKT)</w:t>
      </w:r>
    </w:p>
    <w:p>
      <w:pPr>
        <w:spacing w:after="80" w:line="276"/>
        <w:ind w:firstLine="360"/>
        <w:jc w:val="both"/>
      </w:pPr>
      <w:r>
        <w:rPr>
          <w:rFonts w:ascii="Times New Roman" w:cs="Times New Roman" w:eastAsia="Times New Roman" w:hAnsi="Times New Roman"/>
          <w:sz w:val="20"/>
          <w:szCs w:val="20"/>
        </w:rPr>
        <w:t xml:space="preserve">Complementing BKT's interpretability, Lumina employs LSTM-based DKT to model the temporal dynamics of learning. The DKT model takes as input a sequence of (question_id, correctness) pairs and predicts the probability of correct response on future questions. The LSTM architecture captures long-term dependencies in learning sequences, modeling phenomena such as forgetting, prerequisite relationships, and interference effects that BKT's Markov assumption cannot represent. The hybrid BKT+DKT approach enables Lumina to provide both interpretable concept-level mastery estimates (BKT) and accurate future performance predictions (DKT).</w:t>
      </w:r>
    </w:p>
    <w:p>
      <w:pPr>
        <w:spacing w:after="80" w:before="160"/>
        <w:jc w:val="left"/>
      </w:pPr>
      <w:r>
        <w:rPr>
          <w:rFonts w:ascii="Times New Roman" w:cs="Times New Roman" w:eastAsia="Times New Roman" w:hAnsi="Times New Roman"/>
          <w:b/>
          <w:bCs/>
          <w:i/>
          <w:iCs/>
          <w:sz w:val="22"/>
          <w:szCs w:val="22"/>
        </w:rPr>
        <w:t xml:space="preserve">C. Multi-Dimensional Scoring Model</w:t>
      </w:r>
    </w:p>
    <w:p>
      <w:pPr>
        <w:spacing w:after="80" w:line="276"/>
        <w:ind w:firstLine="360"/>
        <w:jc w:val="both"/>
      </w:pPr>
      <w:r>
        <w:rPr>
          <w:rFonts w:ascii="Times New Roman" w:cs="Times New Roman" w:eastAsia="Times New Roman" w:hAnsi="Times New Roman"/>
          <w:sz w:val="20"/>
          <w:szCs w:val="20"/>
        </w:rPr>
        <w:t xml:space="preserve">Lumina replaces traditional binary scoring with a four-dimensional model: Score = Correctness (40%) * Understanding (30%) * Effort (20%) * Growth (10%). Correctness measures answer accuracy and solution validity. Understanding measures explanation quality and concept mastery, evaluated through LLM-based rubric scoring. Effort measures attempt count, time invested, and persistence through difficulty. Growth measures improvement trends and delta from previous performance. The overall progress score is computed as: Overall = 0.25 * QuizScore + 0.25 * AssignmentScore + 0.35 * MasteryScore(BKT) + 0.15 * EngagementScore.</w:t>
      </w:r>
    </w:p>
    <w:p>
      <w:pPr>
        <w:spacing w:after="80" w:before="160"/>
        <w:jc w:val="left"/>
      </w:pPr>
      <w:r>
        <w:rPr>
          <w:rFonts w:ascii="Times New Roman" w:cs="Times New Roman" w:eastAsia="Times New Roman" w:hAnsi="Times New Roman"/>
          <w:b/>
          <w:bCs/>
          <w:i/>
          <w:iCs/>
          <w:sz w:val="22"/>
          <w:szCs w:val="22"/>
        </w:rPr>
        <w:t xml:space="preserve">D. Reinforcement Learning for Pathway Optimization</w:t>
      </w:r>
    </w:p>
    <w:p>
      <w:pPr>
        <w:spacing w:after="80" w:line="276"/>
        <w:ind w:firstLine="360"/>
        <w:jc w:val="both"/>
      </w:pPr>
      <w:r>
        <w:rPr>
          <w:rFonts w:ascii="Times New Roman" w:cs="Times New Roman" w:eastAsia="Times New Roman" w:hAnsi="Times New Roman"/>
          <w:sz w:val="20"/>
          <w:szCs w:val="20"/>
        </w:rPr>
        <w:t xml:space="preserve">The Pathway Agent formulates adaptive curriculum sequencing as a Markov Decision Process (MDP). The state space S includes the learner's mastery vector, behavioral profile, cognitive load estimate, and engagement level. The action space A includes actions such as continue current topic, advance to next topic, insert remedial content, increase practice, provide application problems, or recommend rest. The reward function R optimizes for learning efficiency, engagement, and retention: R = alpha * MasteryGain + beta * EngagementMaintenance + gamma * RetentionScore. The agent is trained using Proximal Policy Optimization (PPO) with safe exploration constraints enforced by the Guardian Agent.</w:t>
      </w:r>
    </w:p>
    <w:p>
      <w:pPr>
        <w:spacing w:after="80" w:before="160"/>
        <w:jc w:val="left"/>
      </w:pPr>
      <w:r>
        <w:rPr>
          <w:rFonts w:ascii="Times New Roman" w:cs="Times New Roman" w:eastAsia="Times New Roman" w:hAnsi="Times New Roman"/>
          <w:b/>
          <w:bCs/>
          <w:i/>
          <w:iCs/>
          <w:sz w:val="22"/>
          <w:szCs w:val="22"/>
        </w:rPr>
        <w:t xml:space="preserve">E. Student Behavior Engine</w:t>
      </w:r>
    </w:p>
    <w:p>
      <w:pPr>
        <w:spacing w:after="80" w:line="276"/>
        <w:ind w:firstLine="360"/>
        <w:jc w:val="both"/>
      </w:pPr>
      <w:r>
        <w:rPr>
          <w:rFonts w:ascii="Times New Roman" w:cs="Times New Roman" w:eastAsia="Times New Roman" w:hAnsi="Times New Roman"/>
          <w:sz w:val="20"/>
          <w:szCs w:val="20"/>
        </w:rPr>
        <w:t xml:space="preserve">The Behavior Engine implements a Signal-to-Insight pipeline collecting 50+ behavioral signals across five categories: Time-based signals (page dwell time, session duration, study frequency), Interaction-based signals (practice attempts, response speed, help-seeking behavior), Performance-based signals (error patterns, mastery progression, consistency), Engagement-based signals (scroll behavior, note-taking, video watching patterns), and Emotional/Cognitive signals (hesitation patterns, error recovery speed, session termination patterns). The engagement score is computed as a geometric mean of time investment, consistency, attempt rate, and recency scores, with bonus signals for help-seeking, peer explanation, and persistence through frustration.</w:t>
      </w:r>
    </w:p>
    <w:p>
      <w:pPr>
        <w:spacing w:after="80" w:before="160"/>
        <w:jc w:val="left"/>
      </w:pPr>
      <w:r>
        <w:rPr>
          <w:rFonts w:ascii="Times New Roman" w:cs="Times New Roman" w:eastAsia="Times New Roman" w:hAnsi="Times New Roman"/>
          <w:b/>
          <w:bCs/>
          <w:i/>
          <w:iCs/>
          <w:sz w:val="22"/>
          <w:szCs w:val="22"/>
        </w:rPr>
        <w:t xml:space="preserve">F. Retrieval-Augmented Generation Pipeline</w:t>
      </w:r>
    </w:p>
    <w:p>
      <w:pPr>
        <w:spacing w:after="80" w:line="276"/>
        <w:ind w:firstLine="360"/>
        <w:jc w:val="both"/>
      </w:pPr>
      <w:r>
        <w:rPr>
          <w:rFonts w:ascii="Times New Roman" w:cs="Times New Roman" w:eastAsia="Times New Roman" w:hAnsi="Times New Roman"/>
          <w:sz w:val="20"/>
          <w:szCs w:val="20"/>
        </w:rPr>
        <w:t xml:space="preserve">The RAG pipeline processes multi-format educational content through five stages: (1) Document Processing with multi-format extraction (PDF, DOCX, PPT, HTML, video) and OCR with confidence scoring, (2) Intelligent Chunking using semantic boundaries and recursive character splitting with metadata extraction, (3) Embedding and Indexing using multi-model embeddings (instructor-xl, e5-mistral-7b) with GPU-accelerated hybrid search, (4) Query Understanding with intent classification, query expansion, and sub-query decomposition, and (5) Retrieval and Reranking using cross-encoder reranking and ColBERT late interaction with contextual compression. The pipeline ensures hallucination prevention through RAG-only response generation with citation insertion.</w:t>
      </w:r>
    </w:p>
    <w:p>
      <w:pPr>
        <w:spacing w:after="120" w:before="200"/>
        <w:jc w:val="left"/>
      </w:pPr>
      <w:r>
        <w:rPr>
          <w:rFonts w:ascii="Times New Roman" w:cs="Times New Roman" w:eastAsia="Times New Roman" w:hAnsi="Times New Roman"/>
          <w:b/>
          <w:bCs/>
          <w:sz w:val="24"/>
          <w:szCs w:val="24"/>
        </w:rPr>
        <w:t xml:space="preserve">VII. IMPLEMENTATION</w:t>
      </w:r>
    </w:p>
    <w:p>
      <w:pPr>
        <w:spacing w:after="80" w:before="160"/>
        <w:jc w:val="left"/>
      </w:pPr>
      <w:r>
        <w:rPr>
          <w:rFonts w:ascii="Times New Roman" w:cs="Times New Roman" w:eastAsia="Times New Roman" w:hAnsi="Times New Roman"/>
          <w:b/>
          <w:bCs/>
          <w:i/>
          <w:iCs/>
          <w:sz w:val="22"/>
          <w:szCs w:val="22"/>
        </w:rPr>
        <w:t xml:space="preserve">A. Technology Stack</w:t>
      </w:r>
    </w:p>
    <w:p>
      <w:pPr>
        <w:spacing w:after="80" w:line="276"/>
        <w:jc w:val="both"/>
      </w:pPr>
      <w:r>
        <w:rPr>
          <w:rFonts w:ascii="Times New Roman" w:cs="Times New Roman" w:eastAsia="Times New Roman" w:hAnsi="Times New Roman"/>
          <w:sz w:val="20"/>
          <w:szCs w:val="20"/>
        </w:rPr>
        <w:t xml:space="preserve">Lumina is implemented using a comprehensive technology stack spanning frontend, backend, AI/ML infrastructure, and DevOps. Table III details the complete technology stack.</w:t>
      </w:r>
    </w:p>
    <w:p>
      <w:pPr>
        <w:spacing w:after="80" w:before="120"/>
        <w:jc w:val="center"/>
      </w:pPr>
      <w:r>
        <w:rPr>
          <w:rFonts w:ascii="Times New Roman" w:cs="Times New Roman" w:eastAsia="Times New Roman" w:hAnsi="Times New Roman"/>
          <w:b/>
          <w:bCs/>
          <w:sz w:val="18"/>
          <w:szCs w:val="18"/>
        </w:rPr>
        <w:t xml:space="preserve">TABLE III: LUMINA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Category</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Technology</w:t>
            </w:r>
          </w:p>
        </w:tc>
        <w:tc>
          <w:tcPr>
            <w:tcW w:type="dxa" w:w="4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Purpose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Frontend (Web)</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Next.js 14, React 18, TailwindCSS, shadcn/ui</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Progressive Web App with offline support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Frontend (Mobile)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Flutter 3.x</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Cross-platform mobile with offline-first design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Backend API</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FastAPI (Python 3.11+), Pydantic v2</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Async API gateway with OpenAPI documentation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Background Processing</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Celery + Redis, Celery Beat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Async grading, task scheduling, queue management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LLM Inference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vLLM, TGI, Ollama, Flash Attention 2</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Local model serving (LLaMA 3.1, Mistral, Mixtral)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Embedding Models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instructor-xl, e5-mistral-7b, CLIP</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Text, multimodal, and code embeddings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Vector Database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Milvus 2.3+ (GPU)</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Hybrid search, multi-tenancy, filtered retrieval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Primary Database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PostgreSQL 16+, Supabase</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Relational storage with RLS, JSONB, pgvector</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Graph Database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Neo4j 5+</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Knowledge graphs, concept dependency modeling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Cache/Queue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Redis 7+ Cluster</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Session cache, rate limiting, task queues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Time-Series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TimescaleDB</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Behavioral analytics, learning trajectory data</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ML Frameworks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PyTorch 2.0+, scikit-learn, Stable-Baselines3</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DKT, BKT, RL policy training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Guardrails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Guardrails AI, NeMo Guardrails, Presidio</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Safety, PII redaction, hallucination detection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Infrastructure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Docker 24+, Kubernetes 1.28+, Terraform</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Containerization, orchestration, IaC</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Monitoring</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Prometheus, Grafana, Jaeger, ELK Stack</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Metrics, logging, distributed tracing</w:t>
            </w:r>
          </w:p>
        </w:tc>
      </w:tr>
    </w:tbl>
    <w:p>
      <w:pPr>
        <w:spacing w:after="80" w:before="160"/>
        <w:jc w:val="left"/>
      </w:pPr>
      <w:r>
        <w:rPr>
          <w:rFonts w:ascii="Times New Roman" w:cs="Times New Roman" w:eastAsia="Times New Roman" w:hAnsi="Times New Roman"/>
          <w:b/>
          <w:bCs/>
          <w:i/>
          <w:iCs/>
          <w:sz w:val="22"/>
          <w:szCs w:val="22"/>
        </w:rPr>
        <w:t xml:space="preserve">B. Agent Implementation</w:t>
      </w:r>
    </w:p>
    <w:p>
      <w:pPr>
        <w:spacing w:after="80" w:line="276"/>
        <w:ind w:firstLine="360"/>
        <w:jc w:val="both"/>
      </w:pPr>
      <w:r>
        <w:rPr>
          <w:rFonts w:ascii="Times New Roman" w:cs="Times New Roman" w:eastAsia="Times New Roman" w:hAnsi="Times New Roman"/>
          <w:sz w:val="20"/>
          <w:szCs w:val="20"/>
        </w:rPr>
        <w:t xml:space="preserve">Each agent is implemented as a stateful Python class with an MCP-compliant communication interface. The Orchestrator Agent maintains a routing table mapping user intents to specialized agents. The Tutor Agent implements a 3-tier response system: Tier 1 (Direct Retrieval) for factual queries using RAG, Tier 2 (Socratic Dialogue) for conceptual understanding using guided questioning, and Tier 3 (Personalized Explanation) for deep misconception remediation using learner profile context. Agent memory is persisted in the agent_memory table with expiration support for temporary context.</w:t>
      </w:r>
    </w:p>
    <w:p>
      <w:pPr>
        <w:spacing w:after="80" w:before="160"/>
        <w:jc w:val="left"/>
      </w:pPr>
      <w:r>
        <w:rPr>
          <w:rFonts w:ascii="Times New Roman" w:cs="Times New Roman" w:eastAsia="Times New Roman" w:hAnsi="Times New Roman"/>
          <w:b/>
          <w:bCs/>
          <w:i/>
          <w:iCs/>
          <w:sz w:val="22"/>
          <w:szCs w:val="22"/>
        </w:rPr>
        <w:t xml:space="preserve">C. Assessment Pipeline</w:t>
      </w:r>
    </w:p>
    <w:p>
      <w:pPr>
        <w:spacing w:after="80" w:line="276"/>
        <w:ind w:firstLine="360"/>
        <w:jc w:val="both"/>
      </w:pPr>
      <w:r>
        <w:rPr>
          <w:rFonts w:ascii="Times New Roman" w:cs="Times New Roman" w:eastAsia="Times New Roman" w:hAnsi="Times New Roman"/>
          <w:sz w:val="20"/>
          <w:szCs w:val="20"/>
        </w:rPr>
        <w:t xml:space="preserve">The Assessment Engine implements a complete grading pipeline: for handwritten submissions, OCR extraction (Tesseract) produces text with confidence scoring; if confidence falls below 0.7, the submission is flagged for teacher review. The extracted text is evaluated against rubric criteria using LLM analysis (Gemini/local models), producing per-criterion scores, feedback, and confidence estimates. Anti-cheating measures include detection of suspicious scoring patterns, identical submission comparison, abnormally fast submission times, and plagiarism similarity checks.</w:t>
      </w:r>
    </w:p>
    <w:p>
      <w:pPr>
        <w:spacing w:after="120" w:before="200"/>
        <w:jc w:val="left"/>
      </w:pPr>
      <w:r>
        <w:rPr>
          <w:rFonts w:ascii="Times New Roman" w:cs="Times New Roman" w:eastAsia="Times New Roman" w:hAnsi="Times New Roman"/>
          <w:b/>
          <w:bCs/>
          <w:sz w:val="24"/>
          <w:szCs w:val="24"/>
        </w:rPr>
        <w:t xml:space="preserve">VIII. EXPERIMENTAL SETUP</w:t>
      </w:r>
    </w:p>
    <w:p>
      <w:pPr>
        <w:spacing w:after="80" w:before="160"/>
        <w:jc w:val="left"/>
      </w:pPr>
      <w:r>
        <w:rPr>
          <w:rFonts w:ascii="Times New Roman" w:cs="Times New Roman" w:eastAsia="Times New Roman" w:hAnsi="Times New Roman"/>
          <w:b/>
          <w:bCs/>
          <w:i/>
          <w:iCs/>
          <w:sz w:val="22"/>
          <w:szCs w:val="22"/>
        </w:rPr>
        <w:t xml:space="preserve">A. Hardware Configuration</w:t>
      </w:r>
    </w:p>
    <w:p>
      <w:pPr>
        <w:spacing w:after="80" w:line="276"/>
        <w:jc w:val="both"/>
      </w:pPr>
      <w:r>
        <w:rPr>
          <w:rFonts w:ascii="Times New Roman" w:cs="Times New Roman" w:eastAsia="Times New Roman" w:hAnsi="Times New Roman"/>
          <w:sz w:val="20"/>
          <w:szCs w:val="20"/>
        </w:rPr>
        <w:t xml:space="preserve">The system was developed and tested on infrastructure meeting the following specifications: CPU with 16+ cores (32 recommended), 64GB RAM (128GB recommended), NVIDIA A100/H100 GPU (or 2x RTX 4090) for LLM inference, 2TB NVMe SSD storage, and 10 Gbps network connectivity. The development environment uses Docker Compose for service orchestration with the complete stack (PostgreSQL, Redis, Neo4j, Milvus, FastAPI, Next.js) running concurrently.</w:t>
      </w:r>
    </w:p>
    <w:p>
      <w:pPr>
        <w:spacing w:after="80" w:before="160"/>
        <w:jc w:val="left"/>
      </w:pPr>
      <w:r>
        <w:rPr>
          <w:rFonts w:ascii="Times New Roman" w:cs="Times New Roman" w:eastAsia="Times New Roman" w:hAnsi="Times New Roman"/>
          <w:b/>
          <w:bCs/>
          <w:i/>
          <w:iCs/>
          <w:sz w:val="22"/>
          <w:szCs w:val="22"/>
        </w:rPr>
        <w:t xml:space="preserve">B. Simulation Framework</w:t>
      </w:r>
    </w:p>
    <w:p>
      <w:pPr>
        <w:spacing w:after="80" w:line="276"/>
        <w:ind w:firstLine="360"/>
        <w:jc w:val="both"/>
      </w:pPr>
      <w:r>
        <w:rPr>
          <w:rFonts w:ascii="Times New Roman" w:cs="Times New Roman" w:eastAsia="Times New Roman" w:hAnsi="Times New Roman"/>
          <w:sz w:val="20"/>
          <w:szCs w:val="20"/>
        </w:rPr>
        <w:t xml:space="preserve">The Analytics Agent was evaluated using a large-scale simulation framework generating 10,000 synthetic learner scenarios across four behavioral profiles: Flow (healthy, engaged learning), Struggle (high activity with high error rates), Mixed (intermittent engagement with variable performance), and Idle (disconnected or passive states). Each scenario generated realistic behavioral signal vectors including interaction velocity, error rates, success rates, time-on-task distributions, and engagement patterns.</w:t>
      </w:r>
    </w:p>
    <w:p>
      <w:pPr>
        <w:spacing w:after="80" w:before="160"/>
        <w:jc w:val="left"/>
      </w:pPr>
      <w:r>
        <w:rPr>
          <w:rFonts w:ascii="Times New Roman" w:cs="Times New Roman" w:eastAsia="Times New Roman" w:hAnsi="Times New Roman"/>
          <w:b/>
          <w:bCs/>
          <w:i/>
          <w:iCs/>
          <w:sz w:val="22"/>
          <w:szCs w:val="22"/>
        </w:rPr>
        <w:t xml:space="preserve">C. Evaluation Metrics</w:t>
      </w:r>
    </w:p>
    <w:p>
      <w:pPr>
        <w:spacing w:after="80" w:line="276"/>
        <w:ind w:firstLine="360"/>
        <w:jc w:val="both"/>
      </w:pPr>
      <w:r>
        <w:rPr>
          <w:rFonts w:ascii="Times New Roman" w:cs="Times New Roman" w:eastAsia="Times New Roman" w:hAnsi="Times New Roman"/>
          <w:sz w:val="20"/>
          <w:szCs w:val="20"/>
        </w:rPr>
        <w:t xml:space="preserve">The system was evaluated across multiple dimensions: (1) Intervention Accuracy: true positive rate for struggling learners and false positive rate for healthy learners, (2) Processing Performance: throughput (inferences per second) and latency (execution time), (3) Behavioral Classification Accuracy: correct categorization of learner states, (4) System Stability: error rate across extended simulation runs, and (5) Scoring Model Validity: correlation between multi-dimensional scores and expert assessments.</w:t>
      </w:r>
    </w:p>
    <w:p>
      <w:r>
        <w:br w:type="page"/>
      </w:r>
    </w:p>
    <w:p>
      <w:pPr>
        <w:spacing w:after="120" w:before="200"/>
        <w:jc w:val="left"/>
      </w:pPr>
      <w:r>
        <w:rPr>
          <w:rFonts w:ascii="Times New Roman" w:cs="Times New Roman" w:eastAsia="Times New Roman" w:hAnsi="Times New Roman"/>
          <w:b/>
          <w:bCs/>
          <w:sz w:val="24"/>
          <w:szCs w:val="24"/>
        </w:rPr>
        <w:t xml:space="preserve">IX. RESULTS AND EVALUATION</w:t>
      </w:r>
    </w:p>
    <w:p>
      <w:pPr>
        <w:spacing w:after="80" w:line="276"/>
        <w:jc w:val="both"/>
      </w:pPr>
      <w:r>
        <w:rPr>
          <w:rFonts w:ascii="Times New Roman" w:cs="Times New Roman" w:eastAsia="Times New Roman" w:hAnsi="Times New Roman"/>
          <w:sz w:val="20"/>
          <w:szCs w:val="20"/>
        </w:rPr>
        <w:t xml:space="preserve">This section presents the experimental results from the Analytics Agent stress testing, behavioral classification evaluation, and system performance benchmarking.</w:t>
      </w:r>
    </w:p>
    <w:p>
      <w:pPr>
        <w:spacing w:after="80" w:before="160"/>
        <w:jc w:val="left"/>
      </w:pPr>
      <w:r>
        <w:rPr>
          <w:rFonts w:ascii="Times New Roman" w:cs="Times New Roman" w:eastAsia="Times New Roman" w:hAnsi="Times New Roman"/>
          <w:b/>
          <w:bCs/>
          <w:i/>
          <w:iCs/>
          <w:sz w:val="22"/>
          <w:szCs w:val="22"/>
        </w:rPr>
        <w:t xml:space="preserve">A. Stress Test Results</w:t>
      </w:r>
    </w:p>
    <w:p>
      <w:pPr>
        <w:spacing w:after="80" w:line="276"/>
        <w:ind w:firstLine="360"/>
        <w:jc w:val="both"/>
      </w:pPr>
      <w:r>
        <w:rPr>
          <w:rFonts w:ascii="Times New Roman" w:cs="Times New Roman" w:eastAsia="Times New Roman" w:hAnsi="Times New Roman"/>
          <w:sz w:val="20"/>
          <w:szCs w:val="20"/>
        </w:rPr>
        <w:t xml:space="preserve">Table IV presents the results from the 10,000-iteration stress test of the Analytics Agent pipeline.</w:t>
      </w:r>
    </w:p>
    <w:p>
      <w:pPr>
        <w:spacing w:after="80" w:before="120"/>
        <w:jc w:val="center"/>
      </w:pPr>
      <w:r>
        <w:rPr>
          <w:rFonts w:ascii="Times New Roman" w:cs="Times New Roman" w:eastAsia="Times New Roman" w:hAnsi="Times New Roman"/>
          <w:b/>
          <w:bCs/>
          <w:sz w:val="18"/>
          <w:szCs w:val="18"/>
        </w:rPr>
        <w:t xml:space="preserve">TABLE IV: ANALYTICS AGENT STRESS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Value</w:t>
            </w:r>
          </w:p>
        </w:tc>
        <w:tc>
          <w:tcPr>
            <w:tcW w:type="dxa" w:w="4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Notes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Total Simulation Runs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10,000</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Complete Signal-to-Insight pipeline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Total Execution Time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~2.93 seconds</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Highly efficient stateless processing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Runtime Errors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 stability across all iterations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Throughput</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~3,400 runs/sec</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Exceeds real-time requirements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Memory Usage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&lt; 512 MB</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Efficient memory management</w:t>
            </w:r>
          </w:p>
        </w:tc>
      </w:tr>
    </w:tbl>
    <w:p>
      <w:pPr>
        <w:spacing w:after="80" w:before="160"/>
        <w:jc w:val="left"/>
      </w:pPr>
      <w:r>
        <w:rPr>
          <w:rFonts w:ascii="Times New Roman" w:cs="Times New Roman" w:eastAsia="Times New Roman" w:hAnsi="Times New Roman"/>
          <w:b/>
          <w:bCs/>
          <w:i/>
          <w:iCs/>
          <w:sz w:val="22"/>
          <w:szCs w:val="22"/>
        </w:rPr>
        <w:t xml:space="preserve">B. Behavioral Classification Performance</w:t>
      </w:r>
    </w:p>
    <w:p>
      <w:pPr>
        <w:spacing w:after="80" w:line="276"/>
        <w:ind w:firstLine="360"/>
        <w:jc w:val="both"/>
      </w:pPr>
      <w:r>
        <w:rPr>
          <w:rFonts w:ascii="Times New Roman" w:cs="Times New Roman" w:eastAsia="Times New Roman" w:hAnsi="Times New Roman"/>
          <w:sz w:val="20"/>
          <w:szCs w:val="20"/>
        </w:rPr>
        <w:t xml:space="preserve">Table V shows the calibrated output metrics across different learner scenario types, demonstrating the agent's ability to correctly classify behavioral states and trigger appropriate interventions.</w:t>
      </w:r>
    </w:p>
    <w:p>
      <w:pPr>
        <w:spacing w:after="80" w:before="120"/>
        <w:jc w:val="center"/>
      </w:pPr>
      <w:r>
        <w:rPr>
          <w:rFonts w:ascii="Times New Roman" w:cs="Times New Roman" w:eastAsia="Times New Roman" w:hAnsi="Times New Roman"/>
          <w:b/>
          <w:bCs/>
          <w:sz w:val="18"/>
          <w:szCs w:val="18"/>
        </w:rPr>
        <w:t xml:space="preserve">TABLE V: BEHAVIORAL CLASSIFICATION AND INTERVENTION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Scenario Type</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Avg Engagement Score</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Intervention Rate</w:t>
            </w:r>
          </w:p>
        </w:tc>
        <w:tc>
          <w:tcPr>
            <w:tcW w:type="dxa" w:w="3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Interpretation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Flow</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0.404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Healthy state, no interruption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Struggle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0.597</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Correctly identified, help triggered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Mixed</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0.182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Low signal, passive monitoring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Idle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Disconnected, risk tracked over time</w:t>
            </w:r>
          </w:p>
        </w:tc>
      </w:tr>
    </w:tbl>
    <w:p>
      <w:pPr>
        <w:spacing w:after="80" w:before="160"/>
        <w:jc w:val="left"/>
      </w:pPr>
      <w:r>
        <w:rPr>
          <w:rFonts w:ascii="Times New Roman" w:cs="Times New Roman" w:eastAsia="Times New Roman" w:hAnsi="Times New Roman"/>
          <w:b/>
          <w:bCs/>
          <w:i/>
          <w:iCs/>
          <w:sz w:val="22"/>
          <w:szCs w:val="22"/>
        </w:rPr>
        <w:t xml:space="preserve">C. Intervention Accuracy</w:t>
      </w:r>
    </w:p>
    <w:p>
      <w:pPr>
        <w:spacing w:after="80" w:line="276"/>
        <w:ind w:firstLine="360"/>
        <w:jc w:val="both"/>
      </w:pPr>
      <w:r>
        <w:rPr>
          <w:rFonts w:ascii="Times New Roman" w:cs="Times New Roman" w:eastAsia="Times New Roman" w:hAnsi="Times New Roman"/>
          <w:sz w:val="20"/>
          <w:szCs w:val="20"/>
        </w:rPr>
        <w:t xml:space="preserve">The system achieved a true positive rate (sensitivity) of 100% for detecting struggling learners while maintaining a false positive rate of 0% for learners in flow, mixed, or idle states. This performance was achieved through the error-aware engagement model, which applies a nonlinear penalty: penalty_factor = 1.0 - (0.4 * error_rate), reducing the raw engagement score for high-error scenarios. Additionally, the conservative intervention policy requires cognitive load &gt; 0.75 AND error rate &gt; 0.4 before triggering overload interventions, with a global 5-minute cooldown between successive interventions.</w:t>
      </w:r>
    </w:p>
    <w:p>
      <w:pPr>
        <w:spacing w:after="80" w:before="160"/>
        <w:jc w:val="left"/>
      </w:pPr>
      <w:r>
        <w:rPr>
          <w:rFonts w:ascii="Times New Roman" w:cs="Times New Roman" w:eastAsia="Times New Roman" w:hAnsi="Times New Roman"/>
          <w:b/>
          <w:bCs/>
          <w:i/>
          <w:iCs/>
          <w:sz w:val="22"/>
          <w:szCs w:val="22"/>
        </w:rPr>
        <w:t xml:space="preserve">D. Scoring Model Evaluation</w:t>
      </w:r>
    </w:p>
    <w:p>
      <w:pPr>
        <w:spacing w:after="80" w:before="120"/>
        <w:jc w:val="center"/>
      </w:pPr>
      <w:r>
        <w:rPr>
          <w:rFonts w:ascii="Times New Roman" w:cs="Times New Roman" w:eastAsia="Times New Roman" w:hAnsi="Times New Roman"/>
          <w:b/>
          <w:bCs/>
          <w:sz w:val="18"/>
          <w:szCs w:val="18"/>
        </w:rPr>
        <w:t xml:space="preserve">TABLE VI: FOUR-DIMENSIONAL SCORING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60"/>
        <w:gridCol w:w="30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Scoring Dimension</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Weight</w:t>
            </w:r>
          </w:p>
        </w:tc>
        <w:tc>
          <w:tcPr>
            <w:tcW w:type="dxa" w:w="3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Measurement Method</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Traditional LMS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Correctness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Answer accuracy, solution validity</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 (binary only)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Understanding</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LLM rubric-based explanation quality</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Not measured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Effort</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Attempt count, persistence, time invested</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Not measured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Growth</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Improvement trend, delta from previous</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Not measured</w:t>
            </w:r>
          </w:p>
        </w:tc>
      </w:tr>
    </w:tbl>
    <w:p>
      <w:pPr>
        <w:spacing w:after="80" w:before="160"/>
        <w:jc w:val="left"/>
      </w:pPr>
      <w:r>
        <w:rPr>
          <w:rFonts w:ascii="Times New Roman" w:cs="Times New Roman" w:eastAsia="Times New Roman" w:hAnsi="Times New Roman"/>
          <w:b/>
          <w:bCs/>
          <w:i/>
          <w:iCs/>
          <w:sz w:val="22"/>
          <w:szCs w:val="22"/>
        </w:rPr>
        <w:t xml:space="preserve">E. Performance Comparison with Existing Systems</w:t>
      </w:r>
    </w:p>
    <w:p>
      <w:pPr>
        <w:spacing w:after="80" w:before="120"/>
        <w:jc w:val="center"/>
      </w:pPr>
      <w:r>
        <w:rPr>
          <w:rFonts w:ascii="Times New Roman" w:cs="Times New Roman" w:eastAsia="Times New Roman" w:hAnsi="Times New Roman"/>
          <w:b/>
          <w:bCs/>
          <w:sz w:val="18"/>
          <w:szCs w:val="18"/>
        </w:rPr>
        <w:t xml:space="preserve">TABLE VII: PERFORMANCE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Feature</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Traditional LMS</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Adaptive Platforms</w:t>
            </w:r>
          </w:p>
        </w:tc>
        <w:tc>
          <w:tcPr>
            <w:tcW w:type="dxa" w:w="24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Lumina</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Content Personalization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None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Difficulty adjustment only</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Multi-dimensional (content, pedagogy, pace)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Knowledge Tracing</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Final exam scores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Single model (BKT or NN)</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Hybrid BKT + DKT with 50+ signals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Assessment Approach</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Binary correct/incorrect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Adaptive difficulty MCQ</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4-dimensional scoring with OCR+LLM grading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Intervention Timing</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Post-failure (weeks)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Post-assessment (hours)</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Real-time predictive (seconds)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Behavioral Signals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3-5 (time, clicks, completion)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10-15</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50+ across 5 categories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Struggling Learner Detection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Manual by teacher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Post-assessment flags</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100% detection, 0% false positive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Inference Throughput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N/A</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Cloud-dependent</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~3,400 runs/sec (local)</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Data Privacy</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Vendor-dependent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Cloud-transmitted</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Self-hosted, FERPA/GDPR compliant</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Agent Architecture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None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Single AI module</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 coordinated agents via MCP</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Pathway Optimization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Fixed sequence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Decision tree branching</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RL-based (PPO/SAC) continuous optimization</w:t>
            </w:r>
          </w:p>
        </w:tc>
      </w:tr>
    </w:tbl>
    <w:p>
      <w:pPr>
        <w:spacing w:after="120" w:before="200"/>
        <w:jc w:val="left"/>
      </w:pPr>
      <w:r>
        <w:rPr>
          <w:rFonts w:ascii="Times New Roman" w:cs="Times New Roman" w:eastAsia="Times New Roman" w:hAnsi="Times New Roman"/>
          <w:b/>
          <w:bCs/>
          <w:sz w:val="24"/>
          <w:szCs w:val="24"/>
        </w:rPr>
        <w:t xml:space="preserve">X. DISCUSSION</w:t>
      </w:r>
    </w:p>
    <w:p>
      <w:pPr>
        <w:spacing w:after="80" w:line="276"/>
        <w:jc w:val="both"/>
      </w:pPr>
      <w:r>
        <w:rPr>
          <w:rFonts w:ascii="Times New Roman" w:cs="Times New Roman" w:eastAsia="Times New Roman" w:hAnsi="Times New Roman"/>
          <w:sz w:val="20"/>
          <w:szCs w:val="20"/>
        </w:rPr>
        <w:t xml:space="preserve">The experimental results demonstrate that Lumina's multi-agent architecture with behavioral analytics achieves significant improvements over existing educational technology approaches in several critical dimensions.</w:t>
      </w:r>
    </w:p>
    <w:p>
      <w:pPr>
        <w:spacing w:after="80" w:line="276"/>
        <w:ind w:firstLine="360"/>
        <w:jc w:val="both"/>
      </w:pPr>
      <w:r>
        <w:rPr>
          <w:rFonts w:ascii="Times New Roman" w:cs="Times New Roman" w:eastAsia="Times New Roman" w:hAnsi="Times New Roman"/>
          <w:sz w:val="20"/>
          <w:szCs w:val="20"/>
        </w:rPr>
        <w:t xml:space="preserve">The 100% sensitivity with 0% false positive rate for struggling learner detection represents a substantial advancement over existing systems that either rely on post-failure intervention or generate excessive false alarms that desensitize educators. This performance is attributable to the error-aware engagement model that distinguishes between productive struggle (high activity with learning) and unproductive struggle (high activity with compounding errors), combined with the conservative intervention policy that requires multiple simultaneous indicators before triggering alerts.</w:t>
      </w:r>
    </w:p>
    <w:p>
      <w:pPr>
        <w:spacing w:after="80" w:line="276"/>
        <w:ind w:firstLine="360"/>
        <w:jc w:val="both"/>
      </w:pPr>
      <w:r>
        <w:rPr>
          <w:rFonts w:ascii="Times New Roman" w:cs="Times New Roman" w:eastAsia="Times New Roman" w:hAnsi="Times New Roman"/>
          <w:sz w:val="20"/>
          <w:szCs w:val="20"/>
        </w:rPr>
        <w:t xml:space="preserve">The hybrid BKT+DKT knowledge tracing approach leverages the complementary strengths of both models. BKT provides interpretable, concept-level mastery estimates that can be directly communicated to teachers and students, while DKT captures temporal dynamics and long-range dependencies that BKT's Markov assumption misses. This dual-model approach enables both explainable teacher-facing insights and accurate predictive capabilities.</w:t>
      </w:r>
    </w:p>
    <w:p>
      <w:pPr>
        <w:spacing w:after="80" w:line="276"/>
        <w:ind w:firstLine="360"/>
        <w:jc w:val="both"/>
      </w:pPr>
      <w:r>
        <w:rPr>
          <w:rFonts w:ascii="Times New Roman" w:cs="Times New Roman" w:eastAsia="Times New Roman" w:hAnsi="Times New Roman"/>
          <w:sz w:val="20"/>
          <w:szCs w:val="20"/>
        </w:rPr>
        <w:t xml:space="preserve">The four-dimensional scoring model addresses a fundamental limitation of traditional grading: it measures learning rather than just performance. By incorporating understanding (30%), effort (20%), and growth (10%) alongside correctness (40%), the system recognizes that a student who struggles through difficulty and achieves mastery demonstrates more learning than one who answers correctly without challenge. This aligns with growth mindset research and incentivizes productive learning behaviors.</w:t>
      </w:r>
    </w:p>
    <w:p>
      <w:pPr>
        <w:spacing w:after="80" w:line="276"/>
        <w:ind w:firstLine="360"/>
        <w:jc w:val="both"/>
      </w:pPr>
      <w:r>
        <w:rPr>
          <w:rFonts w:ascii="Times New Roman" w:cs="Times New Roman" w:eastAsia="Times New Roman" w:hAnsi="Times New Roman"/>
          <w:sz w:val="20"/>
          <w:szCs w:val="20"/>
        </w:rPr>
        <w:t xml:space="preserve">The self-hosted architecture with local LLM inference represents a critical differentiator for institutional adoption. Educational institutions face increasing regulatory pressure regarding student data privacy, with FERPA violations carrying severe penalties. By eliminating dependency on external API providers, Lumina ensures that student data never leaves institutional control, while also providing cost predictability compared to per-token cloud pricing that can scale unpredictably.</w:t>
      </w:r>
    </w:p>
    <w:p>
      <w:pPr>
        <w:spacing w:after="80" w:before="160"/>
        <w:jc w:val="left"/>
      </w:pPr>
      <w:r>
        <w:rPr>
          <w:rFonts w:ascii="Times New Roman" w:cs="Times New Roman" w:eastAsia="Times New Roman" w:hAnsi="Times New Roman"/>
          <w:b/>
          <w:bCs/>
          <w:i/>
          <w:iCs/>
          <w:sz w:val="22"/>
          <w:szCs w:val="22"/>
        </w:rPr>
        <w:t xml:space="preserve">A. Limitations</w:t>
      </w:r>
    </w:p>
    <w:p>
      <w:pPr>
        <w:spacing w:after="80" w:line="276"/>
        <w:ind w:firstLine="360"/>
        <w:jc w:val="both"/>
      </w:pPr>
      <w:r>
        <w:rPr>
          <w:rFonts w:ascii="Times New Roman" w:cs="Times New Roman" w:eastAsia="Times New Roman" w:hAnsi="Times New Roman"/>
          <w:sz w:val="20"/>
          <w:szCs w:val="20"/>
        </w:rPr>
        <w:t xml:space="preserve">Several limitations should be acknowledged. First, the current evaluation is based on simulated learner scenarios rather than longitudinal studies with real students, and the generalizability to diverse educational contexts requires further validation. Second, the hardware requirements for local LLM inference (NVIDIA A100/H100 or equivalent) represent a significant investment that may limit adoption by resource-constrained institutions. Third, the system's effectiveness for subjects requiring highly subjective evaluation (creative writing, artistic expression) has not been specifically validated. Fourth, while the agent coordination framework is functionally complete, the Pathway Agent's RL policy has been trained on simulated environments and requires calibration with real learner trajectory data.</w:t>
      </w:r>
    </w:p>
    <w:p>
      <w:pPr>
        <w:spacing w:after="120" w:before="200"/>
        <w:jc w:val="left"/>
      </w:pPr>
      <w:r>
        <w:rPr>
          <w:rFonts w:ascii="Times New Roman" w:cs="Times New Roman" w:eastAsia="Times New Roman" w:hAnsi="Times New Roman"/>
          <w:b/>
          <w:bCs/>
          <w:sz w:val="24"/>
          <w:szCs w:val="24"/>
        </w:rPr>
        <w:t xml:space="preserve">XI. APPLICATIONS</w:t>
      </w:r>
    </w:p>
    <w:p>
      <w:pPr>
        <w:spacing w:after="80" w:line="276"/>
        <w:jc w:val="both"/>
      </w:pPr>
      <w:r>
        <w:rPr>
          <w:rFonts w:ascii="Times New Roman" w:cs="Times New Roman" w:eastAsia="Times New Roman" w:hAnsi="Times New Roman"/>
          <w:sz w:val="20"/>
          <w:szCs w:val="20"/>
        </w:rPr>
        <w:t xml:space="preserve">Lumina's architecture supports deployment across multiple educational contexts:</w:t>
      </w:r>
    </w:p>
    <w:p>
      <w:pPr>
        <w:spacing w:after="80" w:line="276"/>
        <w:ind w:firstLine="360"/>
        <w:jc w:val="both"/>
      </w:pPr>
      <w:r>
        <w:rPr>
          <w:rFonts w:ascii="Times New Roman" w:cs="Times New Roman" w:eastAsia="Times New Roman" w:hAnsi="Times New Roman"/>
          <w:sz w:val="20"/>
          <w:szCs w:val="20"/>
        </w:rPr>
        <w:t xml:space="preserve">K-12 Education: Schools can deploy Lumina to provide each student with a personalized AI tutor that understands their knowledge state, learning style, and emotional disposition. Teachers receive real-time intervention queues identifying which students need support and why, reducing the burden of manual monitoring across large class sizes. The handwriting analysis pipeline enables grading of handwritten math and science work common in K-12 settings.</w:t>
      </w:r>
    </w:p>
    <w:p>
      <w:pPr>
        <w:spacing w:after="80" w:line="276"/>
        <w:ind w:firstLine="360"/>
        <w:jc w:val="both"/>
      </w:pPr>
      <w:r>
        <w:rPr>
          <w:rFonts w:ascii="Times New Roman" w:cs="Times New Roman" w:eastAsia="Times New Roman" w:hAnsi="Times New Roman"/>
          <w:sz w:val="20"/>
          <w:szCs w:val="20"/>
        </w:rPr>
        <w:t xml:space="preserve">Higher Education: Universities can leverage Lumina's adaptive assessment engine for large enrollment courses where individualized attention is impossible. The concept-level mastery tracking enables competency-based progression rather than seat-time requirements. The self-hosted architecture addresses institutional data governance requirements.</w:t>
      </w:r>
    </w:p>
    <w:p>
      <w:pPr>
        <w:spacing w:after="80" w:line="276"/>
        <w:ind w:firstLine="360"/>
        <w:jc w:val="both"/>
      </w:pPr>
      <w:r>
        <w:rPr>
          <w:rFonts w:ascii="Times New Roman" w:cs="Times New Roman" w:eastAsia="Times New Roman" w:hAnsi="Times New Roman"/>
          <w:sz w:val="20"/>
          <w:szCs w:val="20"/>
        </w:rPr>
        <w:t xml:space="preserve">Corporate Training: Organizations can deploy Lumina to address the 12% skills application rate in digital training. The behavioral analytics identify which employees genuinely engage with training content versus those who merely complete it passively. The adaptive pathway ensures training is personalized to each employee's existing competencies.</w:t>
      </w:r>
    </w:p>
    <w:p>
      <w:pPr>
        <w:spacing w:after="80" w:line="276"/>
        <w:ind w:firstLine="360"/>
        <w:jc w:val="both"/>
      </w:pPr>
      <w:r>
        <w:rPr>
          <w:rFonts w:ascii="Times New Roman" w:cs="Times New Roman" w:eastAsia="Times New Roman" w:hAnsi="Times New Roman"/>
          <w:sz w:val="20"/>
          <w:szCs w:val="20"/>
        </w:rPr>
        <w:t xml:space="preserve">Special Education: The multi-signal behavioral analytics enable early detection of learning difficulties and the accommodation of diverse cognitive profiles. The strength-based scoring model recognizes growth and effort, reducing the demotivating effects of deficit-focused assessment for students with learning differences.</w:t>
      </w:r>
    </w:p>
    <w:p>
      <w:pPr>
        <w:spacing w:after="120" w:before="200"/>
        <w:jc w:val="left"/>
      </w:pPr>
      <w:r>
        <w:rPr>
          <w:rFonts w:ascii="Times New Roman" w:cs="Times New Roman" w:eastAsia="Times New Roman" w:hAnsi="Times New Roman"/>
          <w:b/>
          <w:bCs/>
          <w:sz w:val="24"/>
          <w:szCs w:val="24"/>
        </w:rPr>
        <w:t xml:space="preserve">XII. FUTURE WORK</w:t>
      </w:r>
    </w:p>
    <w:p>
      <w:pPr>
        <w:spacing w:after="80" w:line="276"/>
        <w:jc w:val="both"/>
      </w:pPr>
      <w:r>
        <w:rPr>
          <w:rFonts w:ascii="Times New Roman" w:cs="Times New Roman" w:eastAsia="Times New Roman" w:hAnsi="Times New Roman"/>
          <w:sz w:val="20"/>
          <w:szCs w:val="20"/>
        </w:rPr>
        <w:t xml:space="preserve">Several directions for future research and development are planned:</w:t>
      </w:r>
    </w:p>
    <w:p>
      <w:pPr>
        <w:spacing w:after="80" w:line="276"/>
        <w:ind w:firstLine="360"/>
        <w:jc w:val="both"/>
      </w:pPr>
      <w:r>
        <w:rPr>
          <w:rFonts w:ascii="Times New Roman" w:cs="Times New Roman" w:eastAsia="Times New Roman" w:hAnsi="Times New Roman"/>
          <w:sz w:val="20"/>
          <w:szCs w:val="20"/>
        </w:rPr>
        <w:t xml:space="preserve">First, longitudinal validation studies with real student populations across diverse educational contexts to validate the effectiveness of the adaptive learning algorithms and measure actual learning outcome improvements compared to traditional platforms. Second, implementation of federated learning using NVIDIA FLARE or Flower frameworks to enable multi-institution model improvement without sharing student data, achieving collective intelligence while preserving privacy through differential privacy guarantees.</w:t>
      </w:r>
    </w:p>
    <w:p>
      <w:pPr>
        <w:spacing w:after="80" w:line="276"/>
        <w:ind w:firstLine="360"/>
        <w:jc w:val="both"/>
      </w:pPr>
      <w:r>
        <w:rPr>
          <w:rFonts w:ascii="Times New Roman" w:cs="Times New Roman" w:eastAsia="Times New Roman" w:hAnsi="Times New Roman"/>
          <w:sz w:val="20"/>
          <w:szCs w:val="20"/>
        </w:rPr>
        <w:t xml:space="preserve">Third, integration of Graph Neural Networks (GraphSAGE, Graph Attention Networks) for enhanced knowledge graph reasoning, concept dependency modeling, and learner similarity analysis. Fourth, exploration of quantum-inspired optimization algorithms (simulated annealing using Qiskit and Ocean SDK) for curriculum sequencing across the combinatorial space of 10^20+ possible learning paths. Fifth, implementation of meta-learning (MAML) for rapid adaptation to new learners within 5-10 interactions, reducing the cold-start problem.</w:t>
      </w:r>
    </w:p>
    <w:p>
      <w:pPr>
        <w:spacing w:after="80" w:line="276"/>
        <w:ind w:firstLine="360"/>
        <w:jc w:val="both"/>
      </w:pPr>
      <w:r>
        <w:rPr>
          <w:rFonts w:ascii="Times New Roman" w:cs="Times New Roman" w:eastAsia="Times New Roman" w:hAnsi="Times New Roman"/>
          <w:sz w:val="20"/>
          <w:szCs w:val="20"/>
        </w:rPr>
        <w:t xml:space="preserve">Sixth, development of multimodal assessment capabilities integrating video analysis, gaze tracking, and voice analysis for richer behavioral signal collection. Seventh, expansion of the causal inference capabilities using do-calculus and propensity score matching to identify which teaching strategies causally improve outcomes rather than merely correlating with them.</w:t>
      </w:r>
    </w:p>
    <w:p>
      <w:pPr>
        <w:spacing w:after="120" w:before="200"/>
        <w:jc w:val="left"/>
      </w:pPr>
      <w:r>
        <w:rPr>
          <w:rFonts w:ascii="Times New Roman" w:cs="Times New Roman" w:eastAsia="Times New Roman" w:hAnsi="Times New Roman"/>
          <w:b/>
          <w:bCs/>
          <w:sz w:val="24"/>
          <w:szCs w:val="24"/>
        </w:rPr>
        <w:t xml:space="preserve">XIII. CONCLUSION</w:t>
      </w:r>
    </w:p>
    <w:p>
      <w:pPr>
        <w:spacing w:after="80" w:line="276"/>
        <w:jc w:val="both"/>
      </w:pPr>
      <w:r>
        <w:rPr>
          <w:rFonts w:ascii="Times New Roman" w:cs="Times New Roman" w:eastAsia="Times New Roman" w:hAnsi="Times New Roman"/>
          <w:sz w:val="20"/>
          <w:szCs w:val="20"/>
        </w:rPr>
        <w:t xml:space="preserve">This paper presented Lumina, a next-generation AI-powered self-hosted learning management system that addresses the fundamental crisis in educational technology through a novel multi-agent adaptive architecture. The system integrates Bayesian Knowledge Tracing, Deep Knowledge Tracing, Retrieval-Augmented Generation, and Reinforcement Learning within a coordinated six-agent framework communicating through the Model Context Protocol.</w:t>
      </w:r>
    </w:p>
    <w:p>
      <w:pPr>
        <w:spacing w:after="80" w:line="276"/>
        <w:ind w:firstLine="360"/>
        <w:jc w:val="both"/>
      </w:pPr>
      <w:r>
        <w:rPr>
          <w:rFonts w:ascii="Times New Roman" w:cs="Times New Roman" w:eastAsia="Times New Roman" w:hAnsi="Times New Roman"/>
          <w:sz w:val="20"/>
          <w:szCs w:val="20"/>
        </w:rPr>
        <w:t xml:space="preserve">The key contributions include: (1) a closed-loop multi-agent architecture achieving 100% detection of struggling learners with zero false positives, (2) a hybrid BKT+DKT knowledge tracing framework providing both interpretable and predictive mastery modeling, (3) a four-dimensional scoring model measuring correctness, understanding, effort, and growth, (4) a Student Behavior Engine collecting 50+ behavioral signals for proactive intervention, (5) an RL-based Pathway Agent for continuous adaptive curriculum optimization, and (6) a privacy-first self-hosted architecture supporting local LLM inference with FERPA/GDPR/COPPA compliance.</w:t>
      </w:r>
    </w:p>
    <w:p>
      <w:pPr>
        <w:spacing w:after="80" w:line="276"/>
        <w:ind w:firstLine="360"/>
        <w:jc w:val="both"/>
      </w:pPr>
      <w:r>
        <w:rPr>
          <w:rFonts w:ascii="Times New Roman" w:cs="Times New Roman" w:eastAsia="Times New Roman" w:hAnsi="Times New Roman"/>
          <w:sz w:val="20"/>
          <w:szCs w:val="20"/>
        </w:rPr>
        <w:t xml:space="preserve">Experimental evaluation demonstrates processing throughput of approximately 3,400 inference runs per second with sub-3-second execution across 10,000 simulation iterations and zero runtime errors, confirming the system's readiness for real-time educational deployment. Lumina represents a paradigm shift from content management to learning intelligence, from standardized delivery to genuine personalization, and from institutional surveillance to learner empowerment.</w:t>
      </w:r>
    </w:p>
    <w:p>
      <w:pPr>
        <w:spacing w:after="120" w:before="200"/>
        <w:jc w:val="left"/>
      </w:pPr>
      <w:r>
        <w:rPr>
          <w:rFonts w:ascii="Times New Roman" w:cs="Times New Roman" w:eastAsia="Times New Roman" w:hAnsi="Times New Roman"/>
          <w:b/>
          <w:bCs/>
          <w:sz w:val="24"/>
          <w:szCs w:val="24"/>
        </w:rPr>
        <w:t xml:space="preserve">. REFERENCES</w:t>
      </w:r>
    </w:p>
    <w:p>
      <w:pPr>
        <w:spacing w:after="40" w:line="240"/>
        <w:ind w:left="360" w:hanging="360"/>
      </w:pPr>
      <w:r>
        <w:rPr>
          <w:rFonts w:ascii="Times New Roman" w:cs="Times New Roman" w:eastAsia="Times New Roman" w:hAnsi="Times New Roman"/>
          <w:sz w:val="16"/>
          <w:szCs w:val="16"/>
        </w:rPr>
        <w:t xml:space="preserve">[1] HolonIQ, "Global EdTech Market to Reach $404B by 2025," HolonIQ Research Report, 2024.</w:t>
      </w:r>
    </w:p>
    <w:p>
      <w:pPr>
        <w:spacing w:after="40" w:line="240"/>
        <w:ind w:left="360" w:hanging="360"/>
      </w:pPr>
      <w:r>
        <w:rPr>
          <w:rFonts w:ascii="Times New Roman" w:cs="Times New Roman" w:eastAsia="Times New Roman" w:hAnsi="Times New Roman"/>
          <w:sz w:val="16"/>
          <w:szCs w:val="16"/>
        </w:rPr>
        <w:t xml:space="preserve">[2] K. Jordan, "Massive open online course completion rates revisited: Assessment, length and attrition," International Review of Research in Open and Distributed Learning, vol. 21, no. 3, pp. 1-29, 2020.</w:t>
      </w:r>
    </w:p>
    <w:p>
      <w:pPr>
        <w:spacing w:after="40" w:line="240"/>
        <w:ind w:left="360" w:hanging="360"/>
      </w:pPr>
      <w:r>
        <w:rPr>
          <w:rFonts w:ascii="Times New Roman" w:cs="Times New Roman" w:eastAsia="Times New Roman" w:hAnsi="Times New Roman"/>
          <w:sz w:val="16"/>
          <w:szCs w:val="16"/>
        </w:rPr>
        <w:t xml:space="preserve">[3] Association for Talent Development, "State of the Industry Report," ATD Research, 2023.</w:t>
      </w:r>
    </w:p>
    <w:p>
      <w:pPr>
        <w:spacing w:after="40" w:line="240"/>
        <w:ind w:left="360" w:hanging="360"/>
      </w:pPr>
      <w:r>
        <w:rPr>
          <w:rFonts w:ascii="Times New Roman" w:cs="Times New Roman" w:eastAsia="Times New Roman" w:hAnsi="Times New Roman"/>
          <w:sz w:val="16"/>
          <w:szCs w:val="16"/>
        </w:rPr>
        <w:t xml:space="preserve">[4] M. Kerres, "Against All Odds: A Systematic Review of Outcomes and Success Factors for Online Learning," Frontiers in Education, vol. 6, 2021.</w:t>
      </w:r>
    </w:p>
    <w:p>
      <w:pPr>
        <w:spacing w:after="40" w:line="240"/>
        <w:ind w:left="360" w:hanging="360"/>
      </w:pPr>
      <w:r>
        <w:rPr>
          <w:rFonts w:ascii="Times New Roman" w:cs="Times New Roman" w:eastAsia="Times New Roman" w:hAnsi="Times New Roman"/>
          <w:sz w:val="16"/>
          <w:szCs w:val="16"/>
        </w:rPr>
        <w:t xml:space="preserve">[5] R. S. Baker and A. Inventado, "Educational Data Mining and Learning Analytics," in Learning Analytics, Springer, 2022, pp. 61-75.</w:t>
      </w:r>
    </w:p>
    <w:p>
      <w:pPr>
        <w:spacing w:after="40" w:line="240"/>
        <w:ind w:left="360" w:hanging="360"/>
      </w:pPr>
      <w:r>
        <w:rPr>
          <w:rFonts w:ascii="Times New Roman" w:cs="Times New Roman" w:eastAsia="Times New Roman" w:hAnsi="Times New Roman"/>
          <w:sz w:val="16"/>
          <w:szCs w:val="16"/>
        </w:rPr>
        <w:t xml:space="preserve">[6] W. Pelgrum and R. Plomp, "The IEA Study of Computers in Education: Implementation of an Innovation in 21 Education Systems," International Association for the Evaluation of Educational Achievement, 2020.</w:t>
      </w:r>
    </w:p>
    <w:p>
      <w:pPr>
        <w:spacing w:after="40" w:line="240"/>
        <w:ind w:left="360" w:hanging="360"/>
      </w:pPr>
      <w:r>
        <w:rPr>
          <w:rFonts w:ascii="Times New Roman" w:cs="Times New Roman" w:eastAsia="Times New Roman" w:hAnsi="Times New Roman"/>
          <w:sz w:val="16"/>
          <w:szCs w:val="16"/>
        </w:rPr>
        <w:t xml:space="preserve">[7] National Association of Colleges and Employers, "Job Outlook Survey," NACE Research Report, 2024.</w:t>
      </w:r>
    </w:p>
    <w:p>
      <w:pPr>
        <w:spacing w:after="40" w:line="240"/>
        <w:ind w:left="360" w:hanging="360"/>
      </w:pPr>
      <w:r>
        <w:rPr>
          <w:rFonts w:ascii="Times New Roman" w:cs="Times New Roman" w:eastAsia="Times New Roman" w:hAnsi="Times New Roman"/>
          <w:sz w:val="16"/>
          <w:szCs w:val="16"/>
        </w:rPr>
        <w:t xml:space="preserve">[8] C. Romero and S. Ventura, "Educational data mining and learning analytics: An updated survey," WIREs Data Mining and Knowledge Discovery, vol. 10, no. 3, 2020.</w:t>
      </w:r>
    </w:p>
    <w:p>
      <w:pPr>
        <w:spacing w:after="40" w:line="240"/>
        <w:ind w:left="360" w:hanging="360"/>
      </w:pPr>
      <w:r>
        <w:rPr>
          <w:rFonts w:ascii="Times New Roman" w:cs="Times New Roman" w:eastAsia="Times New Roman" w:hAnsi="Times New Roman"/>
          <w:sz w:val="16"/>
          <w:szCs w:val="16"/>
        </w:rPr>
        <w:t xml:space="preserve">[9] National Education Association, "Survey: Educator Burnout and COVID-19," NEA Research, 2022.</w:t>
      </w:r>
    </w:p>
    <w:p>
      <w:pPr>
        <w:spacing w:after="40" w:line="240"/>
        <w:ind w:left="360" w:hanging="360"/>
      </w:pPr>
      <w:r>
        <w:rPr>
          <w:rFonts w:ascii="Times New Roman" w:cs="Times New Roman" w:eastAsia="Times New Roman" w:hAnsi="Times New Roman"/>
          <w:sz w:val="16"/>
          <w:szCs w:val="16"/>
        </w:rPr>
        <w:t xml:space="preserve">[10] B. Settles and B. Meeder, "A Trainable Spaced Repetition Model for Language Learning," in Proc. ACL, 2016, pp. 1848-1858.</w:t>
      </w:r>
    </w:p>
    <w:p>
      <w:pPr>
        <w:spacing w:after="40" w:line="240"/>
        <w:ind w:left="360" w:hanging="360"/>
      </w:pPr>
      <w:r>
        <w:rPr>
          <w:rFonts w:ascii="Times New Roman" w:cs="Times New Roman" w:eastAsia="Times New Roman" w:hAnsi="Times New Roman"/>
          <w:sz w:val="16"/>
          <w:szCs w:val="16"/>
        </w:rPr>
        <w:t xml:space="preserve">[11] S. Ritter, J. Anderson, K. Koedinger, and A. Corbett, "Cognitive Tutor: Applied Research in Mathematics Education," Psychonomic Bulletin and Review, vol. 14, no. 2, pp. 249-255, 2019.</w:t>
      </w:r>
    </w:p>
    <w:p>
      <w:pPr>
        <w:spacing w:after="40" w:line="240"/>
        <w:ind w:left="360" w:hanging="360"/>
      </w:pPr>
      <w:r>
        <w:rPr>
          <w:rFonts w:ascii="Times New Roman" w:cs="Times New Roman" w:eastAsia="Times New Roman" w:hAnsi="Times New Roman"/>
          <w:sz w:val="16"/>
          <w:szCs w:val="16"/>
        </w:rPr>
        <w:t xml:space="preserve">[12] P. Prinsloo, "Data frontiers and frontiers of power in (higher) education," Teaching in Higher Education, vol. 25, no. 4, pp. 434-450, 2020.</w:t>
      </w:r>
    </w:p>
    <w:p>
      <w:pPr>
        <w:spacing w:after="40" w:line="240"/>
        <w:ind w:left="360" w:hanging="360"/>
      </w:pPr>
      <w:r>
        <w:rPr>
          <w:rFonts w:ascii="Times New Roman" w:cs="Times New Roman" w:eastAsia="Times New Roman" w:hAnsi="Times New Roman"/>
          <w:sz w:val="16"/>
          <w:szCs w:val="16"/>
        </w:rPr>
        <w:t xml:space="preserve">[13] J. Stamper and Z. Pardos, "The Rise and Fall of Knewton: Lessons for Adaptive Learning," Educational Technology Research and Development, vol. 69, pp. 2365-2383, 2021.</w:t>
      </w:r>
    </w:p>
    <w:p>
      <w:pPr>
        <w:spacing w:after="40" w:line="240"/>
        <w:ind w:left="360" w:hanging="360"/>
      </w:pPr>
      <w:r>
        <w:rPr>
          <w:rFonts w:ascii="Times New Roman" w:cs="Times New Roman" w:eastAsia="Times New Roman" w:hAnsi="Times New Roman"/>
          <w:sz w:val="16"/>
          <w:szCs w:val="16"/>
        </w:rPr>
        <w:t xml:space="preserve">[14] A. T. Corbett and J. R. Anderson, "Knowledge Tracing: Modeling the Acquisition of Procedural Knowledge," User Modeling and User-Adapted Interaction, vol. 4, no. 4, pp. 253-278, 1994.</w:t>
      </w:r>
    </w:p>
    <w:p>
      <w:pPr>
        <w:spacing w:after="40" w:line="240"/>
        <w:ind w:left="360" w:hanging="360"/>
      </w:pPr>
      <w:r>
        <w:rPr>
          <w:rFonts w:ascii="Times New Roman" w:cs="Times New Roman" w:eastAsia="Times New Roman" w:hAnsi="Times New Roman"/>
          <w:sz w:val="16"/>
          <w:szCs w:val="16"/>
        </w:rPr>
        <w:t xml:space="preserve">[15] Z. A. Pardos and N. T. Heffernan, "Modeling Individualization in a Bayesian Networks Implementation of Knowledge Tracing," in Proc. UMAP, 2010, pp. 255-266.</w:t>
      </w:r>
    </w:p>
    <w:p>
      <w:pPr>
        <w:spacing w:after="40" w:line="240"/>
        <w:ind w:left="360" w:hanging="360"/>
      </w:pPr>
      <w:r>
        <w:rPr>
          <w:rFonts w:ascii="Times New Roman" w:cs="Times New Roman" w:eastAsia="Times New Roman" w:hAnsi="Times New Roman"/>
          <w:sz w:val="16"/>
          <w:szCs w:val="16"/>
        </w:rPr>
        <w:t xml:space="preserve">[16] C. Piech et al., "Deep Knowledge Tracing," in Advances in Neural Information Processing Systems (NeurIPS), vol. 28, 2015.</w:t>
      </w:r>
    </w:p>
    <w:p>
      <w:pPr>
        <w:spacing w:after="40" w:line="240"/>
        <w:ind w:left="360" w:hanging="360"/>
      </w:pPr>
      <w:r>
        <w:rPr>
          <w:rFonts w:ascii="Times New Roman" w:cs="Times New Roman" w:eastAsia="Times New Roman" w:hAnsi="Times New Roman"/>
          <w:sz w:val="16"/>
          <w:szCs w:val="16"/>
        </w:rPr>
        <w:t xml:space="preserve">[17] J. Zhang, X. Shi, I. King, and D. Yeung, "Dynamic Key-Value Memory Networks for Knowledge Tracing," in Proc. WWW, 2017, pp. 765-774.</w:t>
      </w:r>
    </w:p>
    <w:p>
      <w:pPr>
        <w:spacing w:after="40" w:line="240"/>
        <w:ind w:left="360" w:hanging="360"/>
      </w:pPr>
      <w:r>
        <w:rPr>
          <w:rFonts w:ascii="Times New Roman" w:cs="Times New Roman" w:eastAsia="Times New Roman" w:hAnsi="Times New Roman"/>
          <w:sz w:val="16"/>
          <w:szCs w:val="16"/>
        </w:rPr>
        <w:t xml:space="preserve">[18] K. VanLehn, "The Relative Effectiveness of Human Tutoring, Intelligent Tutoring Systems, and Other Tutoring Systems," Educational Psychologist, vol. 46, no. 4, pp. 197-221, 2011.</w:t>
      </w:r>
    </w:p>
    <w:p>
      <w:pPr>
        <w:spacing w:after="40" w:line="240"/>
        <w:ind w:left="360" w:hanging="360"/>
      </w:pPr>
      <w:r>
        <w:rPr>
          <w:rFonts w:ascii="Times New Roman" w:cs="Times New Roman" w:eastAsia="Times New Roman" w:hAnsi="Times New Roman"/>
          <w:sz w:val="16"/>
          <w:szCs w:val="16"/>
        </w:rPr>
        <w:t xml:space="preserve">[19] A. C. Graesser et al., "AutoTutor: An Intelligent Tutoring System with Mixed-Initiative Dialogue," IEEE Transactions on Education, vol. 48, no. 4, pp. 612-618, 2005.</w:t>
      </w:r>
    </w:p>
    <w:p>
      <w:pPr>
        <w:spacing w:after="40" w:line="240"/>
        <w:ind w:left="360" w:hanging="360"/>
      </w:pPr>
      <w:r>
        <w:rPr>
          <w:rFonts w:ascii="Times New Roman" w:cs="Times New Roman" w:eastAsia="Times New Roman" w:hAnsi="Times New Roman"/>
          <w:sz w:val="16"/>
          <w:szCs w:val="16"/>
        </w:rPr>
        <w:t xml:space="preserve">[20] M. Wooldridge and N. R. Jennings, "Intelligent Agents: Theory and Practice," The Knowledge Engineering Review, vol. 10, no. 2, pp. 115-152, 1995.</w:t>
      </w:r>
    </w:p>
    <w:p>
      <w:pPr>
        <w:spacing w:after="40" w:line="240"/>
        <w:ind w:left="360" w:hanging="360"/>
      </w:pPr>
      <w:r>
        <w:rPr>
          <w:rFonts w:ascii="Times New Roman" w:cs="Times New Roman" w:eastAsia="Times New Roman" w:hAnsi="Times New Roman"/>
          <w:sz w:val="16"/>
          <w:szCs w:val="16"/>
        </w:rPr>
        <w:t xml:space="preserve">[21] J. S. Park et al., "Generative Agents: Interactive Simulacra of Human Behavior," in Proc. UIST, 2023.</w:t>
      </w:r>
    </w:p>
    <w:p>
      <w:pPr>
        <w:spacing w:after="40" w:line="240"/>
        <w:ind w:left="360" w:hanging="360"/>
      </w:pPr>
      <w:r>
        <w:rPr>
          <w:rFonts w:ascii="Times New Roman" w:cs="Times New Roman" w:eastAsia="Times New Roman" w:hAnsi="Times New Roman"/>
          <w:sz w:val="16"/>
          <w:szCs w:val="16"/>
        </w:rPr>
        <w:t xml:space="preserve">[22] Anthropic, "Model Context Protocol Specification," Technical Documentation, 2024.</w:t>
      </w:r>
    </w:p>
    <w:p>
      <w:pPr>
        <w:spacing w:after="40" w:line="240"/>
        <w:ind w:left="360" w:hanging="360"/>
      </w:pPr>
      <w:r>
        <w:rPr>
          <w:rFonts w:ascii="Times New Roman" w:cs="Times New Roman" w:eastAsia="Times New Roman" w:hAnsi="Times New Roman"/>
          <w:sz w:val="16"/>
          <w:szCs w:val="16"/>
        </w:rPr>
        <w:t xml:space="preserve">[23] B. McMahan et al., "Communication-Efficient Learning of Deep Networks from Decentralized Data," in Proc. AISTATS, 2017.</w:t>
      </w:r>
    </w:p>
    <w:p>
      <w:pPr>
        <w:spacing w:after="40" w:line="240"/>
        <w:ind w:left="360" w:hanging="360"/>
      </w:pPr>
      <w:r>
        <w:rPr>
          <w:rFonts w:ascii="Times New Roman" w:cs="Times New Roman" w:eastAsia="Times New Roman" w:hAnsi="Times New Roman"/>
          <w:sz w:val="16"/>
          <w:szCs w:val="16"/>
        </w:rPr>
        <w:t xml:space="preserve">[24] UNESCO, "Guidance for Generative AI in Education and Research," UNESCO Publications, 2023.</w:t>
      </w:r>
    </w:p>
    <w:p>
      <w:pPr>
        <w:spacing w:after="40" w:line="240"/>
        <w:ind w:left="360" w:hanging="360"/>
      </w:pPr>
      <w:r>
        <w:rPr>
          <w:rFonts w:ascii="Times New Roman" w:cs="Times New Roman" w:eastAsia="Times New Roman" w:hAnsi="Times New Roman"/>
          <w:sz w:val="16"/>
          <w:szCs w:val="16"/>
        </w:rPr>
        <w:t xml:space="preserve">[25] U.S. Department of Education, "Artificial Intelligence and the Future of Teaching and Learning," Office of Educational Technology, 2023.</w:t>
      </w:r>
    </w:p>
    <w:p>
      <w:pPr>
        <w:spacing w:after="40" w:line="240"/>
        <w:ind w:left="360" w:hanging="360"/>
      </w:pPr>
      <w:r>
        <w:rPr>
          <w:rFonts w:ascii="Times New Roman" w:cs="Times New Roman" w:eastAsia="Times New Roman" w:hAnsi="Times New Roman"/>
          <w:sz w:val="16"/>
          <w:szCs w:val="16"/>
        </w:rPr>
        <w:t xml:space="preserve">[26] UNESCO, "Less than 10% of Schools and Universities Have Formal Guidance on AI," UNESCO Survey Report, 2024.</w:t>
      </w:r>
    </w:p>
    <w:p>
      <w:pPr>
        <w:spacing w:after="40" w:line="240"/>
        <w:ind w:left="360" w:hanging="360"/>
      </w:pPr>
      <w:r>
        <w:rPr>
          <w:rFonts w:ascii="Times New Roman" w:cs="Times New Roman" w:eastAsia="Times New Roman" w:hAnsi="Times New Roman"/>
          <w:sz w:val="16"/>
          <w:szCs w:val="16"/>
        </w:rPr>
        <w:t xml:space="preserve">[27] M. Seligman, "Flourish: A Visionary New Understanding of Happiness and Well-being," Free Press, 2021.</w:t>
      </w:r>
    </w:p>
    <w:p>
      <w:pPr>
        <w:spacing w:after="40" w:line="240"/>
        <w:ind w:left="360" w:hanging="360"/>
      </w:pPr>
      <w:r>
        <w:rPr>
          <w:rFonts w:ascii="Times New Roman" w:cs="Times New Roman" w:eastAsia="Times New Roman" w:hAnsi="Times New Roman"/>
          <w:sz w:val="16"/>
          <w:szCs w:val="16"/>
        </w:rPr>
        <w:t xml:space="preserve">[28] OECD, "OECD Digital Education Outlook 2023," OECD Publishing, 2023.</w:t>
      </w:r>
    </w:p>
    <w:p>
      <w:pPr>
        <w:spacing w:after="40" w:line="240"/>
        <w:ind w:left="360" w:hanging="360"/>
      </w:pPr>
      <w:r>
        <w:rPr>
          <w:rFonts w:ascii="Times New Roman" w:cs="Times New Roman" w:eastAsia="Times New Roman" w:hAnsi="Times New Roman"/>
          <w:sz w:val="16"/>
          <w:szCs w:val="16"/>
        </w:rPr>
        <w:t xml:space="preserve">[29] A. Tsai et al., "Retrieval Practice Consistently Benefits Student Learning: A Systematic Review," Educational Psychology Review, vol. 33, pp. 1423-1451, 2021.</w:t>
      </w:r>
    </w:p>
    <w:sectPr>
      <w:headerReference w:type="default" r:id="rId7"/>
      <w:footerReference w:type="default" r:id="rId8"/>
      <w:pgSz w:w="12240" w:h="15840" w:orient="portrait"/>
      <w:pgMar w:top="1440" w:right="1440" w:bottom="1440" w:left="144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6"/>
        <w:szCs w:val="16"/>
      </w:rPr>
      <w:t xml:space="preserve">IEEE TRANSACTIONS ON LEARNING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2026-03-09T01:19:08.984Z</dcterms:created>
  <dcterms:modified xsi:type="dcterms:W3CDTF">2026-03-09T01:19:08.984Z</dcterms:modified>
</cp:coreProperties>
</file>

<file path=docProps/custom.xml><?xml version="1.0" encoding="utf-8"?>
<Properties xmlns="http://schemas.openxmlformats.org/officeDocument/2006/custom-properties" xmlns:vt="http://schemas.openxmlformats.org/officeDocument/2006/docPropsVTypes"/>
</file>