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both"/>
      </w:pPr>
      <w:r>
        <w:rPr>
          <w:rFonts w:ascii="Times New Roman" w:cs="Times New Roman" w:eastAsia="Times New Roman" w:hAnsi="Times New Roman"/>
          <w:b/>
          <w:bCs/>
          <w:sz w:val="32"/>
          <w:szCs w:val="28"/>
        </w:rPr>
        <w:t xml:space="preserve">Lumina: An Intelligent Multi-Agent Adaptive Learning Management System with Bayesian Knowledge Tracing, Deep Knowledge Tracing, and Reinforcement Learning for Personalized Education</w:t>
      </w:r>
    </w:p>
    <w:p>
      <w:pPr>
        <w:spacing w:after="40"/>
        <w:jc w:val="both"/>
      </w:pPr>
      <w:r>
        <w:rPr>
          <w:rFonts w:ascii="Times New Roman" w:cs="Times New Roman" w:eastAsia="Times New Roman" w:hAnsi="Times New Roman"/>
          <w:b/>
          <w:bCs/>
          <w:sz w:val="20"/>
          <w:szCs w:val="22"/>
        </w:rPr>
        <w:t xml:space="preserve">Dr. Rayudu Srinivas</w:t>
      </w:r>
    </w:p>
    <w:p>
      <w:pPr>
        <w:spacing w:after="40"/>
        <w:jc w:val="both"/>
      </w:pPr>
      <w:r>
        <w:rPr>
          <w:rFonts w:ascii="Times New Roman" w:cs="Times New Roman" w:eastAsia="Times New Roman" w:hAnsi="Times New Roman"/>
          <w:i/>
          <w:iCs/>
          <w:sz w:val="20"/>
          <w:szCs w:val="20"/>
        </w:rPr>
        <w:t xml:space="preserve">Professor</w:t>
      </w:r>
    </w:p>
    <w:p>
      <w:pPr>
        <w:spacing w:after="80"/>
        <w:jc w:val="both"/>
      </w:pPr>
      <w:r>
        <w:rPr>
          <w:rFonts w:ascii="Times New Roman" w:cs="Times New Roman" w:eastAsia="Times New Roman" w:hAnsi="Times New Roman"/>
          <w:b/>
          <w:sz w:val="32"/>
          <w:szCs w:val="22"/>
        </w:rPr>
        <w:t xml:space="preserve">Chepuri Hari Kiran, Pathivada Laxmi Ram Charan</w:t>
      </w:r>
    </w:p>
    <w:p>
      <w:pPr>
        <w:spacing w:after="240"/>
        <w:jc w:val="both"/>
      </w:pPr>
      <w:r>
        <w:rPr>
          <w:rFonts w:ascii="Times New Roman" w:cs="Times New Roman" w:eastAsia="Times New Roman" w:hAnsi="Times New Roman"/>
          <w:b/>
          <w:i/>
          <w:iCs/>
          <w:sz w:val="32"/>
          <w:szCs w:val="20"/>
        </w:rPr>
        <w:t xml:space="preserve">Department of Computer Science and Engineering</w:t>
      </w:r>
    </w:p>
    <w:p>
      <w:pPr>
        <w:spacing w:after="120" w:before="160"/>
        <w:jc w:val="both"/>
      </w:pPr>
      <w:r>
        <w:rPr>
          <w:rFonts w:ascii="Times New Roman" w:cs="Times New Roman" w:eastAsia="Times New Roman" w:hAnsi="Times New Roman"/>
          <w:b/>
          <w:bCs/>
          <w:i/>
          <w:iCs/>
          <w:sz w:val="22"/>
          <w:szCs w:val="24"/>
        </w:rPr>
        <w:t xml:space="preserve">Abstract</w:t>
      </w:r>
    </w:p>
    <w:p>
      <w:pPr>
        <w:jc w:val="both"/>
      </w:pPr>
      <w:r>
        <w:rPr>
          <w:rFonts w:ascii="Times New Roman" w:hAnsi="Times New Roman"/>
          <w:sz w:val="20"/>
        </w:rPr>
        <w:t>The educational technology market continues to grow, yet most learning management systems remain content-centric, weakly personalized, and reactive to failure. This paper presents Lumina, a privacy-first multi-agent adaptive learning management system that combines Bayesian Knowledge Tracing (BKT), Deep Knowledge Tracing (DKT), reinforcement learning (RL) for curriculum sequencing, retrieval-augmented generation (RAG), and a behavior engine that captures 50+ passive learning signals. Lumina coordinates six specialized agents through the Model Context Protocol to provide closed-loop tutoring, assessment, intervention, analytics, and governance. The revised evaluation is organized in three layers: prototype stress testing over 10,000 synthetic learner scenarios, external validation on the public xAPI-Edu-Data benchmark (480 learner records), and a reproducible benchmark matrix for future knowledge-tracing studies on ASSISTments and EdNet. The prototype analytics benchmark completed in 0.90 seconds with zero runtime failures and approximately 11051 inference runs per second. On xAPI-Edu-Data, a Random Forest baseline achieved 0.800 accuracy and 0.804 macro-F1 under 5-fold stratified cross-validation, demonstrating that the behavioral signal families used by Lumina are predictive on real educational data. These results position Lumina as a technically coherent, self-hosted, and benchmark-ready foundation for explainable personalized education.</w:t>
      </w:r>
    </w:p>
    <w:p>
      <w:pPr>
        <w:jc w:val="both"/>
      </w:pPr>
      <w:r>
        <w:rPr>
          <w:rFonts w:ascii="Times New Roman" w:hAnsi="Times New Roman"/>
          <w:sz w:val="20"/>
        </w:rPr>
        <w:t>Keywords: Adaptive Learning, Bayesian Knowledge Tracing, Deep Knowledge Tracing, Multi-Agent Systems, Reinforcement Learning, Retrieval-Augmented Generation, Educational Data Mining, Benchmark Evaluation</w:t>
      </w:r>
    </w:p>
    <w:p>
      <w:pPr>
        <w:spacing w:after="120" w:before="200"/>
        <w:jc w:val="left"/>
      </w:pPr>
      <w:r>
        <w:rPr>
          <w:rFonts w:ascii="Times New Roman" w:cs="Times New Roman" w:eastAsia="Times New Roman" w:hAnsi="Times New Roman"/>
          <w:b/>
          <w:bCs/>
          <w:sz w:val="22"/>
          <w:szCs w:val="24"/>
        </w:rPr>
        <w:t xml:space="preserve">I. INTRODUCTION</w:t>
      </w:r>
    </w:p>
    <w:p>
      <w:pPr>
        <w:spacing w:after="80" w:line="276"/>
        <w:jc w:val="both"/>
      </w:pPr>
      <w:r>
        <w:rPr>
          <w:rFonts w:ascii="Times New Roman" w:cs="Times New Roman" w:eastAsia="Times New Roman" w:hAnsi="Times New Roman"/>
          <w:sz w:val="20"/>
          <w:szCs w:val="20"/>
        </w:rPr>
        <w:t xml:space="preserve">The rapid proliferation of digital learning platforms has fundamentally transformed how education is delivered worldwide. With over 1.5 billion learners engaged in digital learning and the educational technology market surpassing $340 billion in 2024, the scale of online education is unprecedented [1]. However, this growth has not translated into proportionally improved learning outcomes. Studies show that 40-60% of online course enrollments result in non-completion, with learner disengagement cited as the primary cause [2]. In corporate training environments, only 12% of employees apply skills learned from digital training programs to their work [3]. This disconnect between investment and outcomes represents a fundamental crisis in educational technology.</w:t>
      </w:r>
    </w:p>
    <w:p>
      <w:pPr>
        <w:spacing w:after="80" w:line="276"/>
        <w:ind w:firstLine="360"/>
        <w:jc w:val="both"/>
      </w:pPr>
      <w:r>
        <w:rPr>
          <w:rFonts w:ascii="Times New Roman" w:cs="Times New Roman" w:eastAsia="Times New Roman" w:hAnsi="Times New Roman"/>
          <w:sz w:val="20"/>
          <w:szCs w:val="20"/>
        </w:rPr>
        <w:t xml:space="preserve">Current Learning Management Systems (LMS) such as Moodle, Blackboard, Canvas, Coursera, and Udemy operate on an industrial-age model that treats education as a content distribution problem rather than a learning facilitation challenge [4]. These platforms deliver identical course materials to millions of learners regardless of prior knowledge levels, learning pace, cognitive preferences, cultural contexts, or accessibility needs. Even second-generation platforms claiming AI-powered personalization typically implement rudimentary adaptive algorithms that adjust difficulty based solely on correctness metrics, recommend content using collaborative filtering, and optimize for engagement metrics rather than deep learning [5].</w:t>
      </w:r>
    </w:p>
    <w:p>
      <w:pPr>
        <w:spacing w:after="80" w:line="276"/>
        <w:ind w:firstLine="360"/>
        <w:jc w:val="both"/>
      </w:pPr>
      <w:r>
        <w:rPr>
          <w:rFonts w:ascii="Times New Roman" w:cs="Times New Roman" w:eastAsia="Times New Roman" w:hAnsi="Times New Roman"/>
          <w:sz w:val="20"/>
          <w:szCs w:val="20"/>
        </w:rPr>
        <w:t xml:space="preserve">The assessment paradigm in digital education has barely evolved beyond multiple-choice questions and auto-graded assignments. Current systems exhibit critical deficiencies including binary evaluation without recognition of partial understanding, delayed feedback loops that intervene after learning failures rather than preventing them, and assessment inauthenticity where tests measure recall rather than application, analysis, or synthesis [6]. The educational assessment industry generates $4 billion annually, yet employers consistently report that 60% of recent graduates lack practical problem-solving skills despite passing grades [7].</w:t>
      </w:r>
    </w:p>
    <w:p>
      <w:pPr>
        <w:spacing w:after="80" w:line="276"/>
        <w:ind w:firstLine="360"/>
        <w:jc w:val="both"/>
      </w:pPr>
      <w:r>
        <w:rPr>
          <w:rFonts w:ascii="Times New Roman" w:cs="Times New Roman" w:eastAsia="Times New Roman" w:hAnsi="Times New Roman"/>
          <w:sz w:val="20"/>
          <w:szCs w:val="20"/>
        </w:rPr>
        <w:t xml:space="preserve">Furthermore, existing platforms suffer from a behavioral intelligence gap, reducing the complexity of learning behavior to simplistic metrics such as time on page, completion rates, and click patterns that fail to capture cognitive engagement, struggle signals, or consolidation patterns [8]. Without behavioral intelligence, personalization is fundamentally guesswork. Educators spend 25-40% of their work time on administrative tasks that add no direct educational value, contributing to burnout rates exceeding 44% in the United States [9].</w:t>
      </w:r>
    </w:p>
    <w:p>
      <w:pPr>
        <w:spacing w:after="80" w:line="276"/>
        <w:ind w:firstLine="360"/>
        <w:jc w:val="both"/>
      </w:pPr>
      <w:r>
        <w:rPr>
          <w:rFonts w:ascii="Times New Roman" w:cs="Times New Roman" w:eastAsia="Times New Roman" w:hAnsi="Times New Roman"/>
          <w:sz w:val="20"/>
          <w:szCs w:val="20"/>
        </w:rPr>
        <w:t xml:space="preserve">This paper presents Lumina, a next-generation AI-powered self-hosted learning management system that addresses these systemic failures through a novel multi-agent architecture. The key contributions of this research are:</w:t>
      </w:r>
    </w:p>
    <w:p>
      <w:pPr>
        <w:spacing w:after="60" w:line="276"/>
        <w:ind w:left="720"/>
        <w:jc w:val="both"/>
      </w:pPr>
      <w:r>
        <w:rPr>
          <w:rFonts w:ascii="Times New Roman" w:cs="Times New Roman" w:eastAsia="Times New Roman" w:hAnsi="Times New Roman"/>
          <w:sz w:val="20"/>
          <w:szCs w:val="20"/>
        </w:rPr>
        <w:t xml:space="preserve">(1) A closed-loop multi-agent learning system integrating six specialized AI agents coordinated through the Model Context Protocol (MCP) for real-time, context-aware educational support.</w:t>
      </w:r>
    </w:p>
    <w:p>
      <w:pPr>
        <w:spacing w:after="60" w:line="276"/>
        <w:ind w:left="720"/>
        <w:jc w:val="both"/>
      </w:pPr>
      <w:r>
        <w:rPr>
          <w:rFonts w:ascii="Times New Roman" w:cs="Times New Roman" w:eastAsia="Times New Roman" w:hAnsi="Times New Roman"/>
          <w:sz w:val="20"/>
          <w:szCs w:val="20"/>
        </w:rPr>
        <w:t xml:space="preserve">(2) A hybrid knowledge tracing framework combining Bayesian Knowledge Tracing (BKT) and Deep Knowledge Tracing (DKT) with a four-dimensional scoring model measuring correctness, understanding, effort, and growth.</w:t>
      </w:r>
    </w:p>
    <w:p>
      <w:pPr>
        <w:spacing w:after="60" w:line="276"/>
        <w:ind w:left="720"/>
        <w:jc w:val="both"/>
      </w:pPr>
      <w:r>
        <w:rPr>
          <w:rFonts w:ascii="Times New Roman" w:cs="Times New Roman" w:eastAsia="Times New Roman" w:hAnsi="Times New Roman"/>
          <w:sz w:val="20"/>
          <w:szCs w:val="20"/>
        </w:rPr>
        <w:t xml:space="preserve">(3) A Student Behavior Engine that passively collects over 50 behavioral signals to enable proactive intervention through predictive analytics.</w:t>
      </w:r>
    </w:p>
    <w:p>
      <w:pPr>
        <w:spacing w:after="60" w:line="276"/>
        <w:ind w:left="720"/>
        <w:jc w:val="both"/>
      </w:pPr>
      <w:r>
        <w:rPr>
          <w:rFonts w:ascii="Times New Roman" w:cs="Times New Roman" w:eastAsia="Times New Roman" w:hAnsi="Times New Roman"/>
          <w:sz w:val="20"/>
          <w:szCs w:val="20"/>
        </w:rPr>
        <w:t xml:space="preserve">(4) A Reinforcement Learning-based Pathway Agent using Proximal Policy Optimization (PPO) for adaptive curriculum sequencing.</w:t>
      </w:r>
    </w:p>
    <w:p>
      <w:pPr>
        <w:spacing w:after="120" w:line="276"/>
        <w:ind w:left="720"/>
        <w:jc w:val="both"/>
      </w:pPr>
      <w:r>
        <w:rPr>
          <w:rFonts w:ascii="Times New Roman" w:cs="Times New Roman" w:eastAsia="Times New Roman" w:hAnsi="Times New Roman"/>
          <w:sz w:val="20"/>
          <w:szCs w:val="20"/>
        </w:rPr>
        <w:t xml:space="preserve">(5) A privacy-first, self-hosted architecture supporting local LLM inference that eliminates dependency on external AI providers while ensuring regulatory compliance.</w:t>
      </w:r>
    </w:p>
    <w:p>
      <w:pPr>
        <w:spacing w:after="120" w:before="200"/>
        <w:jc w:val="left"/>
      </w:pPr>
      <w:r>
        <w:rPr>
          <w:rFonts w:ascii="Times New Roman" w:cs="Times New Roman" w:eastAsia="Times New Roman" w:hAnsi="Times New Roman"/>
          <w:b/>
          <w:bCs/>
          <w:sz w:val="22"/>
          <w:szCs w:val="24"/>
        </w:rPr>
        <w:t xml:space="preserve">II. RELATED WORK</w:t>
      </w:r>
    </w:p>
    <w:p>
      <w:pPr>
        <w:spacing w:after="80" w:line="276"/>
        <w:jc w:val="both"/>
      </w:pPr>
      <w:r>
        <w:rPr>
          <w:rFonts w:ascii="Times New Roman" w:cs="Times New Roman" w:eastAsia="Times New Roman" w:hAnsi="Times New Roman"/>
          <w:sz w:val="20"/>
          <w:szCs w:val="20"/>
        </w:rPr>
        <w:t xml:space="preserve">This section reviews existing research and systems across several dimensions relevant to Lumina's design: adaptive learning platforms, knowledge tracing models, intelligent tutoring systems, multi-agent architectures, and privacy-preserving educational AI.</w:t>
      </w:r>
    </w:p>
    <w:p>
      <w:pPr>
        <w:spacing w:after="80" w:before="160"/>
        <w:jc w:val="left"/>
      </w:pPr>
      <w:r>
        <w:rPr>
          <w:rFonts w:ascii="Times New Roman" w:cs="Times New Roman" w:eastAsia="Times New Roman" w:hAnsi="Times New Roman"/>
          <w:b/>
          <w:bCs/>
          <w:i/>
          <w:iCs/>
          <w:sz w:val="20"/>
          <w:szCs w:val="22"/>
        </w:rPr>
        <w:t xml:space="preserve">A. Adaptive Learning Platforms</w:t>
      </w:r>
    </w:p>
    <w:p>
      <w:pPr>
        <w:spacing w:after="80" w:line="276"/>
        <w:ind w:firstLine="360"/>
        <w:jc w:val="both"/>
      </w:pPr>
      <w:r>
        <w:rPr>
          <w:rFonts w:ascii="Times New Roman" w:cs="Times New Roman" w:eastAsia="Times New Roman" w:hAnsi="Times New Roman"/>
          <w:sz w:val="20"/>
          <w:szCs w:val="20"/>
        </w:rPr>
        <w:t xml:space="preserve">Duolingo employs spaced repetition and adaptive difficulty adjustment for language learning but relies on simple correctness metrics without modeling deep conceptual understanding [10]. Carnegie Learning's MATHia implements cognitive tutoring based on ACT-R theory, providing step-by-step guidance but limited to mathematics and lacking multi-agent coordination [11]. Century Tech uses a neural network-based system for content recommendation but operates as a cloud-dependent platform with limited institutional control over data [12]. Knewton's adaptive platform applied Bayesian inference for content sequencing but was criticized for optimizing engagement over deep learning and was ultimately acquired due to scalability challenges [13].</w:t>
      </w:r>
    </w:p>
    <w:p>
      <w:pPr>
        <w:spacing w:after="80" w:before="160"/>
        <w:jc w:val="left"/>
      </w:pPr>
      <w:r>
        <w:rPr>
          <w:rFonts w:ascii="Times New Roman" w:cs="Times New Roman" w:eastAsia="Times New Roman" w:hAnsi="Times New Roman"/>
          <w:b/>
          <w:bCs/>
          <w:i/>
          <w:iCs/>
          <w:sz w:val="20"/>
          <w:szCs w:val="22"/>
        </w:rPr>
        <w:t xml:space="preserve">B. Knowledge Tracing Models</w:t>
      </w:r>
    </w:p>
    <w:p>
      <w:pPr>
        <w:spacing w:after="80" w:line="276"/>
        <w:ind w:firstLine="360"/>
        <w:jc w:val="both"/>
      </w:pPr>
      <w:r>
        <w:rPr>
          <w:rFonts w:ascii="Times New Roman" w:cs="Times New Roman" w:eastAsia="Times New Roman" w:hAnsi="Times New Roman"/>
          <w:sz w:val="20"/>
          <w:szCs w:val="20"/>
        </w:rPr>
        <w:t xml:space="preserve">Corbett and Anderson introduced Bayesian Knowledge Tracing (BKT) in 1994, modeling student knowledge as a binary latent variable updated through observed responses [14]. Pardos and Heffernan extended BKT with individualized parameters, improving prediction accuracy [15]. Piech et al. proposed Deep Knowledge Tracing (DKT) using recurrent neural networks to model student learning as a sequential process, demonstrating superior predictive performance on benchmark datasets [16]. Zhang et al. combined attention mechanisms with knowledge tracing, enabling dynamic weighting of historical interactions [17]. However, existing systems typically employ either BKT or DKT in isolation rather than leveraging their complementary strengths—BKT's interpretability and DKT's sequential modeling capacity.</w:t>
      </w:r>
    </w:p>
    <w:p>
      <w:pPr>
        <w:jc w:val="both"/>
      </w:pPr>
      <w:r>
        <w:rPr>
          <w:rFonts w:ascii="Times New Roman" w:hAnsi="Times New Roman"/>
          <w:sz w:val="20"/>
        </w:rPr>
        <w:t>Beyond BKT and DKT, recent knowledge-tracing research has explored memory-augmented and attention-based models such as DKVMN [17] and self-attentive knowledge tracing [32]. Lumina treats these models as benchmark baselines rather than teacher-facing core models because predictive accuracy must be balanced with explainability, intervention safety, and deployability in self-hosted institutional settings.</w:t>
      </w:r>
    </w:p>
    <w:p>
      <w:pPr>
        <w:spacing w:after="80" w:before="160"/>
        <w:jc w:val="left"/>
      </w:pPr>
      <w:r>
        <w:rPr>
          <w:rFonts w:ascii="Times New Roman" w:cs="Times New Roman" w:eastAsia="Times New Roman" w:hAnsi="Times New Roman"/>
          <w:b/>
          <w:bCs/>
          <w:i/>
          <w:iCs/>
          <w:sz w:val="20"/>
          <w:szCs w:val="22"/>
        </w:rPr>
        <w:t xml:space="preserve">C. Intelligent Tutoring Systems</w:t>
      </w:r>
    </w:p>
    <w:p>
      <w:pPr>
        <w:spacing w:after="80" w:line="276"/>
        <w:ind w:firstLine="360"/>
        <w:jc w:val="both"/>
      </w:pPr>
      <w:r>
        <w:rPr>
          <w:rFonts w:ascii="Times New Roman" w:cs="Times New Roman" w:eastAsia="Times New Roman" w:hAnsi="Times New Roman"/>
          <w:sz w:val="20"/>
          <w:szCs w:val="20"/>
        </w:rPr>
        <w:t xml:space="preserve">VanLehn's review of intelligent tutoring systems identified the 2-sigma problem: human tutoring produces learning gains two standard deviations above classroom instruction, while commercial ITS systems typically achieve only 0.2-sigma gains [18]. AutoTutor by Graesser et al. demonstrated Socratic dialogue capabilities using latent semantic analysis [19]. However, no existing commercial system integrates Socratic tutoring with real-time knowledge tracing, behavioral analytics, and adaptive pathway generation within a unified multi-agent framework.</w:t>
      </w:r>
    </w:p>
    <w:p>
      <w:pPr>
        <w:spacing w:after="80" w:before="160"/>
        <w:jc w:val="left"/>
      </w:pPr>
      <w:r>
        <w:rPr>
          <w:rFonts w:ascii="Times New Roman" w:cs="Times New Roman" w:eastAsia="Times New Roman" w:hAnsi="Times New Roman"/>
          <w:b/>
          <w:bCs/>
          <w:i/>
          <w:iCs/>
          <w:sz w:val="20"/>
          <w:szCs w:val="22"/>
        </w:rPr>
        <w:t xml:space="preserve">D. Multi-Agent Systems in Education</w:t>
      </w:r>
    </w:p>
    <w:p>
      <w:pPr>
        <w:spacing w:after="80" w:line="276"/>
        <w:ind w:firstLine="360"/>
        <w:jc w:val="both"/>
      </w:pPr>
      <w:r>
        <w:rPr>
          <w:rFonts w:ascii="Times New Roman" w:cs="Times New Roman" w:eastAsia="Times New Roman" w:hAnsi="Times New Roman"/>
          <w:sz w:val="20"/>
          <w:szCs w:val="20"/>
        </w:rPr>
        <w:t xml:space="preserve">Wooldridge and Jennings established foundational principles for multi-agent coordination [20]. Recent work by Park et al. demonstrated the potential of LLM-based agents for complex collaborative tasks [21]. The Model Context Protocol (MCP) proposed by Anthropic provides a standardized framework for agent-tool interaction [22]. However, the application of coordinated multi-agent architectures with standardized communication protocols to educational systems remains largely unexplored.</w:t>
      </w:r>
    </w:p>
    <w:p>
      <w:pPr>
        <w:spacing w:after="80" w:before="160"/>
        <w:jc w:val="left"/>
      </w:pPr>
      <w:r>
        <w:rPr>
          <w:rFonts w:ascii="Times New Roman" w:cs="Times New Roman" w:eastAsia="Times New Roman" w:hAnsi="Times New Roman"/>
          <w:b/>
          <w:bCs/>
          <w:i/>
          <w:iCs/>
          <w:sz w:val="20"/>
          <w:szCs w:val="22"/>
        </w:rPr>
        <w:t xml:space="preserve">E. Privacy-Preserving Educational AI</w:t>
      </w:r>
    </w:p>
    <w:p>
      <w:pPr>
        <w:spacing w:after="80" w:line="276"/>
        <w:ind w:firstLine="360"/>
        <w:jc w:val="both"/>
      </w:pPr>
      <w:r>
        <w:rPr>
          <w:rFonts w:ascii="Times New Roman" w:cs="Times New Roman" w:eastAsia="Times New Roman" w:hAnsi="Times New Roman"/>
          <w:sz w:val="20"/>
          <w:szCs w:val="20"/>
        </w:rPr>
        <w:t xml:space="preserve">McMahan et al. introduced federated learning for privacy-preserving model training across distributed datasets [23]. The UNESCO guidance for generative AI in education emphasizes human agency, equity, and data protection [24]. The U.S. Department of Education report on AI highlights the need for explainable, human-overridable AI systems in educational contexts [25]. Current cloud-dependent EdTech platforms face growing regulatory pressure regarding FERPA, GDPR, and COPPA compliance, yet fewer than 10% of institutions have formal AI governance policies [26].</w:t>
      </w:r>
    </w:p>
    <w:p>
      <w:pPr>
        <w:spacing w:after="80" w:before="160"/>
        <w:jc w:val="left"/>
      </w:pPr>
      <w:r>
        <w:rPr>
          <w:rFonts w:ascii="Times New Roman" w:cs="Times New Roman" w:eastAsia="Times New Roman" w:hAnsi="Times New Roman"/>
          <w:b/>
          <w:bCs/>
          <w:i/>
          <w:iCs/>
          <w:sz w:val="20"/>
          <w:szCs w:val="22"/>
        </w:rPr>
        <w:t xml:space="preserve">F. Research Gaps</w:t>
      </w:r>
    </w:p>
    <w:p>
      <w:pPr>
        <w:spacing w:after="80" w:line="276"/>
        <w:ind w:firstLine="360"/>
        <w:jc w:val="both"/>
      </w:pPr>
      <w:r>
        <w:rPr>
          <w:rFonts w:ascii="Times New Roman" w:cs="Times New Roman" w:eastAsia="Times New Roman" w:hAnsi="Times New Roman"/>
          <w:sz w:val="20"/>
          <w:szCs w:val="20"/>
        </w:rPr>
        <w:t xml:space="preserve">Table I summarizes the comparative analysis of existing systems against Lumina's capabilities. The analysis reveals that no existing platform integrates all critical components: multi-agent coordination, hybrid knowledge tracing, behavioral analytics, adaptive pathways, privacy-first architecture, and comprehensive scoring within a unified self-hosted system.</w:t>
      </w:r>
    </w:p>
    <w:p>
      <w:pPr>
        <w:spacing w:after="80" w:before="120"/>
        <w:jc w:val="center"/>
      </w:pPr>
      <w:r>
        <w:rPr>
          <w:rFonts w:ascii="Times New Roman" w:cs="Times New Roman" w:eastAsia="Times New Roman" w:hAnsi="Times New Roman"/>
          <w:b/>
          <w:bCs/>
          <w:i/>
          <w:sz w:val="18"/>
          <w:szCs w:val="18"/>
        </w:rPr>
        <w:t xml:space="preserve">TABLE I: COMPARATIVE ANALYSIS OF EXISTING SYSTEMS AND LUMINA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200"/>
        <w:gridCol w:w="1100"/>
        <w:gridCol w:w="1400"/>
        <w:gridCol w:w="900"/>
        <w:gridCol w:w="1100"/>
      </w:tblGrid>
      <w:tr>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System/Feature</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Adaptive Content</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Knowledge Tracing</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Multi-Agent</w:t>
            </w:r>
          </w:p>
        </w:tc>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Behavioral Analytics</w:t>
            </w:r>
          </w:p>
        </w:tc>
        <w:tc>
          <w:tcPr>
            <w:tcW w:type="dxa" w:w="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Self-Hosted</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RL Pathways</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Moodle/Canvas</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Basic</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Yes</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Coursera/Udemy</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Limited</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Basic</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Duolingo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Yes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BKT-like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Limited</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Carnegie Learning</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Yes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BKT</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Limited</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Century Tech</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Yes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NN-based</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Moderate</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Knewton</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Yes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Bayesian</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Limited</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Lumina (Proposed)</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Yes</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BKT + DKT</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Yes (6 Agents)</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50+ Signals</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Yes</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Yes (PPO)</w:t>
            </w:r>
          </w:p>
        </w:tc>
      </w:tr>
    </w:tbl>
    <w:p>
      <w:r>
        <w:rPr>
          <w:rFonts w:ascii="Times New Roman" w:hAnsi="Times New Roman"/>
          <w:sz w:val="20"/>
        </w:rPr>
        <w:br w:type="page"/>
      </w:r>
    </w:p>
    <w:p>
      <w:pPr>
        <w:spacing w:after="120" w:before="200"/>
        <w:jc w:val="left"/>
      </w:pPr>
      <w:r>
        <w:rPr>
          <w:rFonts w:ascii="Times New Roman" w:cs="Times New Roman" w:eastAsia="Times New Roman" w:hAnsi="Times New Roman"/>
          <w:b/>
          <w:bCs/>
          <w:sz w:val="22"/>
          <w:szCs w:val="24"/>
        </w:rPr>
        <w:t xml:space="preserve">III. PROBLEM STATEMENT</w:t>
      </w:r>
    </w:p>
    <w:p>
      <w:pPr>
        <w:spacing w:after="80" w:line="276"/>
        <w:jc w:val="both"/>
      </w:pPr>
      <w:r>
        <w:rPr>
          <w:rFonts w:ascii="Times New Roman" w:cs="Times New Roman" w:eastAsia="Times New Roman" w:hAnsi="Times New Roman"/>
          <w:sz w:val="20"/>
          <w:szCs w:val="20"/>
        </w:rPr>
        <w:t xml:space="preserve">The crisis in digital education systems can be characterized by thirteen interconnected failures that collectively undermine the promise of technology-enhanced learning:</w:t>
      </w:r>
    </w:p>
    <w:p>
      <w:pPr>
        <w:spacing w:after="80" w:line="276"/>
        <w:ind w:firstLine="360"/>
        <w:jc w:val="both"/>
      </w:pPr>
      <w:r>
        <w:rPr>
          <w:rFonts w:ascii="Times New Roman" w:cs="Times New Roman" w:eastAsia="Times New Roman" w:hAnsi="Times New Roman"/>
          <w:sz w:val="20"/>
          <w:szCs w:val="20"/>
        </w:rPr>
        <w:t xml:space="preserve">First, the static content delivery problem: current platforms deliver identical materials regardless of prior knowledge, learning pace, cognitive preferences, or accessibility needs, resulting in 40-60% non-completion rates [1]. Second, the false promise of AI personalization: platforms claiming adaptive learning merely adjust content sequence but not content type, delivery method, or pedagogical approach, optimizing for the average rather than the individual [5]. Third, the assessment crisis: digital assessment relies on binary evaluation without recognition of partial understanding, common misconceptions, or growth trajectories [6].</w:t>
      </w:r>
    </w:p>
    <w:p>
      <w:pPr>
        <w:spacing w:after="80" w:line="276"/>
        <w:ind w:firstLine="360"/>
        <w:jc w:val="both"/>
      </w:pPr>
      <w:r>
        <w:rPr>
          <w:rFonts w:ascii="Times New Roman" w:cs="Times New Roman" w:eastAsia="Times New Roman" w:hAnsi="Times New Roman"/>
          <w:sz w:val="20"/>
          <w:szCs w:val="20"/>
        </w:rPr>
        <w:t xml:space="preserve">Fourth, the behavioral intelligence gap: current analytics reduce learning behavior to simplistic metrics (time on page, completion rates, click patterns) that fail to capture cognitive engagement, struggle signals, or consolidation patterns [8]. Fifth, the adaptive learning path illusion: most systems implement predetermined decision trees with limited branching rather than truly personalized sequences [13]. Sixth, the real-time monitoring failure: systems operate reactively, with intervention arriving only after students have already failed assessments [18].</w:t>
      </w:r>
    </w:p>
    <w:p>
      <w:pPr>
        <w:spacing w:after="80" w:line="276"/>
        <w:ind w:firstLine="360"/>
        <w:jc w:val="both"/>
      </w:pPr>
      <w:r>
        <w:rPr>
          <w:rFonts w:ascii="Times New Roman" w:cs="Times New Roman" w:eastAsia="Times New Roman" w:hAnsi="Times New Roman"/>
          <w:sz w:val="20"/>
          <w:szCs w:val="20"/>
        </w:rPr>
        <w:t xml:space="preserve">Seventh, the strength-weakness imbalance: current systems focus exclusively on deficit remediation without identifying or nurturing areas of exceptional ability [27]. Eighth, the educator burden: teachers spend 25-40% of work time on administrative tasks, contributing to burnout rates exceeding 44% [9]. Ninth, the attendance verification crisis: login-based attendance measures presence rather than genuine engagement [28]. Tenth, the privacy and vendor lock-in problem: cloud-dependent AI platforms transmit student data to external servers with unclear retention policies and escalating per-token costs [29].</w:t>
      </w:r>
    </w:p>
    <w:p>
      <w:pPr>
        <w:spacing w:after="80" w:line="276"/>
        <w:ind w:firstLine="360"/>
        <w:jc w:val="both"/>
      </w:pPr>
      <w:r>
        <w:rPr>
          <w:rFonts w:ascii="Times New Roman" w:cs="Times New Roman" w:eastAsia="Times New Roman" w:hAnsi="Times New Roman"/>
          <w:sz w:val="20"/>
          <w:szCs w:val="20"/>
        </w:rPr>
        <w:t xml:space="preserve">The formal problem can be stated as follows: Given a learner L with knowledge state K, behavioral profile B, and learning objectives O, design an adaptive system S that continuously optimizes the learning trajectory T to maximize mastery M while minimizing time-to-proficiency and maintaining learner engagement E, subject to privacy constraints P and pedagogical soundness G. This optimization must operate in real-time across multiple concurrent learners with diverse profiles.</w:t>
      </w:r>
    </w:p>
    <w:p>
      <w:pPr>
        <w:spacing w:after="120" w:before="200"/>
        <w:jc w:val="left"/>
      </w:pPr>
      <w:r>
        <w:rPr>
          <w:rFonts w:ascii="Times New Roman" w:cs="Times New Roman" w:eastAsia="Times New Roman" w:hAnsi="Times New Roman"/>
          <w:b/>
          <w:bCs/>
          <w:sz w:val="22"/>
          <w:szCs w:val="24"/>
        </w:rPr>
        <w:t xml:space="preserve">IV. PROPOSED SYSTEM</w:t>
      </w:r>
    </w:p>
    <w:p>
      <w:pPr>
        <w:spacing w:after="80" w:line="276"/>
        <w:jc w:val="both"/>
      </w:pPr>
      <w:r>
        <w:rPr>
          <w:rFonts w:ascii="Times New Roman" w:cs="Times New Roman" w:eastAsia="Times New Roman" w:hAnsi="Times New Roman"/>
          <w:sz w:val="20"/>
          <w:szCs w:val="20"/>
        </w:rPr>
        <w:t xml:space="preserve">Lumina is designed as a comprehensive AI-powered learning management system that transforms static content delivery into intelligent, adaptive learning experiences. Unlike existing platforms that bolt AI features onto traditional LMS architectures, Lumina is architected from the ground up as an AI-native system where every component is informed by and contributes to a unified learner model.</w:t>
      </w:r>
    </w:p>
    <w:p>
      <w:pPr>
        <w:spacing w:after="80" w:before="160"/>
        <w:jc w:val="left"/>
      </w:pPr>
      <w:r>
        <w:rPr>
          <w:rFonts w:ascii="Times New Roman" w:cs="Times New Roman" w:eastAsia="Times New Roman" w:hAnsi="Times New Roman"/>
          <w:b/>
          <w:bCs/>
          <w:i/>
          <w:iCs/>
          <w:sz w:val="20"/>
          <w:szCs w:val="22"/>
        </w:rPr>
        <w:t xml:space="preserve">A. Design Philosophy</w:t>
      </w:r>
    </w:p>
    <w:p>
      <w:pPr>
        <w:spacing w:after="80" w:line="276"/>
        <w:ind w:firstLine="360"/>
        <w:jc w:val="both"/>
      </w:pPr>
      <w:r>
        <w:rPr>
          <w:rFonts w:ascii="Times New Roman" w:cs="Times New Roman" w:eastAsia="Times New Roman" w:hAnsi="Times New Roman"/>
          <w:sz w:val="20"/>
          <w:szCs w:val="20"/>
        </w:rPr>
        <w:t xml:space="preserve">Lumina's design is guided by four core principles: (1) One personal AI learning operating system per student, (2) One AI teaching copilot per teacher, (3) One governed, explainable intelligence layer for the institution, and (4) Privacy-first, self-hosted architecture with local AI inference. The system implements a closed-loop learning paradigm where user interaction generates data, which feeds analysis pipelines, which update models, which personalize the next experience.</w:t>
      </w:r>
    </w:p>
    <w:p>
      <w:pPr>
        <w:spacing w:after="80" w:before="160"/>
        <w:jc w:val="left"/>
      </w:pPr>
      <w:r>
        <w:rPr>
          <w:rFonts w:ascii="Times New Roman" w:cs="Times New Roman" w:eastAsia="Times New Roman" w:hAnsi="Times New Roman"/>
          <w:b/>
          <w:bCs/>
          <w:i/>
          <w:iCs/>
          <w:sz w:val="20"/>
          <w:szCs w:val="22"/>
        </w:rPr>
        <w:t xml:space="preserve">B. Core Modules</w:t>
      </w:r>
    </w:p>
    <w:p>
      <w:pPr>
        <w:spacing w:after="80" w:line="276"/>
        <w:ind w:firstLine="360"/>
        <w:jc w:val="both"/>
      </w:pPr>
      <w:r>
        <w:rPr>
          <w:rFonts w:ascii="Times New Roman" w:cs="Times New Roman" w:eastAsia="Times New Roman" w:hAnsi="Times New Roman"/>
          <w:sz w:val="20"/>
          <w:szCs w:val="20"/>
        </w:rPr>
        <w:t xml:space="preserve">The system comprises the following integrated modules: (a) Learner Profile Engine: maintains a comprehensive per-student profile containing concept mastery maps, behavioral patterns, learning style preferences, misconception clusters, and engagement metrics. (b) Multi-Agent AI Engine: six specialized agents (Tutor, Pathway, Assessment, Intervention, Analytics, Guardian) coordinated through MCP for coherent decision-making. (c) Adaptive Assessment Engine: generates questions dynamically using LLMs, adapts difficulty in real-time based on mastery state, and grades open-ended responses using rubric-based scoring. (d) RAG Pipeline: processes multi-format educational content (PDF, DOCX, PPT, video) through semantic chunking, hybrid embedding, and reranking for context-aware tutoring. (e) Student Behavior Engine: passively collects 50+ behavioral signals for real-time state estimation. (f) Teacher Intelligence Dashboard: provides actionable insights including intervention queues, class-level misconception clusters, and evidence-based recommendations.</w:t>
      </w:r>
    </w:p>
    <w:p>
      <w:pPr>
        <w:spacing w:after="120" w:before="200"/>
        <w:jc w:val="left"/>
      </w:pPr>
      <w:r>
        <w:rPr>
          <w:rFonts w:ascii="Times New Roman" w:cs="Times New Roman" w:eastAsia="Times New Roman" w:hAnsi="Times New Roman"/>
          <w:b/>
          <w:bCs/>
          <w:sz w:val="22"/>
          <w:szCs w:val="24"/>
        </w:rPr>
        <w:t xml:space="preserve">V. SYSTEM ARCHITECTURE</w:t>
      </w:r>
    </w:p>
    <w:p>
      <w:pPr>
        <w:spacing w:after="80" w:line="276"/>
        <w:jc w:val="both"/>
      </w:pPr>
      <w:r>
        <w:rPr>
          <w:rFonts w:ascii="Times New Roman" w:cs="Times New Roman" w:eastAsia="Times New Roman" w:hAnsi="Times New Roman"/>
          <w:sz w:val="20"/>
          <w:szCs w:val="20"/>
        </w:rPr>
        <w:t xml:space="preserve">Lumina employs a layered architecture consisting of seven distinct layers, each with clearly defined responsibilities and interfaces. The architecture follows a monorepo structure to ensure type safety and contract alignment across services.</w:t>
      </w:r>
    </w:p>
    <w:p>
      <w:pPr>
        <w:spacing w:after="80" w:before="120"/>
        <w:jc w:val="center"/>
      </w:pPr>
      <w:r>
        <w:rPr>
          <w:rFonts w:ascii="Times New Roman" w:cs="Times New Roman" w:eastAsia="Times New Roman" w:hAnsi="Times New Roman"/>
          <w:b/>
          <w:bCs/>
          <w:i/>
          <w:sz w:val="18"/>
          <w:szCs w:val="18"/>
        </w:rPr>
        <w:t xml:space="preserve">TABLE II: LUMINA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Layer</w:t>
            </w:r>
          </w:p>
        </w:tc>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Primary Components</w:t>
            </w:r>
          </w:p>
        </w:tc>
        <w:tc>
          <w:tcPr>
            <w:tcW w:type="dxa" w:w="47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Responsibility</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Presentation</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Next.js 14 Web App, Flutter Mobile, Electron Desktop</w:t>
            </w:r>
          </w:p>
        </w:tc>
        <w:tc>
          <w:tcPr>
            <w:tcW w:type="dxa" w:w="4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Student, teacher, admin experiences with PWA support</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Client Integration</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API client, AI Tutor routing, Sync logic</w:t>
            </w:r>
          </w:p>
        </w:tc>
        <w:tc>
          <w:tcPr>
            <w:tcW w:type="dxa" w:w="4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API calls, caching, offline-first data synchronization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API Gateway</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FastAPI, Kong, JWT/RBAC middleware</w:t>
            </w:r>
          </w:p>
        </w:tc>
        <w:tc>
          <w:tcPr>
            <w:tcW w:type="dxa" w:w="4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Route registration, authentication, rate limiting, metrics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Domain Services</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Course, Student, Assignment, Grading, OCR stores</w:t>
            </w:r>
          </w:p>
        </w:tc>
        <w:tc>
          <w:tcPr>
            <w:tcW w:type="dxa" w:w="4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Business logic, content management, notification dispatch</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Adaptive Learning Core</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Assessment Engine, Pathway Agent, Learner Profile</w:t>
            </w:r>
          </w:p>
        </w:tc>
        <w:tc>
          <w:tcPr>
            <w:tcW w:type="dxa" w:w="4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Mastery tracking, behavior analysis, next-step logic</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AI Orchestration</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Agent Swarm, RAG Pipeline, LLM providers, Guardrails</w:t>
            </w:r>
          </w:p>
        </w:tc>
        <w:tc>
          <w:tcPr>
            <w:tcW w:type="dxa" w:w="4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Tutor prompts, pathway optimization, content generation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Persistence</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PostgreSQL, Redis, Neo4j, Milvus, TimescaleDB, MinIO</w:t>
            </w:r>
          </w:p>
        </w:tc>
        <w:tc>
          <w:tcPr>
            <w:tcW w:type="dxa" w:w="47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Relational data, caching, graph storage, vectors, time-series</w:t>
            </w:r>
          </w:p>
        </w:tc>
      </w:tr>
    </w:tbl>
    <w:p>
      <w:pPr>
        <w:spacing w:after="80" w:before="160"/>
        <w:jc w:val="left"/>
      </w:pPr>
      <w:r>
        <w:rPr>
          <w:rFonts w:ascii="Times New Roman" w:cs="Times New Roman" w:eastAsia="Times New Roman" w:hAnsi="Times New Roman"/>
          <w:b/>
          <w:bCs/>
          <w:i/>
          <w:iCs/>
          <w:sz w:val="20"/>
          <w:szCs w:val="22"/>
        </w:rPr>
        <w:t xml:space="preserve">A. Multi-Agent Architecture</w:t>
      </w:r>
    </w:p>
    <w:p>
      <w:pPr>
        <w:spacing w:after="80" w:line="276"/>
        <w:ind w:firstLine="360"/>
        <w:jc w:val="both"/>
      </w:pPr>
      <w:r>
        <w:rPr>
          <w:rFonts w:ascii="Times New Roman" w:cs="Times New Roman" w:eastAsia="Times New Roman" w:hAnsi="Times New Roman"/>
          <w:sz w:val="20"/>
          <w:szCs w:val="20"/>
        </w:rPr>
        <w:t xml:space="preserve">The AI Engine implements a swarm of six specialized agents, each with distinct responsibilities and shared context through the Model Context Protocol (MCP). The Orchestrator Agent serves as the master router, classifying user intent and delegating to the appropriate specialized agent. The Tutor Agent implements Socratic dialogue with context-aware explanation generation using RAG. The Pathway Agent employs Reinforcement Learning (PPO/SAC) to continuously select the learner's next best action. The Assessment Agent generates adaptive questions aligned with Bloom's taxonomy and current mastery state. The Intervention Agent monitors behavioral signals and triggers proactive support. The Guardian Agent enforces safety guardrails including PII redaction, topic filtering, hallucination detection, and bias mitigation.</w:t>
      </w:r>
    </w:p>
    <w:p>
      <w:pPr>
        <w:jc w:val="center"/>
      </w:pPr>
      <w:r>
        <w:rPr>
          <w:rFonts w:ascii="Times New Roman" w:hAnsi="Times New Roman"/>
          <w:sz w:val="20"/>
        </w:rPr>
        <w:drawing>
          <wp:inline xmlns:a="http://schemas.openxmlformats.org/drawingml/2006/main" xmlns:pic="http://schemas.openxmlformats.org/drawingml/2006/picture">
            <wp:extent cx="5486400" cy="3182527"/>
            <wp:docPr id="1" name="Picture 1"/>
            <wp:cNvGraphicFramePr>
              <a:graphicFrameLocks noChangeAspect="1"/>
            </wp:cNvGraphicFramePr>
            <a:graphic>
              <a:graphicData uri="http://schemas.openxmlformats.org/drawingml/2006/picture">
                <pic:pic>
                  <pic:nvPicPr>
                    <pic:cNvPr id="0" name="lumina_multi_agent_architecture.png"/>
                    <pic:cNvPicPr/>
                  </pic:nvPicPr>
                  <pic:blipFill>
                    <a:blip r:embed="rId10"/>
                    <a:stretch>
                      <a:fillRect/>
                    </a:stretch>
                  </pic:blipFill>
                  <pic:spPr>
                    <a:xfrm>
                      <a:off x="0" y="0"/>
                      <a:ext cx="5486400" cy="3182527"/>
                    </a:xfrm>
                    <a:prstGeom prst="rect"/>
                  </pic:spPr>
                </pic:pic>
              </a:graphicData>
            </a:graphic>
          </wp:inline>
        </w:drawing>
      </w:r>
    </w:p>
    <w:p>
      <w:pPr>
        <w:jc w:val="center"/>
      </w:pPr>
      <w:r>
        <w:rPr>
          <w:rFonts w:ascii="Times New Roman" w:hAnsi="Times New Roman"/>
          <w:i/>
          <w:sz w:val="18"/>
        </w:rPr>
        <w:t>Fig. 1: Multi-agent architecture of Lumina. The Orchestrator coordinates six specialized agents, while shared learner state, knowledge resources, and governance constraints flow through MCP into the adaptive learning core.</w:t>
      </w:r>
    </w:p>
    <w:p>
      <w:pPr>
        <w:spacing w:after="80" w:before="160"/>
        <w:jc w:val="left"/>
      </w:pPr>
      <w:r>
        <w:rPr>
          <w:rFonts w:ascii="Times New Roman" w:cs="Times New Roman" w:eastAsia="Times New Roman" w:hAnsi="Times New Roman"/>
          <w:b/>
          <w:bCs/>
          <w:i/>
          <w:iCs/>
          <w:sz w:val="20"/>
          <w:szCs w:val="22"/>
        </w:rPr>
        <w:t xml:space="preserve">B. Data Flow Architecture</w:t>
      </w:r>
    </w:p>
    <w:p>
      <w:pPr>
        <w:spacing w:after="80" w:line="276"/>
        <w:ind w:firstLine="360"/>
        <w:jc w:val="both"/>
      </w:pPr>
      <w:r>
        <w:rPr>
          <w:rFonts w:ascii="Times New Roman" w:cs="Times New Roman" w:eastAsia="Times New Roman" w:hAnsi="Times New Roman"/>
          <w:sz w:val="20"/>
          <w:szCs w:val="20"/>
        </w:rPr>
        <w:t xml:space="preserve">Lumina implements a closed-loop data flow where every interaction generates data that feeds personalization: Student Interaction leads to Event Capture, which feeds the Analysis Pipeline, which triggers Model Update, which drives the Personalization Engine, which shapes the Next Experience. The core data flows include: (1) Authentication Flow with JWT-based session management and role-based access control, (2) Student Learning Flow tracking lesson progression and generating behavioral signals, (3) AI Tutor 3-Tier Response Flow with RAG-enhanced context, (4) Assessment and Knowledge Tracing Flow with real-time BKT/DKT updates, (5) Adaptive Pathway Flow with RL-based next-action selection, (6) Assignment Grading Flow with OCR-to-LLM pipeline, and (7) Behavior Tracking Flow with real-time state adaptation.</w:t>
      </w:r>
    </w:p>
    <w:p>
      <w:pPr>
        <w:spacing w:after="80" w:before="160"/>
        <w:jc w:val="left"/>
      </w:pPr>
      <w:r>
        <w:rPr>
          <w:rFonts w:ascii="Times New Roman" w:cs="Times New Roman" w:eastAsia="Times New Roman" w:hAnsi="Times New Roman"/>
          <w:b/>
          <w:bCs/>
          <w:i/>
          <w:iCs/>
          <w:sz w:val="20"/>
          <w:szCs w:val="22"/>
        </w:rPr>
        <w:t xml:space="preserve">C. Database Architecture</w:t>
      </w:r>
    </w:p>
    <w:p>
      <w:pPr>
        <w:spacing w:after="80" w:line="276"/>
        <w:ind w:firstLine="360"/>
        <w:jc w:val="both"/>
      </w:pPr>
      <w:r>
        <w:rPr>
          <w:rFonts w:ascii="Times New Roman" w:cs="Times New Roman" w:eastAsia="Times New Roman" w:hAnsi="Times New Roman"/>
          <w:sz w:val="20"/>
          <w:szCs w:val="20"/>
        </w:rPr>
        <w:t xml:space="preserve">The persistence layer employs a polyglot database strategy with 35 tables across multiple storage systems. PostgreSQL 16+ serves as the primary relational store with Row-Level Security (RLS) enforcement, JSONB columns for flexible semi-structured data, and extensions including pgvector for embeddings. Redis provides session caching, rate limiting, and task queues. Neo4j stores knowledge graphs with concept dependencies. Milvus provides GPU-accelerated vector search for the RAG pipeline. TimescaleDB handles time-series behavioral analytics. MinIO provides S3-compatible object storage with server-side encryption.</w:t>
      </w:r>
    </w:p>
    <w:p>
      <w:r>
        <w:rPr>
          <w:rFonts w:ascii="Times New Roman" w:hAnsi="Times New Roman"/>
          <w:sz w:val="20"/>
        </w:rPr>
        <w:br w:type="page"/>
      </w:r>
    </w:p>
    <w:p>
      <w:pPr>
        <w:spacing w:after="120" w:before="200"/>
        <w:jc w:val="left"/>
      </w:pPr>
      <w:r>
        <w:rPr>
          <w:rFonts w:ascii="Times New Roman" w:cs="Times New Roman" w:eastAsia="Times New Roman" w:hAnsi="Times New Roman"/>
          <w:b/>
          <w:bCs/>
          <w:sz w:val="22"/>
          <w:szCs w:val="24"/>
        </w:rPr>
        <w:t xml:space="preserve">VI. METHODOLOGY</w:t>
      </w:r>
    </w:p>
    <w:p>
      <w:pPr>
        <w:spacing w:after="80" w:before="160"/>
        <w:jc w:val="left"/>
      </w:pPr>
      <w:r>
        <w:rPr>
          <w:rFonts w:ascii="Times New Roman" w:cs="Times New Roman" w:eastAsia="Times New Roman" w:hAnsi="Times New Roman"/>
          <w:b/>
          <w:bCs/>
          <w:i/>
          <w:iCs/>
          <w:sz w:val="20"/>
          <w:szCs w:val="22"/>
        </w:rPr>
        <w:t xml:space="preserve">A. Bayesian Knowledge Tracing (BKT)</w:t>
      </w:r>
    </w:p>
    <w:p>
      <w:pPr>
        <w:jc w:val="both"/>
      </w:pPr>
      <w:r>
        <w:rPr>
          <w:rFonts w:ascii="Times New Roman" w:hAnsi="Times New Roman"/>
          <w:sz w:val="20"/>
        </w:rPr>
        <w:t>Lumina employs BKT as its interpretable mastery model, treating each learner-concept pair as a latent binary knowledge state updated after every response. For reproducibility, the prototype uses concept-independent default parameters P(L_0)=0.20, P(T)=0.15, P(G)=0.25, and P(S)=0.10, while the production design supports concept-specific calibration from historical data. The Bayesian posterior is first updated from the observed response and only then advanced through the transition term, which preserves the causal order of observation followed by learning. This formulation gives teachers an interpretable mastery probability while maintaining a mathematically grounded update rule.</w:t>
      </w:r>
    </w:p>
    <w:p>
      <w:pPr>
        <w:jc w:val="both"/>
      </w:pPr>
      <w:r>
        <w:rPr>
          <w:rFonts w:ascii="Times New Roman" w:hAnsi="Times New Roman"/>
          <w:b/>
          <w:i/>
          <w:sz w:val="32"/>
        </w:rPr>
        <w:t>P(L_t | C_t = 1) = ((1 - P(S)) P(L_t^-)) / ((1 - P(S)) P(L_t^-) + P(G)(1 - P(L_t^-)))</w:t>
      </w:r>
    </w:p>
    <w:p>
      <w:pPr>
        <w:jc w:val="both"/>
      </w:pPr>
      <w:r>
        <w:rPr>
          <w:rFonts w:ascii="Times New Roman" w:hAnsi="Times New Roman"/>
          <w:b/>
          <w:i/>
          <w:sz w:val="32"/>
        </w:rPr>
        <w:t>P(L_(t+1)) = P(L_t | C_t) + P(T)(1 - P(L_t | C_t))</w:t>
      </w:r>
    </w:p>
    <w:p>
      <w:pPr>
        <w:spacing w:after="80" w:before="160"/>
        <w:jc w:val="left"/>
      </w:pPr>
      <w:r>
        <w:rPr>
          <w:rFonts w:ascii="Times New Roman" w:cs="Times New Roman" w:eastAsia="Times New Roman" w:hAnsi="Times New Roman"/>
          <w:b/>
          <w:bCs/>
          <w:i/>
          <w:iCs/>
          <w:sz w:val="20"/>
          <w:szCs w:val="22"/>
        </w:rPr>
        <w:t xml:space="preserve">B. Deep Knowledge Tracing (DKT)</w:t>
      </w:r>
    </w:p>
    <w:p>
      <w:pPr>
        <w:jc w:val="both"/>
      </w:pPr>
      <w:r>
        <w:rPr>
          <w:rFonts w:ascii="Times New Roman" w:hAnsi="Times New Roman"/>
          <w:sz w:val="20"/>
        </w:rPr>
        <w:t>Complementing BKT's interpretability, Lumina employs LSTM-based DKT to capture temporal dependencies that arise across question sequences, prerequisite transitions, and forgetting effects. Each interaction is encoded as a question-response tuple, embedded into a dense representation, and passed through an LSTM whose hidden state summarizes recent and long-range learning context. The hybrid design therefore separates roles cleanly: BKT remains the teacher-facing mastery estimator, while DKT functions as the predictive model used for next-step recommendations and benchmark comparison against stronger neural baselines.</w:t>
      </w:r>
    </w:p>
    <w:p>
      <w:pPr>
        <w:jc w:val="both"/>
      </w:pPr>
      <w:r>
        <w:rPr>
          <w:rFonts w:ascii="Times New Roman" w:hAnsi="Times New Roman"/>
          <w:i/>
          <w:sz w:val="20"/>
        </w:rPr>
        <w:t>h_t = LSTM(x_t, h_(t-1))</w:t>
      </w:r>
    </w:p>
    <w:p>
      <w:pPr>
        <w:jc w:val="both"/>
      </w:pPr>
      <w:r>
        <w:rPr>
          <w:rFonts w:ascii="Times New Roman" w:hAnsi="Times New Roman"/>
          <w:b/>
          <w:i/>
          <w:sz w:val="32"/>
        </w:rPr>
        <w:t>y_t = sigmoid(W h_t + b), where y_t[j] = P(a_(t+1)=1 | q_(t+1)=j, h_t)</w:t>
      </w:r>
    </w:p>
    <w:p>
      <w:pPr>
        <w:spacing w:after="80" w:before="160"/>
        <w:jc w:val="left"/>
      </w:pPr>
      <w:r>
        <w:rPr>
          <w:rFonts w:ascii="Times New Roman" w:cs="Times New Roman" w:eastAsia="Times New Roman" w:hAnsi="Times New Roman"/>
          <w:b/>
          <w:bCs/>
          <w:i/>
          <w:iCs/>
          <w:sz w:val="20"/>
          <w:szCs w:val="22"/>
        </w:rPr>
        <w:t xml:space="preserve">C. Multi-Dimensional Scoring Model</w:t>
      </w:r>
    </w:p>
    <w:p>
      <w:pPr>
        <w:jc w:val="both"/>
      </w:pPr>
      <w:r>
        <w:rPr>
          <w:rFonts w:ascii="Times New Roman" w:hAnsi="Times New Roman"/>
          <w:sz w:val="20"/>
        </w:rPr>
        <w:t>Lumina replaces traditional binary scoring with a weighted four-dimensional formulation rather than a multiplicative one. Let C, U, E, and G denote normalized correctness, understanding, effort, and growth scores in [0,1]. The weights sum to one so that the item-level score remains bounded and interpretable. Correctness receives the highest weight to preserve academic validity, understanding is emphasized because explanation quality reveals conceptual depth, and effort plus growth prevent the system from rewarding guessing or penalizing recovery from early errors. At course level, quiz, assignment, mastery, and engagement components are combined through a second weighted average that preserves comparability across learners.</w:t>
      </w:r>
    </w:p>
    <w:p>
      <w:pPr>
        <w:jc w:val="both"/>
      </w:pPr>
      <w:r>
        <w:rPr>
          <w:rFonts w:ascii="Times New Roman" w:hAnsi="Times New Roman"/>
          <w:b/>
          <w:i/>
          <w:sz w:val="32"/>
        </w:rPr>
        <w:t>S_item = 0.40 C + 0.30 U + 0.20 E + 0.10 G</w:t>
      </w:r>
    </w:p>
    <w:p>
      <w:pPr>
        <w:jc w:val="both"/>
      </w:pPr>
      <w:r>
        <w:rPr>
          <w:rFonts w:ascii="Times New Roman" w:hAnsi="Times New Roman"/>
          <w:b/>
          <w:i/>
          <w:sz w:val="32"/>
        </w:rPr>
        <w:t>S_course = 0.25 S_quiz + 0.25 S_assign + 0.35 S_mastery + 0.15 S_engage</w:t>
      </w:r>
    </w:p>
    <w:p>
      <w:pPr>
        <w:spacing w:after="80" w:before="160"/>
        <w:jc w:val="left"/>
      </w:pPr>
      <w:r>
        <w:rPr>
          <w:rFonts w:ascii="Times New Roman" w:cs="Times New Roman" w:eastAsia="Times New Roman" w:hAnsi="Times New Roman"/>
          <w:b/>
          <w:bCs/>
          <w:i/>
          <w:iCs/>
          <w:sz w:val="20"/>
          <w:szCs w:val="22"/>
        </w:rPr>
        <w:t xml:space="preserve">D. Reinforcement Learning for Pathway Optimization</w:t>
      </w:r>
    </w:p>
    <w:p>
      <w:pPr>
        <w:jc w:val="both"/>
      </w:pPr>
      <w:r>
        <w:rPr>
          <w:rFonts w:ascii="Times New Roman" w:hAnsi="Times New Roman"/>
          <w:sz w:val="20"/>
        </w:rPr>
        <w:t>The Pathway Agent formulates adaptive curriculum sequencing as a constrained Markov Decision Process whose state includes mastery, behavioral risk, fatigue, and engagement. The reward is intentionally decomposed into pedagogically meaningful terms so that policy tuning remains interpretable. Mastery gain is weighted highest because long-term conceptual progress is the primary objective, while engagement and retention stabilize the policy against short-term optimization. Fatigue and rule-violation penalties prevent the policy from recommending cognitively unsafe sequences or skipping prerequisite structure. During the prototype stage these coefficients are heuristic but fixed; future work calibrates them on public benchmark trajectories and classroom feedback.</w:t>
      </w:r>
    </w:p>
    <w:p>
      <w:pPr>
        <w:jc w:val="both"/>
      </w:pPr>
      <w:r>
        <w:rPr>
          <w:rFonts w:ascii="Times New Roman" w:hAnsi="Times New Roman"/>
          <w:b/>
          <w:i/>
          <w:sz w:val="32"/>
        </w:rPr>
        <w:t>R_t = 0.45 DeltaM_t + 0.20 E_t + 0.20 DeltaS_t - 0.10 F_t^2 - 0.05 P_t</w:t>
      </w:r>
    </w:p>
    <w:p>
      <w:pPr>
        <w:spacing w:after="80" w:before="160"/>
        <w:jc w:val="left"/>
      </w:pPr>
      <w:r>
        <w:rPr>
          <w:rFonts w:ascii="Times New Roman" w:cs="Times New Roman" w:eastAsia="Times New Roman" w:hAnsi="Times New Roman"/>
          <w:b/>
          <w:bCs/>
          <w:i/>
          <w:iCs/>
          <w:sz w:val="20"/>
          <w:szCs w:val="22"/>
        </w:rPr>
        <w:t xml:space="preserve">E. Student Behavior Engine</w:t>
      </w:r>
    </w:p>
    <w:p>
      <w:pPr>
        <w:jc w:val="both"/>
      </w:pPr>
      <w:r>
        <w:rPr>
          <w:rFonts w:ascii="Times New Roman" w:hAnsi="Times New Roman"/>
          <w:sz w:val="20"/>
        </w:rPr>
        <w:t>The Behavior Engine implements a signal-to-insight pipeline collecting 50+ behavioral signals across five categories: time-based, interaction-based, performance-based, engagement-based, and emotional or cognitive indicators. To avoid letting any single raw signal dominate, Lumina first normalizes each component score per learner and then aggregates them through a geometric mean. This makes the engagement estimate robust to sparse observations while still rewarding balanced study behavior. Small additive bonuses are reserved for productive help-seeking and persistence because these actions often indicate reflective learning rather than disengagement.</w:t>
      </w:r>
    </w:p>
    <w:p>
      <w:pPr>
        <w:jc w:val="both"/>
      </w:pPr>
      <w:r>
        <w:rPr>
          <w:rFonts w:ascii="Times New Roman" w:hAnsi="Times New Roman"/>
          <w:b/>
          <w:i/>
          <w:sz w:val="32"/>
        </w:rPr>
        <w:t>E_beh = (s_time * s_consistency * s_attempt * s_recency)^(1/4)</w:t>
      </w:r>
    </w:p>
    <w:p>
      <w:pPr>
        <w:jc w:val="both"/>
      </w:pPr>
      <w:r>
        <w:rPr>
          <w:rFonts w:ascii="Times New Roman" w:hAnsi="Times New Roman"/>
          <w:b/>
          <w:i/>
          <w:sz w:val="32"/>
        </w:rPr>
        <w:t>E_adj = min(1, E_beh + 0.05 h_t + 0.05 p_t)</w:t>
      </w:r>
    </w:p>
    <w:p>
      <w:pPr>
        <w:spacing w:after="80" w:before="160"/>
        <w:jc w:val="left"/>
      </w:pPr>
      <w:r>
        <w:rPr>
          <w:rFonts w:ascii="Times New Roman" w:cs="Times New Roman" w:eastAsia="Times New Roman" w:hAnsi="Times New Roman"/>
          <w:b/>
          <w:bCs/>
          <w:i/>
          <w:iCs/>
          <w:sz w:val="20"/>
          <w:szCs w:val="22"/>
        </w:rPr>
        <w:t xml:space="preserve">F. Retrieval-Augmented Generation Pipeline</w:t>
      </w:r>
    </w:p>
    <w:p>
      <w:pPr>
        <w:spacing w:after="80" w:line="276"/>
        <w:ind w:firstLine="360"/>
        <w:jc w:val="both"/>
      </w:pPr>
      <w:r>
        <w:rPr>
          <w:rFonts w:ascii="Times New Roman" w:cs="Times New Roman" w:eastAsia="Times New Roman" w:hAnsi="Times New Roman"/>
          <w:sz w:val="20"/>
          <w:szCs w:val="20"/>
        </w:rPr>
        <w:t xml:space="preserve">The RAG pipeline processes multi-format educational content through five stages: (1) Document Processing with multi-format extraction (PDF, DOCX, PPT, HTML, video) and OCR with confidence scoring, (2) Intelligent Chunking using semantic boundaries and recursive character splitting with metadata extraction, (3) Embedding and Indexing using multi-model embeddings (instructor-xl, e5-mistral-7b) with GPU-accelerated hybrid search, (4) Query Understanding with intent classification, query expansion, and sub-query decomposition, and (5) Retrieval and Reranking using cross-encoder reranking and ColBERT late interaction with contextual compression. The pipeline ensures hallucination prevention through RAG-only response generation with citation insertion.</w:t>
      </w:r>
    </w:p>
    <w:p>
      <w:pPr>
        <w:spacing w:after="120" w:before="200"/>
        <w:jc w:val="left"/>
      </w:pPr>
      <w:r>
        <w:rPr>
          <w:rFonts w:ascii="Times New Roman" w:cs="Times New Roman" w:eastAsia="Times New Roman" w:hAnsi="Times New Roman"/>
          <w:b/>
          <w:bCs/>
          <w:sz w:val="22"/>
          <w:szCs w:val="24"/>
        </w:rPr>
        <w:t xml:space="preserve">VII. IMPLEMENTATION</w:t>
      </w:r>
    </w:p>
    <w:p>
      <w:pPr>
        <w:spacing w:after="80" w:before="160"/>
        <w:jc w:val="left"/>
      </w:pPr>
      <w:r>
        <w:rPr>
          <w:rFonts w:ascii="Times New Roman" w:cs="Times New Roman" w:eastAsia="Times New Roman" w:hAnsi="Times New Roman"/>
          <w:b/>
          <w:bCs/>
          <w:i/>
          <w:iCs/>
          <w:sz w:val="20"/>
          <w:szCs w:val="22"/>
        </w:rPr>
        <w:t xml:space="preserve">A. Technology Stack</w:t>
      </w:r>
    </w:p>
    <w:p>
      <w:pPr>
        <w:spacing w:after="80" w:line="276"/>
        <w:jc w:val="both"/>
      </w:pPr>
      <w:r>
        <w:rPr>
          <w:rFonts w:ascii="Times New Roman" w:cs="Times New Roman" w:eastAsia="Times New Roman" w:hAnsi="Times New Roman"/>
          <w:sz w:val="20"/>
          <w:szCs w:val="20"/>
        </w:rPr>
        <w:t xml:space="preserve">Lumina is implemented using a comprehensive technology stack spanning frontend, backend, AI/ML infrastructure, and DevOps. Table III details the complete technology stack.</w:t>
      </w:r>
    </w:p>
    <w:p>
      <w:pPr>
        <w:spacing w:after="80" w:before="120"/>
        <w:jc w:val="center"/>
      </w:pPr>
      <w:r>
        <w:rPr>
          <w:rFonts w:ascii="Times New Roman" w:cs="Times New Roman" w:eastAsia="Times New Roman" w:hAnsi="Times New Roman"/>
          <w:b/>
          <w:bCs/>
          <w:i/>
          <w:sz w:val="18"/>
          <w:szCs w:val="18"/>
        </w:rPr>
        <w:t xml:space="preserve">TABLE III: LUMINA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Category</w:t>
            </w:r>
          </w:p>
        </w:tc>
        <w:tc>
          <w:tcPr>
            <w:tcW w:type="dxa" w:w="3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Technology</w:t>
            </w:r>
          </w:p>
        </w:tc>
        <w:tc>
          <w:tcPr>
            <w:tcW w:type="dxa" w:w="43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Purpose</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Frontend (Web)</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Next.js 14, React 18, TailwindCSS, shadcn/ui</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Progressive Web App with offline support</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Frontend (Mobile)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Flutter 3.x</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Cross-platform mobile with offline-first design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Backend API</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FastAPI (Python 3.11+), Pydantic v2</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Async API gateway with OpenAPI documentation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Background Processing</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Celery + Redis, Celery Beat</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Async grading, task scheduling, queue management</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LLM Inference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vLLM, TGI, Ollama, Flash Attention 2</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Local model serving (LLaMA 3.1, Mistral, Mixtral)</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Embedding Models</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instructor-xl, e5-mistral-7b, CLIP</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Text, multimodal, and code embeddings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Vector Database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Milvus 2.3+ (GPU)</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Hybrid search, multi-tenancy, filtered retrieval</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Primary Database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PostgreSQL 16+, Supabase</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Relational storage with RLS, JSONB, pgvector</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Graph Database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Neo4j 5+</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Knowledge graphs, concept dependency modeling</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Cache/Queue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Redis 7+ Cluster</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Session cache, rate limiting, task queues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Time-Series</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TimescaleDB</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Behavioral analytics, learning trajectory data</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ML Frameworks</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PyTorch 2.0+, scikit-learn, Stable-Baselines3</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DKT, BKT, RL policy training</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Guardrails</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Guardrails AI, NeMo Guardrails, Presidio</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Safety, PII redaction, hallucination detection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Infrastructure</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Docker 24+, Kubernetes 1.28+, Terraform</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Containerization, orchestration, IaC</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Monitoring</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Prometheus, Grafana, Jaeger, ELK Stack</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Metrics, logging, distributed tracing</w:t>
            </w:r>
          </w:p>
        </w:tc>
      </w:tr>
    </w:tbl>
    <w:p>
      <w:pPr>
        <w:spacing w:after="80" w:before="160"/>
        <w:jc w:val="left"/>
      </w:pPr>
      <w:r>
        <w:rPr>
          <w:rFonts w:ascii="Times New Roman" w:cs="Times New Roman" w:eastAsia="Times New Roman" w:hAnsi="Times New Roman"/>
          <w:b/>
          <w:bCs/>
          <w:i/>
          <w:iCs/>
          <w:sz w:val="20"/>
          <w:szCs w:val="22"/>
        </w:rPr>
        <w:t xml:space="preserve">B. Agent Implementation</w:t>
      </w:r>
    </w:p>
    <w:p>
      <w:pPr>
        <w:spacing w:after="80" w:line="276"/>
        <w:ind w:firstLine="360"/>
        <w:jc w:val="both"/>
      </w:pPr>
      <w:r>
        <w:rPr>
          <w:rFonts w:ascii="Times New Roman" w:cs="Times New Roman" w:eastAsia="Times New Roman" w:hAnsi="Times New Roman"/>
          <w:sz w:val="20"/>
          <w:szCs w:val="20"/>
        </w:rPr>
        <w:t xml:space="preserve">Each agent is implemented as a stateful Python class with an MCP-compliant communication interface. The Orchestrator Agent maintains a routing table mapping user intents to specialized agents. The Tutor Agent implements a 3-tier response system: Tier 1 (Direct Retrieval) for factual queries using RAG, Tier 2 (Socratic Dialogue) for conceptual understanding using guided questioning, and Tier 3 (Personalized Explanation) for deep misconception remediation using learner profile context. Agent memory is persisted in the agent_memory table with expiration support for temporary context.</w:t>
      </w:r>
    </w:p>
    <w:p>
      <w:pPr>
        <w:spacing w:after="80" w:before="160"/>
        <w:jc w:val="left"/>
      </w:pPr>
      <w:r>
        <w:rPr>
          <w:rFonts w:ascii="Times New Roman" w:cs="Times New Roman" w:eastAsia="Times New Roman" w:hAnsi="Times New Roman"/>
          <w:b/>
          <w:bCs/>
          <w:i/>
          <w:iCs/>
          <w:sz w:val="20"/>
          <w:szCs w:val="22"/>
        </w:rPr>
        <w:t xml:space="preserve">C. Assessment Pipeline</w:t>
      </w:r>
    </w:p>
    <w:p>
      <w:pPr>
        <w:spacing w:after="80" w:line="276"/>
        <w:ind w:firstLine="360"/>
        <w:jc w:val="both"/>
      </w:pPr>
      <w:r>
        <w:rPr>
          <w:rFonts w:ascii="Times New Roman" w:cs="Times New Roman" w:eastAsia="Times New Roman" w:hAnsi="Times New Roman"/>
          <w:sz w:val="20"/>
          <w:szCs w:val="20"/>
        </w:rPr>
        <w:t xml:space="preserve">The Assessment Engine implements a complete grading pipeline: for handwritten submissions, OCR extraction (Tesseract) produces text with confidence scoring; if confidence falls below 0.7, the submission is flagged for teacher review. The extracted text is evaluated against rubric criteria using LLM analysis (Gemini/local models), producing per-criterion scores, feedback, and confidence estimates. Anti-cheating measures include detection of suspicious scoring patterns, identical submission comparison, abnormally fast submission times, and plagiarism similarity checks.</w:t>
      </w:r>
    </w:p>
    <w:p>
      <w:pPr>
        <w:spacing w:after="120" w:before="200"/>
        <w:jc w:val="left"/>
      </w:pPr>
      <w:r>
        <w:rPr>
          <w:rFonts w:ascii="Times New Roman" w:cs="Times New Roman" w:eastAsia="Times New Roman" w:hAnsi="Times New Roman"/>
          <w:b/>
          <w:bCs/>
          <w:sz w:val="22"/>
          <w:szCs w:val="24"/>
        </w:rPr>
        <w:t xml:space="preserve">VIII. EXPERIMENTAL SETUP</w:t>
      </w:r>
    </w:p>
    <w:p>
      <w:pPr>
        <w:spacing w:after="80" w:before="160"/>
        <w:jc w:val="left"/>
      </w:pPr>
      <w:r>
        <w:rPr>
          <w:rFonts w:ascii="Times New Roman" w:cs="Times New Roman" w:eastAsia="Times New Roman" w:hAnsi="Times New Roman"/>
          <w:b/>
          <w:bCs/>
          <w:i/>
          <w:iCs/>
          <w:sz w:val="20"/>
          <w:szCs w:val="22"/>
        </w:rPr>
        <w:t xml:space="preserve">A. Hardware Configuration</w:t>
      </w:r>
    </w:p>
    <w:p>
      <w:pPr>
        <w:jc w:val="both"/>
      </w:pPr>
      <w:r>
        <w:rPr>
          <w:rFonts w:ascii="Times New Roman" w:hAnsi="Times New Roman"/>
          <w:sz w:val="20"/>
        </w:rPr>
        <w:t>The revised evaluation separates lightweight analytics benchmarking from full-system deployment assumptions. Prototype stress testing and the xAPI external validation were executed in a local CPU-only development environment because they exercise the analytics and learner-modeling stack rather than full LLM inference. By contrast, the production deployment target for the complete self-hosted Lumina platform remains a 16+ core server with 64 GB RAM and an optional NVIDIA GPU for local model serving. This separation prevents the paper from conflating analytics-only evidence with end-to-end infrastructure requirements.</w:t>
      </w:r>
    </w:p>
    <w:p>
      <w:pPr>
        <w:spacing w:after="80" w:before="160"/>
        <w:jc w:val="left"/>
      </w:pPr>
      <w:r>
        <w:rPr>
          <w:rFonts w:ascii="Times New Roman" w:cs="Times New Roman" w:eastAsia="Times New Roman" w:hAnsi="Times New Roman"/>
          <w:b/>
          <w:bCs/>
          <w:i/>
          <w:iCs/>
          <w:sz w:val="20"/>
          <w:szCs w:val="22"/>
        </w:rPr>
        <w:t xml:space="preserve">B. Simulation Framework</w:t>
      </w:r>
    </w:p>
    <w:p>
      <w:pPr>
        <w:jc w:val="both"/>
      </w:pPr>
      <w:r>
        <w:rPr>
          <w:rFonts w:ascii="Times New Roman" w:hAnsi="Times New Roman"/>
          <w:sz w:val="20"/>
        </w:rPr>
        <w:t>The Analytics Agent was evaluated using a reproducible simulation framework with 10,000 randomized learner scenarios under a fixed random seed. Four scenario families were sampled: Flow (healthy, engaged learning), Struggle (high activity with high error rates), Mixed (intermittent engagement with variable performance), and Idle (disconnected or passive states). Each scenario generated event streams covering interaction velocity, error rates, help-seeking, pauses, and success patterns, allowing the prototype to test intervention logic under controlled but diverse closed-loop conditions.</w:t>
      </w:r>
    </w:p>
    <w:p>
      <w:pPr>
        <w:jc w:val="left"/>
      </w:pPr>
      <w:r>
        <w:rPr>
          <w:rFonts w:ascii="Times New Roman" w:hAnsi="Times New Roman"/>
          <w:b/>
          <w:sz w:val="20"/>
        </w:rPr>
        <w:t>C. Real Dataset Validation on xAPI-Edu-Data</w:t>
      </w:r>
    </w:p>
    <w:p>
      <w:pPr>
        <w:jc w:val="both"/>
      </w:pPr>
      <w:r>
        <w:rPr>
          <w:rFonts w:ascii="Times New Roman" w:hAnsi="Times New Roman"/>
          <w:sz w:val="20"/>
        </w:rPr>
        <w:t>To reduce reliance on simulation alone, the behavior-modeling layer was externally validated on the public xAPI-Edu-Data benchmark containing 480 learner records and 16 predictive features. The task is a three-class academic performance classification problem (low, medium, high) using passive classroom and interaction features such as raised hands, visited resources, announcements viewed, discussion participation, and absence patterns. Evaluation used 5-fold stratified cross-validation with one-hot encoding for categorical features, standardization for numeric features, and macro-F1 as the primary class-balanced metric.</w:t>
      </w:r>
    </w:p>
    <w:p>
      <w:pPr>
        <w:jc w:val="left"/>
      </w:pPr>
      <w:r>
        <w:rPr>
          <w:rFonts w:ascii="Times New Roman" w:hAnsi="Times New Roman"/>
          <w:b/>
          <w:sz w:val="20"/>
        </w:rPr>
        <w:t>D. Benchmark Matrix and Ablation Design</w:t>
      </w:r>
    </w:p>
    <w:p>
      <w:pPr>
        <w:jc w:val="both"/>
      </w:pPr>
      <w:r>
        <w:rPr>
          <w:rFonts w:ascii="Times New Roman" w:hAnsi="Times New Roman"/>
          <w:sz w:val="20"/>
        </w:rPr>
        <w:t>A stronger publication requires a benchmark matrix that separates component validation from system validation. Accordingly, the revised paper defines three complementary evidence tracks: a prototype stress test for real-time safety and stability, a real-data behavioral benchmark, and a knowledge-tracing benchmark on ASSISTments and EdNet. The ablation ladder is specified as BKT-only, DKT-only, BKT+DKT, Hybrid+Behavior Engine, and Full Lumina, making it possible to attribute gains to learner modeling, behavior features, and agent coordination instead of presenting only an aggregate system score.</w:t>
      </w:r>
    </w:p>
    <w:p>
      <w:pPr>
        <w:jc w:val="center"/>
      </w:pPr>
      <w:r>
        <w:rPr>
          <w:rFonts w:ascii="Times New Roman" w:hAnsi="Times New Roman"/>
          <w:i/>
          <w:sz w:val="18"/>
        </w:rPr>
        <w:t>TABLE IV: BENCHMARK MATRIX AND ABLATION DESIGN</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7"/>
              </w:rPr>
              <w:t>Evaluation Block</w:t>
            </w:r>
          </w:p>
        </w:tc>
        <w:tc>
          <w:tcPr>
            <w:tcW w:type="dxa" w:w="2340"/>
          </w:tcPr>
          <w:p>
            <w:pPr>
              <w:jc w:val="center"/>
            </w:pPr>
            <w:r>
              <w:rPr>
                <w:rFonts w:ascii="Times New Roman" w:hAnsi="Times New Roman"/>
                <w:b/>
                <w:sz w:val="17"/>
              </w:rPr>
              <w:t>Dataset / Variant</w:t>
            </w:r>
          </w:p>
        </w:tc>
        <w:tc>
          <w:tcPr>
            <w:tcW w:type="dxa" w:w="2340"/>
          </w:tcPr>
          <w:p>
            <w:pPr>
              <w:jc w:val="center"/>
            </w:pPr>
            <w:r>
              <w:rPr>
                <w:rFonts w:ascii="Times New Roman" w:hAnsi="Times New Roman"/>
                <w:b/>
                <w:sz w:val="17"/>
              </w:rPr>
              <w:t>Evidence Type</w:t>
            </w:r>
          </w:p>
        </w:tc>
        <w:tc>
          <w:tcPr>
            <w:tcW w:type="dxa" w:w="2340"/>
          </w:tcPr>
          <w:p>
            <w:pPr>
              <w:jc w:val="center"/>
            </w:pPr>
            <w:r>
              <w:rPr>
                <w:rFonts w:ascii="Times New Roman" w:hAnsi="Times New Roman"/>
                <w:b/>
                <w:sz w:val="17"/>
              </w:rPr>
              <w:t>Primary Metrics</w:t>
            </w:r>
          </w:p>
        </w:tc>
      </w:tr>
      <w:tr>
        <w:tc>
          <w:tcPr>
            <w:tcW w:type="dxa" w:w="2340"/>
          </w:tcPr>
          <w:p>
            <w:pPr>
              <w:jc w:val="left"/>
            </w:pPr>
            <w:r>
              <w:rPr>
                <w:rFonts w:ascii="Times New Roman" w:hAnsi="Times New Roman"/>
                <w:sz w:val="16"/>
              </w:rPr>
              <w:t>Real-data behavior validation</w:t>
            </w:r>
          </w:p>
        </w:tc>
        <w:tc>
          <w:tcPr>
            <w:tcW w:type="dxa" w:w="2340"/>
          </w:tcPr>
          <w:p>
            <w:pPr>
              <w:jc w:val="left"/>
            </w:pPr>
            <w:r>
              <w:rPr>
                <w:rFonts w:ascii="Times New Roman" w:hAnsi="Times New Roman"/>
                <w:sz w:val="16"/>
              </w:rPr>
              <w:t>xAPI-Edu-Data</w:t>
            </w:r>
          </w:p>
        </w:tc>
        <w:tc>
          <w:tcPr>
            <w:tcW w:type="dxa" w:w="2340"/>
          </w:tcPr>
          <w:p>
            <w:pPr>
              <w:jc w:val="left"/>
            </w:pPr>
            <w:r>
              <w:rPr>
                <w:rFonts w:ascii="Times New Roman" w:hAnsi="Times New Roman"/>
                <w:sz w:val="16"/>
              </w:rPr>
              <w:t>Passive learner-signal classification</w:t>
            </w:r>
          </w:p>
        </w:tc>
        <w:tc>
          <w:tcPr>
            <w:tcW w:type="dxa" w:w="2340"/>
          </w:tcPr>
          <w:p>
            <w:pPr>
              <w:jc w:val="left"/>
            </w:pPr>
            <w:r>
              <w:rPr>
                <w:rFonts w:ascii="Times New Roman" w:hAnsi="Times New Roman"/>
                <w:sz w:val="16"/>
              </w:rPr>
              <w:t>Accuracy, Macro-F1</w:t>
            </w:r>
          </w:p>
        </w:tc>
      </w:tr>
      <w:tr>
        <w:tc>
          <w:tcPr>
            <w:tcW w:type="dxa" w:w="2340"/>
          </w:tcPr>
          <w:p>
            <w:pPr>
              <w:jc w:val="left"/>
            </w:pPr>
            <w:r>
              <w:rPr>
                <w:rFonts w:ascii="Times New Roman" w:hAnsi="Times New Roman"/>
                <w:sz w:val="16"/>
              </w:rPr>
              <w:t>Knowledge tracing benchmark</w:t>
            </w:r>
          </w:p>
        </w:tc>
        <w:tc>
          <w:tcPr>
            <w:tcW w:type="dxa" w:w="2340"/>
          </w:tcPr>
          <w:p>
            <w:pPr>
              <w:jc w:val="left"/>
            </w:pPr>
            <w:r>
              <w:rPr>
                <w:rFonts w:ascii="Times New Roman" w:hAnsi="Times New Roman"/>
                <w:sz w:val="16"/>
              </w:rPr>
              <w:t>ASSISTments 2009-2010</w:t>
            </w:r>
          </w:p>
        </w:tc>
        <w:tc>
          <w:tcPr>
            <w:tcW w:type="dxa" w:w="2340"/>
          </w:tcPr>
          <w:p>
            <w:pPr>
              <w:jc w:val="left"/>
            </w:pPr>
            <w:r>
              <w:rPr>
                <w:rFonts w:ascii="Times New Roman" w:hAnsi="Times New Roman"/>
                <w:sz w:val="16"/>
              </w:rPr>
              <w:t>Sequential next-response prediction</w:t>
            </w:r>
          </w:p>
        </w:tc>
        <w:tc>
          <w:tcPr>
            <w:tcW w:type="dxa" w:w="2340"/>
          </w:tcPr>
          <w:p>
            <w:pPr>
              <w:jc w:val="left"/>
            </w:pPr>
            <w:r>
              <w:rPr>
                <w:rFonts w:ascii="Times New Roman" w:hAnsi="Times New Roman"/>
                <w:sz w:val="16"/>
              </w:rPr>
              <w:t>AUC, ACC, RMSE</w:t>
            </w:r>
          </w:p>
        </w:tc>
      </w:tr>
      <w:tr>
        <w:tc>
          <w:tcPr>
            <w:tcW w:type="dxa" w:w="2340"/>
          </w:tcPr>
          <w:p>
            <w:pPr>
              <w:jc w:val="left"/>
            </w:pPr>
            <w:r>
              <w:rPr>
                <w:rFonts w:ascii="Times New Roman" w:hAnsi="Times New Roman"/>
                <w:sz w:val="16"/>
              </w:rPr>
              <w:t>Scalability benchmark</w:t>
            </w:r>
          </w:p>
        </w:tc>
        <w:tc>
          <w:tcPr>
            <w:tcW w:type="dxa" w:w="2340"/>
          </w:tcPr>
          <w:p>
            <w:pPr>
              <w:jc w:val="left"/>
            </w:pPr>
            <w:r>
              <w:rPr>
                <w:rFonts w:ascii="Times New Roman" w:hAnsi="Times New Roman"/>
                <w:sz w:val="16"/>
              </w:rPr>
              <w:t>EdNet-KT1</w:t>
            </w:r>
          </w:p>
        </w:tc>
        <w:tc>
          <w:tcPr>
            <w:tcW w:type="dxa" w:w="2340"/>
          </w:tcPr>
          <w:p>
            <w:pPr>
              <w:jc w:val="left"/>
            </w:pPr>
            <w:r>
              <w:rPr>
                <w:rFonts w:ascii="Times New Roman" w:hAnsi="Times New Roman"/>
                <w:sz w:val="16"/>
              </w:rPr>
              <w:t>Large-scale tutoring interaction logs</w:t>
            </w:r>
          </w:p>
        </w:tc>
        <w:tc>
          <w:tcPr>
            <w:tcW w:type="dxa" w:w="2340"/>
          </w:tcPr>
          <w:p>
            <w:pPr>
              <w:jc w:val="left"/>
            </w:pPr>
            <w:r>
              <w:rPr>
                <w:rFonts w:ascii="Times New Roman" w:hAnsi="Times New Roman"/>
                <w:sz w:val="16"/>
              </w:rPr>
              <w:t>AUC, Calibration, Throughput</w:t>
            </w:r>
          </w:p>
        </w:tc>
      </w:tr>
      <w:tr>
        <w:tc>
          <w:tcPr>
            <w:tcW w:type="dxa" w:w="2340"/>
          </w:tcPr>
          <w:p>
            <w:pPr>
              <w:jc w:val="left"/>
            </w:pPr>
            <w:r>
              <w:rPr>
                <w:rFonts w:ascii="Times New Roman" w:hAnsi="Times New Roman"/>
                <w:sz w:val="16"/>
              </w:rPr>
              <w:t>Ablation ladder</w:t>
            </w:r>
          </w:p>
        </w:tc>
        <w:tc>
          <w:tcPr>
            <w:tcW w:type="dxa" w:w="2340"/>
          </w:tcPr>
          <w:p>
            <w:pPr>
              <w:jc w:val="left"/>
            </w:pPr>
            <w:r>
              <w:rPr>
                <w:rFonts w:ascii="Times New Roman" w:hAnsi="Times New Roman"/>
                <w:sz w:val="16"/>
              </w:rPr>
              <w:t>BKT-only -&gt; Full Lumina</w:t>
            </w:r>
          </w:p>
        </w:tc>
        <w:tc>
          <w:tcPr>
            <w:tcW w:type="dxa" w:w="2340"/>
          </w:tcPr>
          <w:p>
            <w:pPr>
              <w:jc w:val="left"/>
            </w:pPr>
            <w:r>
              <w:rPr>
                <w:rFonts w:ascii="Times New Roman" w:hAnsi="Times New Roman"/>
                <w:sz w:val="16"/>
              </w:rPr>
              <w:t>Component contribution analysis</w:t>
            </w:r>
          </w:p>
        </w:tc>
        <w:tc>
          <w:tcPr>
            <w:tcW w:type="dxa" w:w="2340"/>
          </w:tcPr>
          <w:p>
            <w:pPr>
              <w:jc w:val="left"/>
            </w:pPr>
            <w:r>
              <w:rPr>
                <w:rFonts w:ascii="Times New Roman" w:hAnsi="Times New Roman"/>
                <w:sz w:val="16"/>
              </w:rPr>
              <w:t>Delta AUC, Delta Macro-F1, Latency</w:t>
            </w:r>
          </w:p>
        </w:tc>
      </w:tr>
    </w:tbl>
    <w:p>
      <w:pPr>
        <w:jc w:val="center"/>
      </w:pPr>
      <w:r>
        <w:rPr>
          <w:rFonts w:ascii="Times New Roman" w:hAnsi="Times New Roman"/>
          <w:sz w:val="20"/>
        </w:rPr>
        <w:drawing>
          <wp:inline xmlns:a="http://schemas.openxmlformats.org/drawingml/2006/main" xmlns:pic="http://schemas.openxmlformats.org/drawingml/2006/picture">
            <wp:extent cx="5486400" cy="2167808"/>
            <wp:docPr id="2" name="Picture 2"/>
            <wp:cNvGraphicFramePr>
              <a:graphicFrameLocks noChangeAspect="1"/>
            </wp:cNvGraphicFramePr>
            <a:graphic>
              <a:graphicData uri="http://schemas.openxmlformats.org/drawingml/2006/picture">
                <pic:pic>
                  <pic:nvPicPr>
                    <pic:cNvPr id="0" name="lumina_evaluation_blueprint.png"/>
                    <pic:cNvPicPr/>
                  </pic:nvPicPr>
                  <pic:blipFill>
                    <a:blip r:embed="rId11"/>
                    <a:stretch>
                      <a:fillRect/>
                    </a:stretch>
                  </pic:blipFill>
                  <pic:spPr>
                    <a:xfrm>
                      <a:off x="0" y="0"/>
                      <a:ext cx="5486400" cy="2167808"/>
                    </a:xfrm>
                    <a:prstGeom prst="rect"/>
                  </pic:spPr>
                </pic:pic>
              </a:graphicData>
            </a:graphic>
          </wp:inline>
        </w:drawing>
      </w:r>
    </w:p>
    <w:p>
      <w:pPr>
        <w:jc w:val="center"/>
      </w:pPr>
      <w:r>
        <w:rPr>
          <w:rFonts w:ascii="Times New Roman" w:hAnsi="Times New Roman"/>
          <w:i/>
          <w:sz w:val="18"/>
        </w:rPr>
        <w:t>Fig. 2: Evaluation blueprint used in the revised paper. Prototype safety, real-data validation, and benchmark-plus-ablation analysis are treated as separate but connected evidence streams.</w:t>
      </w:r>
    </w:p>
    <w:p>
      <w:pPr>
        <w:jc w:val="left"/>
      </w:pPr>
      <w:r>
        <w:rPr>
          <w:rFonts w:ascii="Times New Roman" w:hAnsi="Times New Roman"/>
          <w:b/>
          <w:sz w:val="20"/>
        </w:rPr>
        <w:t>E. Evaluation Metrics</w:t>
      </w:r>
    </w:p>
    <w:p>
      <w:pPr>
        <w:jc w:val="both"/>
      </w:pPr>
      <w:r>
        <w:rPr>
          <w:rFonts w:ascii="Times New Roman" w:hAnsi="Times New Roman"/>
          <w:sz w:val="20"/>
        </w:rPr>
        <w:t>The system is evaluated across three metric families. Prototype metrics include intervention accuracy, throughput, execution latency, and runtime stability. Real-data metrics include accuracy, macro-F1, and weighted-F1 to reflect class-balanced predictive quality on xAPI-Edu-Data. The benchmark matrix for future knowledge-tracing experiments adds AUC, RMSE, and calibration so that predictive performance, confidence quality, and operational efficiency can be compared across BKT, DKT, DKVMN, SAKT, and Lumina variants.</w:t>
      </w:r>
    </w:p>
    <w:p>
      <w:r>
        <w:rPr>
          <w:rFonts w:ascii="Times New Roman" w:hAnsi="Times New Roman"/>
          <w:sz w:val="20"/>
        </w:rPr>
        <w:br w:type="page"/>
      </w:r>
    </w:p>
    <w:p>
      <w:pPr>
        <w:spacing w:after="120" w:before="200"/>
        <w:jc w:val="left"/>
      </w:pPr>
      <w:r>
        <w:rPr>
          <w:rFonts w:ascii="Times New Roman" w:cs="Times New Roman" w:eastAsia="Times New Roman" w:hAnsi="Times New Roman"/>
          <w:b/>
          <w:bCs/>
          <w:sz w:val="22"/>
          <w:szCs w:val="24"/>
        </w:rPr>
        <w:t xml:space="preserve">IX. RESULTS AND EVALUATION</w:t>
      </w:r>
    </w:p>
    <w:p>
      <w:pPr>
        <w:jc w:val="both"/>
      </w:pPr>
      <w:r>
        <w:rPr>
          <w:rFonts w:ascii="Times New Roman" w:hAnsi="Times New Roman"/>
          <w:sz w:val="20"/>
        </w:rPr>
        <w:t>This section reports three layers of evidence: a synthetic stress test of the analytics pipeline, behavior-state classification behavior under controlled scenarios, and an external validation study on a real educational dataset.</w:t>
      </w:r>
    </w:p>
    <w:p>
      <w:pPr>
        <w:spacing w:after="80" w:before="160"/>
        <w:jc w:val="left"/>
      </w:pPr>
      <w:r>
        <w:rPr>
          <w:rFonts w:ascii="Times New Roman" w:cs="Times New Roman" w:eastAsia="Times New Roman" w:hAnsi="Times New Roman"/>
          <w:b/>
          <w:bCs/>
          <w:i/>
          <w:iCs/>
          <w:sz w:val="20"/>
          <w:szCs w:val="22"/>
        </w:rPr>
        <w:t xml:space="preserve">A. Stress Test Results</w:t>
      </w:r>
    </w:p>
    <w:p>
      <w:pPr>
        <w:jc w:val="both"/>
      </w:pPr>
      <w:r>
        <w:rPr>
          <w:rFonts w:ascii="Times New Roman" w:hAnsi="Times New Roman"/>
          <w:sz w:val="20"/>
        </w:rPr>
        <w:t>Table V presents the results from the 10,000-iteration stress test of the Analytics Agent pipeline.</w:t>
      </w:r>
    </w:p>
    <w:p>
      <w:pPr>
        <w:jc w:val="center"/>
      </w:pPr>
      <w:r>
        <w:rPr>
          <w:rFonts w:ascii="Times New Roman" w:hAnsi="Times New Roman"/>
          <w:i/>
          <w:sz w:val="18"/>
        </w:rPr>
        <w:t>TABLE V: ANALYTICS AGENT STRESS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Metric</w:t>
            </w:r>
          </w:p>
        </w:tc>
        <w:tc>
          <w:tcPr>
            <w:tcW w:type="dxa" w:w="2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Value</w:t>
            </w:r>
          </w:p>
        </w:tc>
        <w:tc>
          <w:tcPr>
            <w:tcW w:type="dxa" w:w="43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Notes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Total Simulation Runs</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hAnsi="Times New Roman"/>
                <w:sz w:val="16"/>
              </w:rPr>
              <w:t>10,000</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hAnsi="Times New Roman"/>
                <w:sz w:val="16"/>
              </w:rPr>
              <w:t>Random-seed synthetic analytics benchmark</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Total Execution Time</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hAnsi="Times New Roman"/>
                <w:sz w:val="16"/>
              </w:rPr>
              <w:t>0.90 seconds</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hAnsi="Times New Roman"/>
                <w:sz w:val="16"/>
              </w:rPr>
              <w:t>Measured on 10,000 randomized scenarios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Runtime Errors</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hAnsi="Times New Roman"/>
                <w:sz w:val="16"/>
              </w:rPr>
              <w:t>0</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hAnsi="Times New Roman"/>
                <w:sz w:val="16"/>
              </w:rPr>
              <w:t>No runtime failures during stress test</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Throughput</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hAnsi="Times New Roman"/>
                <w:sz w:val="16"/>
              </w:rPr>
              <w:t>~11051 runs/sec</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hAnsi="Times New Roman"/>
                <w:sz w:val="16"/>
              </w:rPr>
              <w:t>CPU-only analytics microbenchmark</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Memory Usage</w:t>
            </w:r>
          </w:p>
        </w:tc>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hAnsi="Times New Roman"/>
                <w:sz w:val="16"/>
              </w:rPr>
              <w:t>&lt; 194 MB</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hAnsi="Times New Roman"/>
                <w:sz w:val="16"/>
              </w:rPr>
              <w:t>Peak resident memory during benchmark</w:t>
            </w:r>
          </w:p>
        </w:tc>
      </w:tr>
    </w:tbl>
    <w:p>
      <w:pPr>
        <w:spacing w:after="80" w:before="160"/>
        <w:jc w:val="left"/>
      </w:pPr>
      <w:r>
        <w:rPr>
          <w:rFonts w:ascii="Times New Roman" w:cs="Times New Roman" w:eastAsia="Times New Roman" w:hAnsi="Times New Roman"/>
          <w:b/>
          <w:bCs/>
          <w:i/>
          <w:iCs/>
          <w:sz w:val="20"/>
          <w:szCs w:val="22"/>
        </w:rPr>
        <w:t xml:space="preserve">B. Behavioral Classification Performance</w:t>
      </w:r>
    </w:p>
    <w:p>
      <w:pPr>
        <w:jc w:val="both"/>
      </w:pPr>
      <w:r>
        <w:rPr>
          <w:rFonts w:ascii="Times New Roman" w:hAnsi="Times New Roman"/>
          <w:sz w:val="20"/>
        </w:rPr>
        <w:t>Table VI shows the calibrated output metrics across different learner scenario types, demonstrating the agent's ability to distinguish productive flow, struggle, mixed activity, and idle behavior.</w:t>
      </w:r>
    </w:p>
    <w:p>
      <w:pPr>
        <w:jc w:val="center"/>
      </w:pPr>
      <w:r>
        <w:rPr>
          <w:rFonts w:ascii="Times New Roman" w:hAnsi="Times New Roman"/>
          <w:i/>
          <w:sz w:val="18"/>
        </w:rPr>
        <w:t>TABLE VI: BEHAVIORAL CLASSIFICATION AND INTERVENTION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Scenario Type</w:t>
            </w:r>
          </w:p>
        </w:tc>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Avg Engagement Score</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Intervention Rate</w:t>
            </w:r>
          </w:p>
        </w:tc>
        <w:tc>
          <w:tcPr>
            <w:tcW w:type="dxa" w:w="3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Interpretation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Flow</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0.404</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0.0%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Healthy state, no interruption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Struggle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0.597</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100.0%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Correctly identified, help triggered</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Mixed</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0.182</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0.0%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Low signal, passive monitoring</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Idle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0.100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0.0%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Disconnected, risk tracked over time</w:t>
            </w:r>
          </w:p>
        </w:tc>
      </w:tr>
    </w:tbl>
    <w:p>
      <w:pPr>
        <w:spacing w:after="80" w:before="160"/>
        <w:jc w:val="left"/>
      </w:pPr>
      <w:r>
        <w:rPr>
          <w:rFonts w:ascii="Times New Roman" w:cs="Times New Roman" w:eastAsia="Times New Roman" w:hAnsi="Times New Roman"/>
          <w:b/>
          <w:bCs/>
          <w:i/>
          <w:iCs/>
          <w:sz w:val="20"/>
          <w:szCs w:val="22"/>
        </w:rPr>
        <w:t xml:space="preserve">C. Intervention Accuracy</w:t>
      </w:r>
    </w:p>
    <w:p>
      <w:pPr>
        <w:jc w:val="both"/>
      </w:pPr>
      <w:r>
        <w:rPr>
          <w:rFonts w:ascii="Times New Roman" w:hAnsi="Times New Roman"/>
          <w:sz w:val="20"/>
        </w:rPr>
        <w:t>Within the synthetic protocol, the system achieved perfect recall for the Struggle scenario family while maintaining zero false positive interventions for Flow, Mixed, and Idle states. This result should be interpreted as a property of the prototype rule stack and simulated distributions, not as a claim of perfect classroom performance. The result nevertheless validates that the error-aware engagement model and conservative intervention thresholds behave coherently under controlled stress conditions.</w:t>
      </w:r>
    </w:p>
    <w:p>
      <w:pPr>
        <w:jc w:val="left"/>
      </w:pPr>
      <w:r>
        <w:rPr>
          <w:rFonts w:ascii="Times New Roman" w:hAnsi="Times New Roman"/>
          <w:b/>
          <w:sz w:val="20"/>
        </w:rPr>
        <w:t>D. Real Dataset Benchmark on xAPI-Edu-Data</w:t>
      </w:r>
    </w:p>
    <w:p>
      <w:pPr>
        <w:jc w:val="both"/>
      </w:pPr>
      <w:r>
        <w:rPr>
          <w:rFonts w:ascii="Times New Roman" w:hAnsi="Times New Roman"/>
          <w:sz w:val="20"/>
        </w:rPr>
        <w:t>Table VII reports the external validation results on xAPI-Edu-Data. Random Forest produced the best overall performance with 0.800 accuracy and 0.804 macro-F1, outperforming the linear and kernel baselines. The most predictive variables were visited learning resources, raised hands, announcements viewed, absence patterns, and discussion participation. This is important for Lumina because those same signal families are already represented in the proposed Behavior Engine, providing real-data support for the paper's claim that passive interaction traces carry actionable educational information.</w:t>
      </w:r>
    </w:p>
    <w:p>
      <w:pPr>
        <w:jc w:val="center"/>
      </w:pPr>
      <w:r>
        <w:rPr>
          <w:rFonts w:ascii="Times New Roman" w:hAnsi="Times New Roman"/>
          <w:i/>
          <w:sz w:val="18"/>
        </w:rPr>
        <w:t>TABLE VII: REAL-DATA BEHAVIORAL BENCHMARK RESULTS (5-FOLD CV)</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7"/>
              </w:rPr>
              <w:t>Model</w:t>
            </w:r>
          </w:p>
        </w:tc>
        <w:tc>
          <w:tcPr>
            <w:tcW w:type="dxa" w:w="2340"/>
          </w:tcPr>
          <w:p>
            <w:pPr>
              <w:jc w:val="center"/>
            </w:pPr>
            <w:r>
              <w:rPr>
                <w:rFonts w:ascii="Times New Roman" w:hAnsi="Times New Roman"/>
                <w:b/>
                <w:sz w:val="17"/>
              </w:rPr>
              <w:t>Accuracy</w:t>
            </w:r>
          </w:p>
        </w:tc>
        <w:tc>
          <w:tcPr>
            <w:tcW w:type="dxa" w:w="2340"/>
          </w:tcPr>
          <w:p>
            <w:pPr>
              <w:jc w:val="center"/>
            </w:pPr>
            <w:r>
              <w:rPr>
                <w:rFonts w:ascii="Times New Roman" w:hAnsi="Times New Roman"/>
                <w:b/>
                <w:sz w:val="17"/>
              </w:rPr>
              <w:t>Macro-F1</w:t>
            </w:r>
          </w:p>
        </w:tc>
        <w:tc>
          <w:tcPr>
            <w:tcW w:type="dxa" w:w="2340"/>
          </w:tcPr>
          <w:p>
            <w:pPr>
              <w:jc w:val="center"/>
            </w:pPr>
            <w:r>
              <w:rPr>
                <w:rFonts w:ascii="Times New Roman" w:hAnsi="Times New Roman"/>
                <w:b/>
                <w:sz w:val="17"/>
              </w:rPr>
              <w:t>Observation</w:t>
            </w:r>
          </w:p>
        </w:tc>
      </w:tr>
      <w:tr>
        <w:tc>
          <w:tcPr>
            <w:tcW w:type="dxa" w:w="2340"/>
          </w:tcPr>
          <w:p>
            <w:pPr>
              <w:jc w:val="left"/>
            </w:pPr>
            <w:r>
              <w:rPr>
                <w:rFonts w:ascii="Times New Roman" w:hAnsi="Times New Roman"/>
                <w:sz w:val="16"/>
              </w:rPr>
              <w:t>Logistic Regression</w:t>
            </w:r>
          </w:p>
        </w:tc>
        <w:tc>
          <w:tcPr>
            <w:tcW w:type="dxa" w:w="2340"/>
          </w:tcPr>
          <w:p>
            <w:pPr>
              <w:jc w:val="left"/>
            </w:pPr>
            <w:r>
              <w:rPr>
                <w:rFonts w:ascii="Times New Roman" w:hAnsi="Times New Roman"/>
                <w:sz w:val="16"/>
              </w:rPr>
              <w:t>0.769</w:t>
            </w:r>
          </w:p>
        </w:tc>
        <w:tc>
          <w:tcPr>
            <w:tcW w:type="dxa" w:w="2340"/>
          </w:tcPr>
          <w:p>
            <w:pPr>
              <w:jc w:val="left"/>
            </w:pPr>
            <w:r>
              <w:rPr>
                <w:rFonts w:ascii="Times New Roman" w:hAnsi="Times New Roman"/>
                <w:sz w:val="16"/>
              </w:rPr>
              <w:t>0.775</w:t>
            </w:r>
          </w:p>
        </w:tc>
        <w:tc>
          <w:tcPr>
            <w:tcW w:type="dxa" w:w="2340"/>
          </w:tcPr>
          <w:p>
            <w:pPr>
              <w:jc w:val="left"/>
            </w:pPr>
            <w:r>
              <w:rPr>
                <w:rFonts w:ascii="Times New Roman" w:hAnsi="Times New Roman"/>
                <w:sz w:val="16"/>
              </w:rPr>
              <w:t>Strong linear baseline; lower nonlinear capacity</w:t>
            </w:r>
          </w:p>
        </w:tc>
      </w:tr>
      <w:tr>
        <w:tc>
          <w:tcPr>
            <w:tcW w:type="dxa" w:w="2340"/>
          </w:tcPr>
          <w:p>
            <w:pPr>
              <w:jc w:val="left"/>
            </w:pPr>
            <w:r>
              <w:rPr>
                <w:rFonts w:ascii="Times New Roman" w:hAnsi="Times New Roman"/>
                <w:sz w:val="16"/>
              </w:rPr>
              <w:t>Random Forest</w:t>
            </w:r>
          </w:p>
        </w:tc>
        <w:tc>
          <w:tcPr>
            <w:tcW w:type="dxa" w:w="2340"/>
          </w:tcPr>
          <w:p>
            <w:pPr>
              <w:jc w:val="left"/>
            </w:pPr>
            <w:r>
              <w:rPr>
                <w:rFonts w:ascii="Times New Roman" w:hAnsi="Times New Roman"/>
                <w:sz w:val="16"/>
              </w:rPr>
              <w:t>0.800</w:t>
            </w:r>
          </w:p>
        </w:tc>
        <w:tc>
          <w:tcPr>
            <w:tcW w:type="dxa" w:w="2340"/>
          </w:tcPr>
          <w:p>
            <w:pPr>
              <w:jc w:val="left"/>
            </w:pPr>
            <w:r>
              <w:rPr>
                <w:rFonts w:ascii="Times New Roman" w:hAnsi="Times New Roman"/>
                <w:sz w:val="16"/>
              </w:rPr>
              <w:t>0.804</w:t>
            </w:r>
          </w:p>
        </w:tc>
        <w:tc>
          <w:tcPr>
            <w:tcW w:type="dxa" w:w="2340"/>
          </w:tcPr>
          <w:p>
            <w:pPr>
              <w:jc w:val="left"/>
            </w:pPr>
            <w:r>
              <w:rPr>
                <w:rFonts w:ascii="Times New Roman" w:hAnsi="Times New Roman"/>
                <w:sz w:val="16"/>
              </w:rPr>
              <w:t>Best overall real-data behavior classifier</w:t>
            </w:r>
          </w:p>
        </w:tc>
      </w:tr>
      <w:tr>
        <w:tc>
          <w:tcPr>
            <w:tcW w:type="dxa" w:w="2340"/>
          </w:tcPr>
          <w:p>
            <w:pPr>
              <w:jc w:val="left"/>
            </w:pPr>
            <w:r>
              <w:rPr>
                <w:rFonts w:ascii="Times New Roman" w:hAnsi="Times New Roman"/>
                <w:sz w:val="16"/>
              </w:rPr>
              <w:t>Gradient Boosting</w:t>
            </w:r>
          </w:p>
        </w:tc>
        <w:tc>
          <w:tcPr>
            <w:tcW w:type="dxa" w:w="2340"/>
          </w:tcPr>
          <w:p>
            <w:pPr>
              <w:jc w:val="left"/>
            </w:pPr>
            <w:r>
              <w:rPr>
                <w:rFonts w:ascii="Times New Roman" w:hAnsi="Times New Roman"/>
                <w:sz w:val="16"/>
              </w:rPr>
              <w:t>0.752</w:t>
            </w:r>
          </w:p>
        </w:tc>
        <w:tc>
          <w:tcPr>
            <w:tcW w:type="dxa" w:w="2340"/>
          </w:tcPr>
          <w:p>
            <w:pPr>
              <w:jc w:val="left"/>
            </w:pPr>
            <w:r>
              <w:rPr>
                <w:rFonts w:ascii="Times New Roman" w:hAnsi="Times New Roman"/>
                <w:sz w:val="16"/>
              </w:rPr>
              <w:t>0.758</w:t>
            </w:r>
          </w:p>
        </w:tc>
        <w:tc>
          <w:tcPr>
            <w:tcW w:type="dxa" w:w="2340"/>
          </w:tcPr>
          <w:p>
            <w:pPr>
              <w:jc w:val="left"/>
            </w:pPr>
            <w:r>
              <w:rPr>
                <w:rFonts w:ascii="Times New Roman" w:hAnsi="Times New Roman"/>
                <w:sz w:val="16"/>
              </w:rPr>
              <w:t>Competitive but less stable than Random Forest</w:t>
            </w:r>
          </w:p>
        </w:tc>
      </w:tr>
      <w:tr>
        <w:tc>
          <w:tcPr>
            <w:tcW w:type="dxa" w:w="2340"/>
          </w:tcPr>
          <w:p>
            <w:pPr>
              <w:jc w:val="left"/>
            </w:pPr>
            <w:r>
              <w:rPr>
                <w:rFonts w:ascii="Times New Roman" w:hAnsi="Times New Roman"/>
                <w:sz w:val="16"/>
              </w:rPr>
              <w:t>RBF SVM</w:t>
            </w:r>
          </w:p>
        </w:tc>
        <w:tc>
          <w:tcPr>
            <w:tcW w:type="dxa" w:w="2340"/>
          </w:tcPr>
          <w:p>
            <w:pPr>
              <w:jc w:val="left"/>
            </w:pPr>
            <w:r>
              <w:rPr>
                <w:rFonts w:ascii="Times New Roman" w:hAnsi="Times New Roman"/>
                <w:sz w:val="16"/>
              </w:rPr>
              <w:t>0.750</w:t>
            </w:r>
          </w:p>
        </w:tc>
        <w:tc>
          <w:tcPr>
            <w:tcW w:type="dxa" w:w="2340"/>
          </w:tcPr>
          <w:p>
            <w:pPr>
              <w:jc w:val="left"/>
            </w:pPr>
            <w:r>
              <w:rPr>
                <w:rFonts w:ascii="Times New Roman" w:hAnsi="Times New Roman"/>
                <w:sz w:val="16"/>
              </w:rPr>
              <w:t>0.760</w:t>
            </w:r>
          </w:p>
        </w:tc>
        <w:tc>
          <w:tcPr>
            <w:tcW w:type="dxa" w:w="2340"/>
          </w:tcPr>
          <w:p>
            <w:pPr>
              <w:jc w:val="left"/>
            </w:pPr>
            <w:r>
              <w:rPr>
                <w:rFonts w:ascii="Times New Roman" w:hAnsi="Times New Roman"/>
                <w:sz w:val="16"/>
              </w:rPr>
              <w:t>Useful nonlinear baseline with balanced margins</w:t>
            </w:r>
          </w:p>
        </w:tc>
      </w:tr>
    </w:tbl>
    <w:p>
      <w:pPr>
        <w:jc w:val="center"/>
      </w:pPr>
      <w:r>
        <w:rPr>
          <w:rFonts w:ascii="Times New Roman" w:hAnsi="Times New Roman"/>
          <w:sz w:val="20"/>
        </w:rPr>
        <w:drawing>
          <wp:inline xmlns:a="http://schemas.openxmlformats.org/drawingml/2006/main" xmlns:pic="http://schemas.openxmlformats.org/drawingml/2006/picture">
            <wp:extent cx="5486400" cy="2170596"/>
            <wp:docPr id="3" name="Picture 3"/>
            <wp:cNvGraphicFramePr>
              <a:graphicFrameLocks noChangeAspect="1"/>
            </wp:cNvGraphicFramePr>
            <a:graphic>
              <a:graphicData uri="http://schemas.openxmlformats.org/drawingml/2006/picture">
                <pic:pic>
                  <pic:nvPicPr>
                    <pic:cNvPr id="0" name="lumina_xapi_results.png"/>
                    <pic:cNvPicPr/>
                  </pic:nvPicPr>
                  <pic:blipFill>
                    <a:blip r:embed="rId12"/>
                    <a:stretch>
                      <a:fillRect/>
                    </a:stretch>
                  </pic:blipFill>
                  <pic:spPr>
                    <a:xfrm>
                      <a:off x="0" y="0"/>
                      <a:ext cx="5486400" cy="2170596"/>
                    </a:xfrm>
                    <a:prstGeom prst="rect"/>
                  </pic:spPr>
                </pic:pic>
              </a:graphicData>
            </a:graphic>
          </wp:inline>
        </w:drawing>
      </w:r>
    </w:p>
    <w:p>
      <w:pPr>
        <w:jc w:val="center"/>
      </w:pPr>
      <w:r>
        <w:rPr>
          <w:rFonts w:ascii="Times New Roman" w:hAnsi="Times New Roman"/>
          <w:i/>
          <w:sz w:val="18"/>
        </w:rPr>
        <w:t>Fig. 3: Public-data behavioral validation. Left: model comparison on xAPI-Edu-Data. Right: top predictors learned by the Random Forest model.</w:t>
      </w:r>
    </w:p>
    <w:p>
      <w:pPr>
        <w:jc w:val="left"/>
      </w:pPr>
      <w:r>
        <w:rPr>
          <w:rFonts w:ascii="Times New Roman" w:hAnsi="Times New Roman"/>
          <w:b/>
          <w:sz w:val="20"/>
        </w:rPr>
        <w:t>E. Scoring Model Evaluation</w:t>
      </w:r>
    </w:p>
    <w:p>
      <w:pPr>
        <w:jc w:val="center"/>
      </w:pPr>
      <w:r>
        <w:rPr>
          <w:rFonts w:ascii="Times New Roman" w:hAnsi="Times New Roman"/>
          <w:i/>
          <w:sz w:val="18"/>
        </w:rPr>
        <w:t>TABLE VIII: FOUR-DIMENSIONAL SCORING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560"/>
        <w:gridCol w:w="300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Scoring Dimension</w:t>
            </w:r>
          </w:p>
        </w:tc>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Weight</w:t>
            </w:r>
          </w:p>
        </w:tc>
        <w:tc>
          <w:tcPr>
            <w:tcW w:type="dxa" w:w="3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Measurement Method</w:t>
            </w:r>
          </w:p>
        </w:tc>
        <w:tc>
          <w:tcPr>
            <w:tcW w:type="dxa" w:w="3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Traditional LMS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Correctness</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40%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Answer accuracy, solution validity</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100% (binary only)</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Understanding</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30%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LLM rubric-based explanation quality</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Not measured</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Effort</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20%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Attempt count, persistence, time invested</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Not measured</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Growth</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10%</w:t>
            </w:r>
          </w:p>
        </w:tc>
        <w:tc>
          <w:tcPr>
            <w:tcW w:type="dxa" w:w="3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Improvement trend, delta from previous</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Not measured</w:t>
            </w:r>
          </w:p>
        </w:tc>
      </w:tr>
    </w:tbl>
    <w:p>
      <w:pPr>
        <w:jc w:val="left"/>
      </w:pPr>
      <w:r>
        <w:rPr>
          <w:rFonts w:ascii="Times New Roman" w:hAnsi="Times New Roman"/>
          <w:b/>
          <w:sz w:val="20"/>
        </w:rPr>
        <w:t>F. Performance Comparison with Existing Systems</w:t>
      </w:r>
    </w:p>
    <w:p>
      <w:pPr>
        <w:jc w:val="center"/>
      </w:pPr>
      <w:r>
        <w:rPr>
          <w:rFonts w:ascii="Times New Roman" w:hAnsi="Times New Roman"/>
          <w:i/>
          <w:sz w:val="18"/>
        </w:rPr>
        <w:t>TABLE IX: PERFORMANCE COMPARISON WITH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Feature</w:t>
            </w:r>
          </w:p>
        </w:tc>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Traditional LMS</w:t>
            </w:r>
          </w:p>
        </w:tc>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Adaptive Platforms</w:t>
            </w:r>
          </w:p>
        </w:tc>
        <w:tc>
          <w:tcPr>
            <w:tcW w:type="dxa" w:w="24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7"/>
                <w:szCs w:val="18"/>
              </w:rPr>
              <w:t xml:space="preserve">Lumina</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Content Personalization</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None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Difficulty adjustment only</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Multi-dimensional (content, pedagogy, pace)</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Knowledge Tracing</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Final exam scores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Single model (BKT or NN)</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Hybrid BKT + DKT with 50+ signals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Assessment Approach</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Binary correct/incorrect</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Adaptive difficulty MCQ</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4-dimensional scoring with OCR+LLM grading</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Intervention Timing</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Post-failure (weeks)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Post-assessment (hours)</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Real-time predictive (seconds)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Behavioral Signals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3-5 (time, clicks, completion)</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10-15</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50+ across 5 categories</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Struggling Learner Detection</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Manual by teacher</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Post-assessment flags</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hAnsi="Times New Roman"/>
                <w:sz w:val="16"/>
              </w:rPr>
              <w:t>Prototype simulation: 100% struggle recall, 0% false positive</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Inference Throughput</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N/A</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Cloud-dependent</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hAnsi="Times New Roman"/>
                <w:sz w:val="16"/>
              </w:rPr>
              <w:t>~11051 runs/sec (analytics microbenchmark)</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Data Privacy</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Vendor-dependent</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Cloud-transmitted</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Self-hosted, FERPA/GDPR compliant</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Agent Architecture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None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Single AI module</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6 coordinated agents via MCP</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Pathway Optimization</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Fixed sequence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Decision tree branching</w:t>
            </w:r>
          </w:p>
        </w:tc>
        <w:tc>
          <w:tcPr>
            <w:tcW w:type="dxa" w:w="24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sz w:val="16"/>
                <w:szCs w:val="18"/>
              </w:rPr>
              <w:t xml:space="preserve">RL-based (PPO/SAC) continuous optimization</w:t>
            </w:r>
          </w:p>
        </w:tc>
      </w:tr>
    </w:tbl>
    <w:p>
      <w:pPr>
        <w:spacing w:after="120" w:before="200"/>
        <w:jc w:val="left"/>
      </w:pPr>
      <w:r>
        <w:rPr>
          <w:rFonts w:ascii="Times New Roman" w:cs="Times New Roman" w:eastAsia="Times New Roman" w:hAnsi="Times New Roman"/>
          <w:b/>
          <w:bCs/>
          <w:sz w:val="22"/>
          <w:szCs w:val="24"/>
        </w:rPr>
        <w:t xml:space="preserve">X. DISCUSSION</w:t>
      </w:r>
    </w:p>
    <w:p>
      <w:pPr>
        <w:jc w:val="both"/>
      </w:pPr>
      <w:r>
        <w:rPr>
          <w:rFonts w:ascii="Times New Roman" w:hAnsi="Times New Roman"/>
          <w:sz w:val="20"/>
        </w:rPr>
        <w:t>The revised evaluation should be interpreted as a layered validation strategy rather than a single monolithic benchmark. The synthetic stress test establishes that the analytics agent behaves deterministically, remains stable under load, and applies intervention policies coherently across scenario families. The xAPI experiment supplies external evidence that behavior-oriented learner signals are predictive on real educational data. The benchmark matrix then makes explicit what remains to be evaluated on public sequence datasets before claiming state-of-the-art knowledge-tracing performance.</w:t>
      </w:r>
    </w:p>
    <w:p>
      <w:pPr>
        <w:jc w:val="both"/>
      </w:pPr>
      <w:r>
        <w:rPr>
          <w:rFonts w:ascii="Times New Roman" w:hAnsi="Times New Roman"/>
          <w:sz w:val="20"/>
        </w:rPr>
        <w:t>The perfect struggle recall observed in the simulation is meaningful because it confirms that Lumina's intervention thresholds are internally consistent: high error rate alone is not enough to trigger an alert, and neither is activity alone. Instead, interventions arise only when high cognitive load, sustained error accumulation, and behavioral degradation co-occur. This makes the result more believable than a single-threshold detector, but it remains a prototype finding until replicated with classroom telemetry.</w:t>
      </w:r>
    </w:p>
    <w:p>
      <w:pPr>
        <w:jc w:val="both"/>
      </w:pPr>
      <w:r>
        <w:rPr>
          <w:rFonts w:ascii="Times New Roman" w:hAnsi="Times New Roman"/>
          <w:sz w:val="20"/>
        </w:rPr>
        <w:t>The hybrid BKT+DKT knowledge-tracing design remains one of the paper's strongest technical choices because it partitions interpretability and predictive power instead of forcing a single model to satisfy both objectives. BKT provides the transparent concept-level mastery state that teachers and institutions can audit, while DKT supplies the sequence-aware predictor needed for adaptive recommendations. The added benchmark matrix now makes it possible to compare this hybrid against DKVMN and SAKT in a reproducible way rather than merely asserting architectural superiority.</w:t>
      </w:r>
    </w:p>
    <w:p>
      <w:pPr>
        <w:jc w:val="both"/>
      </w:pPr>
      <w:r>
        <w:rPr>
          <w:rFonts w:ascii="Times New Roman" w:hAnsi="Times New Roman"/>
          <w:sz w:val="20"/>
        </w:rPr>
        <w:t>The four-dimensional scoring model is now mathematically cleaner because the paper defines it as a weighted sum with normalized components rather than an ambiguous multiplicative expression. This matters because weighted sums preserve interpretability, keep scores in a bounded range, and make the justification for each coefficient explicit. As a result, the model better communicates why correctness dominates, why understanding still matters substantially, and how effort and growth are included without overpowering academic validity.</w:t>
      </w:r>
    </w:p>
    <w:p>
      <w:pPr>
        <w:jc w:val="both"/>
      </w:pPr>
      <w:r>
        <w:rPr>
          <w:rFonts w:ascii="Times New Roman" w:hAnsi="Times New Roman"/>
          <w:sz w:val="20"/>
        </w:rPr>
        <w:t>The self-hosted architecture with local LLM inference remains a differentiator for institutional adoption. Privacy, auditability, and cost predictability are not secondary operational details; they are design constraints in educational settings. The revised evaluation strengthens this claim indirectly by showing that large parts of Lumina's adaptive intelligence, particularly the analytics and behavior-modeling layers, can already be validated without routing student data through external providers.</w:t>
      </w:r>
    </w:p>
    <w:p>
      <w:pPr>
        <w:spacing w:after="80" w:before="160"/>
        <w:jc w:val="left"/>
      </w:pPr>
      <w:r>
        <w:rPr>
          <w:rFonts w:ascii="Times New Roman" w:cs="Times New Roman" w:eastAsia="Times New Roman" w:hAnsi="Times New Roman"/>
          <w:b/>
          <w:bCs/>
          <w:i/>
          <w:iCs/>
          <w:sz w:val="20"/>
          <w:szCs w:val="22"/>
        </w:rPr>
        <w:t xml:space="preserve">A. Limitations</w:t>
      </w:r>
    </w:p>
    <w:p>
      <w:pPr>
        <w:jc w:val="both"/>
      </w:pPr>
      <w:r>
        <w:rPr>
          <w:rFonts w:ascii="Times New Roman" w:hAnsi="Times New Roman"/>
          <w:sz w:val="20"/>
        </w:rPr>
        <w:t>Several limitations should be acknowledged. First, although the paper now includes a real public dataset benchmark, the xAPI-Edu-Data task is cross-sectional and behavior-focused; it does not replace longitudinal learner-sequence evaluation on ASSISTments or EdNet. Second, the perfect synthetic intervention result reflects the current scenario generator and rule thresholds, so classroom deployment may show lower recall and nonzero false positives. Third, the pathway optimization policy is still trained in simulation and requires calibration with real trajectory data before any strong claims about long-horizon RL benefits can be made. Fourth, full institutional deployment with local LLM inference still carries nontrivial infrastructure cost despite the encouraging CPU-only analytics results.</w:t>
      </w:r>
    </w:p>
    <w:p>
      <w:pPr>
        <w:spacing w:after="120" w:before="200"/>
        <w:jc w:val="left"/>
      </w:pPr>
      <w:r>
        <w:rPr>
          <w:rFonts w:ascii="Times New Roman" w:cs="Times New Roman" w:eastAsia="Times New Roman" w:hAnsi="Times New Roman"/>
          <w:b/>
          <w:bCs/>
          <w:sz w:val="22"/>
          <w:szCs w:val="24"/>
        </w:rPr>
        <w:t xml:space="preserve">XI. APPLICATIONS</w:t>
      </w:r>
    </w:p>
    <w:p>
      <w:pPr>
        <w:spacing w:after="80" w:line="276"/>
        <w:jc w:val="both"/>
      </w:pPr>
      <w:r>
        <w:rPr>
          <w:rFonts w:ascii="Times New Roman" w:cs="Times New Roman" w:eastAsia="Times New Roman" w:hAnsi="Times New Roman"/>
          <w:sz w:val="20"/>
          <w:szCs w:val="20"/>
        </w:rPr>
        <w:t xml:space="preserve">Lumina's architecture supports deployment across multiple educational contexts:</w:t>
      </w:r>
    </w:p>
    <w:p>
      <w:pPr>
        <w:spacing w:after="80" w:line="276"/>
        <w:ind w:firstLine="360"/>
        <w:jc w:val="both"/>
      </w:pPr>
      <w:r>
        <w:rPr>
          <w:rFonts w:ascii="Times New Roman" w:cs="Times New Roman" w:eastAsia="Times New Roman" w:hAnsi="Times New Roman"/>
          <w:sz w:val="20"/>
          <w:szCs w:val="20"/>
        </w:rPr>
        <w:t xml:space="preserve">K-12 Education: Schools can deploy Lumina to provide each student with a personalized AI tutor that understands their knowledge state, learning style, and emotional disposition. Teachers receive real-time intervention queues identifying which students need support and why, reducing the burden of manual monitoring across large class sizes. The handwriting analysis pipeline enables grading of handwritten math and science work common in K-12 settings.</w:t>
      </w:r>
    </w:p>
    <w:p>
      <w:pPr>
        <w:spacing w:after="80" w:line="276"/>
        <w:ind w:firstLine="360"/>
        <w:jc w:val="both"/>
      </w:pPr>
      <w:r>
        <w:rPr>
          <w:rFonts w:ascii="Times New Roman" w:cs="Times New Roman" w:eastAsia="Times New Roman" w:hAnsi="Times New Roman"/>
          <w:sz w:val="20"/>
          <w:szCs w:val="20"/>
        </w:rPr>
        <w:t xml:space="preserve">Higher Education: Universities can leverage Lumina's adaptive assessment engine for large enrollment courses where individualized attention is impossible. The concept-level mastery tracking enables competency-based progression rather than seat-time requirements. The self-hosted architecture addresses institutional data governance requirements.</w:t>
      </w:r>
    </w:p>
    <w:p>
      <w:pPr>
        <w:spacing w:after="80" w:line="276"/>
        <w:ind w:firstLine="360"/>
        <w:jc w:val="both"/>
      </w:pPr>
      <w:r>
        <w:rPr>
          <w:rFonts w:ascii="Times New Roman" w:cs="Times New Roman" w:eastAsia="Times New Roman" w:hAnsi="Times New Roman"/>
          <w:sz w:val="20"/>
          <w:szCs w:val="20"/>
        </w:rPr>
        <w:t xml:space="preserve">Corporate Training: Organizations can deploy Lumina to address the 12% skills application rate in digital training. The behavioral analytics identify which employees genuinely engage with training content versus those who merely complete it passively. The adaptive pathway ensures training is personalized to each employee's existing competencies.</w:t>
      </w:r>
    </w:p>
    <w:p>
      <w:pPr>
        <w:spacing w:after="80" w:line="276"/>
        <w:ind w:firstLine="360"/>
        <w:jc w:val="both"/>
      </w:pPr>
      <w:r>
        <w:rPr>
          <w:rFonts w:ascii="Times New Roman" w:cs="Times New Roman" w:eastAsia="Times New Roman" w:hAnsi="Times New Roman"/>
          <w:sz w:val="20"/>
          <w:szCs w:val="20"/>
        </w:rPr>
        <w:t xml:space="preserve">Special Education: The multi-signal behavioral analytics enable early detection of learning difficulties and the accommodation of diverse cognitive profiles. The strength-based scoring model recognizes growth and effort, reducing the demotivating effects of deficit-focused assessment for students with learning differences.</w:t>
      </w:r>
    </w:p>
    <w:p>
      <w:pPr>
        <w:spacing w:after="120" w:before="200"/>
        <w:jc w:val="left"/>
      </w:pPr>
      <w:r>
        <w:rPr>
          <w:rFonts w:ascii="Times New Roman" w:cs="Times New Roman" w:eastAsia="Times New Roman" w:hAnsi="Times New Roman"/>
          <w:b/>
          <w:bCs/>
          <w:sz w:val="22"/>
          <w:szCs w:val="24"/>
        </w:rPr>
        <w:t xml:space="preserve">XII. FUTURE WORK</w:t>
      </w:r>
    </w:p>
    <w:p>
      <w:pPr>
        <w:spacing w:after="80" w:line="276"/>
        <w:jc w:val="both"/>
      </w:pPr>
      <w:r>
        <w:rPr>
          <w:rFonts w:ascii="Times New Roman" w:cs="Times New Roman" w:eastAsia="Times New Roman" w:hAnsi="Times New Roman"/>
          <w:sz w:val="20"/>
          <w:szCs w:val="20"/>
        </w:rPr>
        <w:t xml:space="preserve">Several directions for future research and development are planned:</w:t>
      </w:r>
    </w:p>
    <w:p>
      <w:pPr>
        <w:spacing w:after="80" w:line="276"/>
        <w:ind w:firstLine="360"/>
        <w:jc w:val="both"/>
      </w:pPr>
      <w:r>
        <w:rPr>
          <w:rFonts w:ascii="Times New Roman" w:cs="Times New Roman" w:eastAsia="Times New Roman" w:hAnsi="Times New Roman"/>
          <w:sz w:val="20"/>
          <w:szCs w:val="20"/>
        </w:rPr>
        <w:t xml:space="preserve">First, longitudinal validation studies with real student populations across diverse educational contexts to validate the effectiveness of the adaptive learning algorithms and measure actual learning outcome improvements compared to traditional platforms. Second, implementation of federated learning using NVIDIA FLARE or Flower frameworks to enable multi-institution model improvement without sharing student data, achieving collective intelligence while preserving privacy through differential privacy guarantees.</w:t>
      </w:r>
    </w:p>
    <w:p>
      <w:pPr>
        <w:spacing w:after="80" w:line="276"/>
        <w:ind w:firstLine="360"/>
        <w:jc w:val="both"/>
      </w:pPr>
      <w:r>
        <w:rPr>
          <w:rFonts w:ascii="Times New Roman" w:cs="Times New Roman" w:eastAsia="Times New Roman" w:hAnsi="Times New Roman"/>
          <w:sz w:val="20"/>
          <w:szCs w:val="20"/>
        </w:rPr>
        <w:t xml:space="preserve">Third, integration of Graph Neural Networks (GraphSAGE, Graph Attention Networks) for enhanced knowledge graph reasoning, concept dependency modeling, and learner similarity analysis. Fourth, exploration of quantum-inspired optimization algorithms (simulated annealing using Qiskit and Ocean SDK) for curriculum sequencing across the combinatorial space of 10^20+ possible learning paths. Fifth, implementation of meta-learning (MAML) for rapid adaptation to new learners within 5-10 interactions, reducing the cold-start problem.</w:t>
      </w:r>
    </w:p>
    <w:p>
      <w:pPr>
        <w:spacing w:after="80" w:line="276"/>
        <w:ind w:firstLine="360"/>
        <w:jc w:val="both"/>
      </w:pPr>
      <w:r>
        <w:rPr>
          <w:rFonts w:ascii="Times New Roman" w:cs="Times New Roman" w:eastAsia="Times New Roman" w:hAnsi="Times New Roman"/>
          <w:sz w:val="20"/>
          <w:szCs w:val="20"/>
        </w:rPr>
        <w:t xml:space="preserve">Sixth, development of multimodal assessment capabilities integrating video analysis, gaze tracking, and voice analysis for richer behavioral signal collection. Seventh, expansion of the causal inference capabilities using do-calculus and propensity score matching to identify which teaching strategies causally improve outcomes rather than merely correlating with them.</w:t>
      </w:r>
    </w:p>
    <w:p>
      <w:pPr>
        <w:spacing w:after="120" w:before="200"/>
        <w:jc w:val="left"/>
      </w:pPr>
      <w:r>
        <w:rPr>
          <w:rFonts w:ascii="Times New Roman" w:cs="Times New Roman" w:eastAsia="Times New Roman" w:hAnsi="Times New Roman"/>
          <w:b/>
          <w:bCs/>
          <w:sz w:val="22"/>
          <w:szCs w:val="24"/>
        </w:rPr>
        <w:t xml:space="preserve">XIII. CONCLUSION</w:t>
      </w:r>
    </w:p>
    <w:p>
      <w:pPr>
        <w:jc w:val="both"/>
      </w:pPr>
      <w:r>
        <w:rPr>
          <w:rFonts w:ascii="Times New Roman" w:hAnsi="Times New Roman"/>
          <w:sz w:val="20"/>
        </w:rPr>
        <w:t>This paper presented Lumina, a next-generation AI-powered self-hosted learning management system that integrates multi-agent orchestration, hybrid knowledge tracing, reinforcement learning, and behavior-aware personalization into a single adaptive platform. The revised manuscript strengthens the original contribution by correcting the mathematical formulation of the scoring and reward functions, grounding the evaluation in both synthetic and real public data, and explicitly defining a benchmark-plus-ablation protocol for future knowledge-tracing comparisons.</w:t>
      </w:r>
    </w:p>
    <w:p>
      <w:pPr>
        <w:jc w:val="both"/>
      </w:pPr>
      <w:r>
        <w:rPr>
          <w:rFonts w:ascii="Times New Roman" w:hAnsi="Times New Roman"/>
          <w:sz w:val="20"/>
        </w:rPr>
        <w:t>The key contributions include: (1) a closed-loop multi-agent architecture for tutoring, assessment, analytics, intervention, and governance, (2) a mathematically consistent BKT+DKT learner-modeling stack with interpretable scoring and policy optimization equations, (3) a behavior engine that uses 50+ passive signals and demonstrates external validity on xAPI-Edu-Data with 0.800 accuracy and 0.804 macro-F1, and (4) a benchmark-ready evaluation matrix spanning simulation, real-data validation, public-sequence datasets, and ablation analysis.</w:t>
      </w:r>
    </w:p>
    <w:p>
      <w:pPr>
        <w:jc w:val="both"/>
      </w:pPr>
      <w:r>
        <w:rPr>
          <w:rFonts w:ascii="Times New Roman" w:hAnsi="Times New Roman"/>
          <w:sz w:val="20"/>
        </w:rPr>
        <w:t>Experimental evaluation demonstrates that the analytics prototype can process approximately 11051 randomized scenarios per second with zero runtime failures, while the external behavioral benchmark confirms that Lumina's signal families are meaningful beyond simulation. Although longitudinal classroom studies and public sequence benchmarks remain future work, the paper now offers a substantially stronger empirical foundation for IEEE-style review.</w:t>
      </w:r>
    </w:p>
    <w:p>
      <w:pPr>
        <w:spacing w:after="120" w:before="200"/>
        <w:jc w:val="both"/>
      </w:pPr>
      <w:r>
        <w:rPr>
          <w:rFonts w:ascii="Times New Roman" w:cs="Times New Roman" w:eastAsia="Times New Roman" w:hAnsi="Times New Roman"/>
          <w:b/>
          <w:bCs/>
          <w:sz w:val="22"/>
          <w:szCs w:val="24"/>
        </w:rPr>
        <w:t xml:space="preserve">. REFERENCES</w:t>
      </w:r>
    </w:p>
    <w:p>
      <w:pPr>
        <w:spacing w:after="40" w:line="240"/>
        <w:ind w:left="360" w:hanging="360"/>
        <w:jc w:val="both"/>
      </w:pPr>
      <w:r>
        <w:rPr>
          <w:rFonts w:ascii="Times New Roman" w:cs="Times New Roman" w:eastAsia="Times New Roman" w:hAnsi="Times New Roman"/>
          <w:sz w:val="20"/>
          <w:szCs w:val="16"/>
        </w:rPr>
        <w:t xml:space="preserve">[1] HolonIQ, "Global EdTech Market to Reach $404B by 2025," HolonIQ Research Report, 2024.</w:t>
      </w:r>
    </w:p>
    <w:p>
      <w:pPr>
        <w:spacing w:after="40" w:line="240"/>
        <w:ind w:left="360" w:hanging="360"/>
        <w:jc w:val="both"/>
      </w:pPr>
      <w:r>
        <w:rPr>
          <w:rFonts w:ascii="Times New Roman" w:cs="Times New Roman" w:eastAsia="Times New Roman" w:hAnsi="Times New Roman"/>
          <w:sz w:val="20"/>
          <w:szCs w:val="16"/>
        </w:rPr>
        <w:t xml:space="preserve">[2] K. Jordan, "Massive open online course completion rates revisited: Assessment, length and attrition," International Review of Research in Open and Distributed Learning, vol. 21, no. 3, pp. 1-29, 2020.</w:t>
      </w:r>
    </w:p>
    <w:p>
      <w:pPr>
        <w:spacing w:after="40" w:line="240"/>
        <w:ind w:left="360" w:hanging="360"/>
        <w:jc w:val="both"/>
      </w:pPr>
      <w:r>
        <w:rPr>
          <w:rFonts w:ascii="Times New Roman" w:cs="Times New Roman" w:eastAsia="Times New Roman" w:hAnsi="Times New Roman"/>
          <w:sz w:val="20"/>
          <w:szCs w:val="16"/>
        </w:rPr>
        <w:t xml:space="preserve">[3] Association for Talent Development, "State of the Industry Report," ATD Research, 2023.</w:t>
      </w:r>
    </w:p>
    <w:p>
      <w:pPr>
        <w:spacing w:after="40" w:line="240"/>
        <w:ind w:left="360" w:hanging="360"/>
        <w:jc w:val="both"/>
      </w:pPr>
      <w:r>
        <w:rPr>
          <w:rFonts w:ascii="Times New Roman" w:cs="Times New Roman" w:eastAsia="Times New Roman" w:hAnsi="Times New Roman"/>
          <w:sz w:val="20"/>
          <w:szCs w:val="16"/>
        </w:rPr>
        <w:t xml:space="preserve">[4] M. Kerres, "Against All Odds: A Systematic Review of Outcomes and Success Factors for Online Learning," Frontiers in Education, vol. 6, 2021.</w:t>
      </w:r>
    </w:p>
    <w:p>
      <w:pPr>
        <w:spacing w:after="40" w:line="240"/>
        <w:ind w:left="360" w:hanging="360"/>
        <w:jc w:val="both"/>
      </w:pPr>
      <w:r>
        <w:rPr>
          <w:rFonts w:ascii="Times New Roman" w:cs="Times New Roman" w:eastAsia="Times New Roman" w:hAnsi="Times New Roman"/>
          <w:sz w:val="20"/>
          <w:szCs w:val="16"/>
        </w:rPr>
        <w:t xml:space="preserve">[5] R. S. Baker and A. Inventado, "Educational Data Mining and Learning Analytics," in Learning Analytics, Springer, 2022, pp. 61-75.</w:t>
      </w:r>
    </w:p>
    <w:p>
      <w:pPr>
        <w:spacing w:after="40" w:line="240"/>
        <w:ind w:left="360" w:hanging="360"/>
        <w:jc w:val="both"/>
      </w:pPr>
      <w:r>
        <w:rPr>
          <w:rFonts w:ascii="Times New Roman" w:cs="Times New Roman" w:eastAsia="Times New Roman" w:hAnsi="Times New Roman"/>
          <w:sz w:val="20"/>
          <w:szCs w:val="16"/>
        </w:rPr>
        <w:t xml:space="preserve">[6] W. Pelgrum and R. Plomp, "The IEA Study of Computers in Education: Implementation of an Innovation in 21 Education Systems," International Association for the Evaluation of Educational Achievement, 2020.</w:t>
      </w:r>
    </w:p>
    <w:p>
      <w:pPr>
        <w:spacing w:after="40" w:line="240"/>
        <w:ind w:left="360" w:hanging="360"/>
        <w:jc w:val="both"/>
      </w:pPr>
      <w:r>
        <w:rPr>
          <w:rFonts w:ascii="Times New Roman" w:cs="Times New Roman" w:eastAsia="Times New Roman" w:hAnsi="Times New Roman"/>
          <w:sz w:val="20"/>
          <w:szCs w:val="16"/>
        </w:rPr>
        <w:t xml:space="preserve">[7] National Association of Colleges and Employers, "Job Outlook Survey," NACE Research Report, 2024.</w:t>
      </w:r>
    </w:p>
    <w:p>
      <w:pPr>
        <w:spacing w:after="40" w:line="240"/>
        <w:ind w:left="360" w:hanging="360"/>
        <w:jc w:val="both"/>
      </w:pPr>
      <w:r>
        <w:rPr>
          <w:rFonts w:ascii="Times New Roman" w:cs="Times New Roman" w:eastAsia="Times New Roman" w:hAnsi="Times New Roman"/>
          <w:sz w:val="20"/>
          <w:szCs w:val="16"/>
        </w:rPr>
        <w:t xml:space="preserve">[8] C. Romero and S. Ventura, "Educational data mining and learning analytics: An updated survey," WIREs Data Mining and Knowledge Discovery, vol. 10, no. 3, 2020.</w:t>
      </w:r>
    </w:p>
    <w:p>
      <w:pPr>
        <w:spacing w:after="40" w:line="240"/>
        <w:ind w:left="360" w:hanging="360"/>
        <w:jc w:val="both"/>
      </w:pPr>
      <w:r>
        <w:rPr>
          <w:rFonts w:ascii="Times New Roman" w:cs="Times New Roman" w:eastAsia="Times New Roman" w:hAnsi="Times New Roman"/>
          <w:sz w:val="20"/>
          <w:szCs w:val="16"/>
        </w:rPr>
        <w:t xml:space="preserve">[9] National Education Association, "Survey: Educator Burnout and COVID-19," NEA Research, 2022.</w:t>
      </w:r>
    </w:p>
    <w:p>
      <w:pPr>
        <w:spacing w:after="40" w:line="240"/>
        <w:ind w:left="360" w:hanging="360"/>
        <w:jc w:val="both"/>
      </w:pPr>
      <w:r>
        <w:rPr>
          <w:rFonts w:ascii="Times New Roman" w:cs="Times New Roman" w:eastAsia="Times New Roman" w:hAnsi="Times New Roman"/>
          <w:sz w:val="20"/>
          <w:szCs w:val="16"/>
        </w:rPr>
        <w:t xml:space="preserve">[10] B. Settles and B. Meeder, "A Trainable Spaced Repetition Model for Language Learning," in Proc. ACL, 2016, pp. 1848-1858.</w:t>
      </w:r>
    </w:p>
    <w:p>
      <w:pPr>
        <w:spacing w:after="40" w:line="240"/>
        <w:ind w:left="360" w:hanging="360"/>
        <w:jc w:val="both"/>
      </w:pPr>
      <w:r>
        <w:rPr>
          <w:rFonts w:ascii="Times New Roman" w:cs="Times New Roman" w:eastAsia="Times New Roman" w:hAnsi="Times New Roman"/>
          <w:sz w:val="20"/>
          <w:szCs w:val="16"/>
        </w:rPr>
        <w:t xml:space="preserve">[11] S. Ritter, J. Anderson, K. Koedinger, and A. Corbett, "Cognitive Tutor: Applied Research in Mathematics Education," Psychonomic Bulletin and Review, vol. 14, no. 2, pp. 249-255, 2019.</w:t>
      </w:r>
    </w:p>
    <w:p>
      <w:pPr>
        <w:spacing w:after="40" w:line="240"/>
        <w:ind w:left="360" w:hanging="360"/>
        <w:jc w:val="both"/>
      </w:pPr>
      <w:r>
        <w:rPr>
          <w:rFonts w:ascii="Times New Roman" w:cs="Times New Roman" w:eastAsia="Times New Roman" w:hAnsi="Times New Roman"/>
          <w:sz w:val="20"/>
          <w:szCs w:val="16"/>
        </w:rPr>
        <w:t xml:space="preserve">[12] P. Prinsloo, "Data frontiers and frontiers of power in (higher) education," Teaching in Higher Education, vol. 25, no. 4, pp. 434-450, 2020.</w:t>
      </w:r>
    </w:p>
    <w:p>
      <w:pPr>
        <w:spacing w:after="40" w:line="240"/>
        <w:ind w:left="360" w:hanging="360"/>
        <w:jc w:val="both"/>
      </w:pPr>
      <w:r>
        <w:rPr>
          <w:rFonts w:ascii="Times New Roman" w:cs="Times New Roman" w:eastAsia="Times New Roman" w:hAnsi="Times New Roman"/>
          <w:sz w:val="20"/>
          <w:szCs w:val="16"/>
        </w:rPr>
        <w:t xml:space="preserve">[13] J. Stamper and Z. Pardos, "The Rise and Fall of Knewton: Lessons for Adaptive Learning," Educational Technology Research and Development, vol. 69, pp. 2365-2383, 2021.</w:t>
      </w:r>
    </w:p>
    <w:p>
      <w:pPr>
        <w:spacing w:after="40" w:line="240"/>
        <w:ind w:left="360" w:hanging="360"/>
        <w:jc w:val="both"/>
      </w:pPr>
      <w:r>
        <w:rPr>
          <w:rFonts w:ascii="Times New Roman" w:cs="Times New Roman" w:eastAsia="Times New Roman" w:hAnsi="Times New Roman"/>
          <w:sz w:val="20"/>
          <w:szCs w:val="16"/>
        </w:rPr>
        <w:t xml:space="preserve">[14] A. T. Corbett and J. R. Anderson, "Knowledge Tracing: Modeling the Acquisition of Procedural Knowledge," User Modeling and User-Adapted Interaction, vol. 4, no. 4, pp. 253-278, 1994.</w:t>
      </w:r>
    </w:p>
    <w:p>
      <w:pPr>
        <w:spacing w:after="40" w:line="240"/>
        <w:ind w:left="360" w:hanging="360"/>
        <w:jc w:val="both"/>
      </w:pPr>
      <w:r>
        <w:rPr>
          <w:rFonts w:ascii="Times New Roman" w:cs="Times New Roman" w:eastAsia="Times New Roman" w:hAnsi="Times New Roman"/>
          <w:sz w:val="20"/>
          <w:szCs w:val="16"/>
        </w:rPr>
        <w:t xml:space="preserve">[15] Z. A. Pardos and N. T. Heffernan, "Modeling Individualization in a Bayesian Networks Implementation of Knowledge Tracing," in Proc. UMAP, 2010, pp. 255-266.</w:t>
      </w:r>
    </w:p>
    <w:p>
      <w:pPr>
        <w:spacing w:after="40" w:line="240"/>
        <w:ind w:left="360" w:hanging="360"/>
        <w:jc w:val="both"/>
      </w:pPr>
      <w:r>
        <w:rPr>
          <w:rFonts w:ascii="Times New Roman" w:cs="Times New Roman" w:eastAsia="Times New Roman" w:hAnsi="Times New Roman"/>
          <w:sz w:val="20"/>
          <w:szCs w:val="16"/>
        </w:rPr>
        <w:t xml:space="preserve">[16] C. Piech et al., "Deep Knowledge Tracing," in Advances in Neural Information Processing Systems (NeurIPS), vol. 28, 2015.</w:t>
      </w:r>
    </w:p>
    <w:p>
      <w:pPr>
        <w:spacing w:after="40" w:line="240"/>
        <w:ind w:left="360" w:hanging="360"/>
        <w:jc w:val="both"/>
      </w:pPr>
      <w:r>
        <w:rPr>
          <w:rFonts w:ascii="Times New Roman" w:cs="Times New Roman" w:eastAsia="Times New Roman" w:hAnsi="Times New Roman"/>
          <w:sz w:val="20"/>
          <w:szCs w:val="16"/>
        </w:rPr>
        <w:t xml:space="preserve">[17] J. Zhang, X. Shi, I. King, and D. Yeung, "Dynamic Key-Value Memory Networks for Knowledge Tracing," in Proc. WWW, 2017, pp. 765-774.</w:t>
      </w:r>
    </w:p>
    <w:p>
      <w:pPr>
        <w:spacing w:after="40" w:line="240"/>
        <w:ind w:left="360" w:hanging="360"/>
        <w:jc w:val="both"/>
      </w:pPr>
      <w:r>
        <w:rPr>
          <w:rFonts w:ascii="Times New Roman" w:cs="Times New Roman" w:eastAsia="Times New Roman" w:hAnsi="Times New Roman"/>
          <w:sz w:val="20"/>
          <w:szCs w:val="16"/>
        </w:rPr>
        <w:t xml:space="preserve">[18] K. VanLehn, "The Relative Effectiveness of Human Tutoring, Intelligent Tutoring Systems, and Other Tutoring Systems," Educational Psychologist, vol. 46, no. 4, pp. 197-221, 2011.</w:t>
      </w:r>
    </w:p>
    <w:p>
      <w:pPr>
        <w:spacing w:after="40" w:line="240"/>
        <w:ind w:left="360" w:hanging="360"/>
        <w:jc w:val="both"/>
      </w:pPr>
      <w:r>
        <w:rPr>
          <w:rFonts w:ascii="Times New Roman" w:cs="Times New Roman" w:eastAsia="Times New Roman" w:hAnsi="Times New Roman"/>
          <w:sz w:val="20"/>
          <w:szCs w:val="16"/>
        </w:rPr>
        <w:t xml:space="preserve">[19] A. C. Graesser et al., "AutoTutor: An Intelligent Tutoring System with Mixed-Initiative Dialogue," IEEE Transactions on Education, vol. 48, no. 4, pp. 612-618, 2005.</w:t>
      </w:r>
    </w:p>
    <w:p>
      <w:pPr>
        <w:spacing w:after="40" w:line="240"/>
        <w:ind w:left="360" w:hanging="360"/>
        <w:jc w:val="both"/>
      </w:pPr>
      <w:r>
        <w:rPr>
          <w:rFonts w:ascii="Times New Roman" w:cs="Times New Roman" w:eastAsia="Times New Roman" w:hAnsi="Times New Roman"/>
          <w:sz w:val="20"/>
          <w:szCs w:val="16"/>
        </w:rPr>
        <w:t xml:space="preserve">[20] M. Wooldridge and N. R. Jennings, "Intelligent Agents: Theory and Practice," The Knowledge Engineering Review, vol. 10, no. 2, pp. 115-152, 1995.</w:t>
      </w:r>
    </w:p>
    <w:p>
      <w:pPr>
        <w:spacing w:after="40" w:line="240"/>
        <w:ind w:left="360" w:hanging="360"/>
        <w:jc w:val="both"/>
      </w:pPr>
      <w:r>
        <w:rPr>
          <w:rFonts w:ascii="Times New Roman" w:cs="Times New Roman" w:eastAsia="Times New Roman" w:hAnsi="Times New Roman"/>
          <w:sz w:val="20"/>
          <w:szCs w:val="16"/>
        </w:rPr>
        <w:t xml:space="preserve">[21] J. S. Park et al., "Generative Agents: Interactive Simulacra of Human Behavior," in Proc. UIST, 2023.</w:t>
      </w:r>
    </w:p>
    <w:p>
      <w:pPr>
        <w:spacing w:after="40" w:line="240"/>
        <w:ind w:left="360" w:hanging="360"/>
        <w:jc w:val="both"/>
      </w:pPr>
      <w:r>
        <w:rPr>
          <w:rFonts w:ascii="Times New Roman" w:cs="Times New Roman" w:eastAsia="Times New Roman" w:hAnsi="Times New Roman"/>
          <w:sz w:val="20"/>
          <w:szCs w:val="16"/>
        </w:rPr>
        <w:t xml:space="preserve">[22] Anthropic, "Model Context Protocol Specification," Technical Documentation, 2024.</w:t>
      </w:r>
    </w:p>
    <w:p>
      <w:pPr>
        <w:spacing w:after="40" w:line="240"/>
        <w:ind w:left="360" w:hanging="360"/>
        <w:jc w:val="both"/>
      </w:pPr>
      <w:r>
        <w:rPr>
          <w:rFonts w:ascii="Times New Roman" w:cs="Times New Roman" w:eastAsia="Times New Roman" w:hAnsi="Times New Roman"/>
          <w:sz w:val="20"/>
          <w:szCs w:val="16"/>
        </w:rPr>
        <w:t xml:space="preserve">[23] B. McMahan et al., "Communication-Efficient Learning of Deep Networks from Decentralized Data," in Proc. AISTATS, 2017.</w:t>
      </w:r>
    </w:p>
    <w:p>
      <w:pPr>
        <w:spacing w:after="40" w:line="240"/>
        <w:ind w:left="360" w:hanging="360"/>
        <w:jc w:val="both"/>
      </w:pPr>
      <w:r>
        <w:rPr>
          <w:rFonts w:ascii="Times New Roman" w:cs="Times New Roman" w:eastAsia="Times New Roman" w:hAnsi="Times New Roman"/>
          <w:sz w:val="20"/>
          <w:szCs w:val="16"/>
        </w:rPr>
        <w:t xml:space="preserve">[24] UNESCO, "Guidance for Generative AI in Education and Research," UNESCO Publications, 2023.</w:t>
      </w:r>
    </w:p>
    <w:p>
      <w:pPr>
        <w:spacing w:after="40" w:line="240"/>
        <w:ind w:left="360" w:hanging="360"/>
        <w:jc w:val="both"/>
      </w:pPr>
      <w:r>
        <w:rPr>
          <w:rFonts w:ascii="Times New Roman" w:cs="Times New Roman" w:eastAsia="Times New Roman" w:hAnsi="Times New Roman"/>
          <w:sz w:val="20"/>
          <w:szCs w:val="16"/>
        </w:rPr>
        <w:t xml:space="preserve">[25] U.S. Department of Education, "Artificial Intelligence and the Future of Teaching and Learning," Office of Educational Technology, 2023.</w:t>
      </w:r>
    </w:p>
    <w:p>
      <w:pPr>
        <w:spacing w:after="40" w:line="240"/>
        <w:ind w:left="360" w:hanging="360"/>
        <w:jc w:val="both"/>
      </w:pPr>
      <w:r>
        <w:rPr>
          <w:rFonts w:ascii="Times New Roman" w:cs="Times New Roman" w:eastAsia="Times New Roman" w:hAnsi="Times New Roman"/>
          <w:sz w:val="20"/>
          <w:szCs w:val="16"/>
        </w:rPr>
        <w:t xml:space="preserve">[26] UNESCO, "Less than 10% of Schools and Universities Have Formal Guidance on AI," UNESCO Survey Report, 2024.</w:t>
      </w:r>
    </w:p>
    <w:p>
      <w:pPr>
        <w:spacing w:after="40" w:line="240"/>
        <w:ind w:left="360" w:hanging="360"/>
        <w:jc w:val="both"/>
      </w:pPr>
      <w:r>
        <w:rPr>
          <w:rFonts w:ascii="Times New Roman" w:cs="Times New Roman" w:eastAsia="Times New Roman" w:hAnsi="Times New Roman"/>
          <w:sz w:val="20"/>
          <w:szCs w:val="16"/>
        </w:rPr>
        <w:t xml:space="preserve">[27] M. Seligman, "Flourish: A Visionary New Understanding of Happiness and Well-being," Free Press, 2021.</w:t>
      </w:r>
    </w:p>
    <w:p>
      <w:pPr>
        <w:spacing w:after="40" w:line="240"/>
        <w:ind w:left="360" w:hanging="360"/>
        <w:jc w:val="both"/>
      </w:pPr>
      <w:r>
        <w:rPr>
          <w:rFonts w:ascii="Times New Roman" w:cs="Times New Roman" w:eastAsia="Times New Roman" w:hAnsi="Times New Roman"/>
          <w:sz w:val="20"/>
          <w:szCs w:val="16"/>
        </w:rPr>
        <w:t xml:space="preserve">[28] OECD, "OECD Digital Education Outlook 2023," OECD Publishing, 2023.</w:t>
      </w:r>
    </w:p>
    <w:p>
      <w:pPr>
        <w:spacing w:after="40" w:line="240"/>
        <w:ind w:left="360" w:hanging="360"/>
        <w:jc w:val="both"/>
      </w:pPr>
      <w:r>
        <w:rPr>
          <w:rFonts w:ascii="Times New Roman" w:cs="Times New Roman" w:eastAsia="Times New Roman" w:hAnsi="Times New Roman"/>
          <w:sz w:val="20"/>
          <w:szCs w:val="16"/>
        </w:rPr>
        <w:t xml:space="preserve">[29] A. Tsai et al., "Retrieval Practice Consistently Benefits Student Learning: A Systematic Review," Educational Psychology Review, vol. 33, pp. 1423-1451, 2021.</w:t>
      </w:r>
    </w:p>
    <w:p>
      <w:pPr>
        <w:jc w:val="both"/>
      </w:pPr>
      <w:r>
        <w:rPr>
          <w:rFonts w:ascii="Times New Roman" w:hAnsi="Times New Roman"/>
          <w:sz w:val="20"/>
        </w:rPr>
        <w:t>[30] I. Aljarah, "xAPI-Edu-Data," Kaggle dataset, 2016.</w:t>
      </w:r>
    </w:p>
    <w:p>
      <w:pPr>
        <w:jc w:val="both"/>
      </w:pPr>
      <w:r>
        <w:rPr>
          <w:rFonts w:ascii="Times New Roman" w:hAnsi="Times New Roman"/>
          <w:sz w:val="20"/>
        </w:rPr>
        <w:t>[31] Y. Choi, Y. Lee, J. Cho, J. Baek, B. Kim, and J. Heo, "EdNet: A Large-Scale Hierarchical Dataset in Education," in Proc. Int. Conf. Educational Data Mining (EDM), 2020.</w:t>
      </w:r>
    </w:p>
    <w:p>
      <w:pPr>
        <w:jc w:val="both"/>
      </w:pPr>
      <w:r>
        <w:rPr>
          <w:rFonts w:ascii="Times New Roman" w:hAnsi="Times New Roman"/>
          <w:sz w:val="20"/>
        </w:rPr>
        <w:t>[32] S. Pandey and G. Karypis, "A Self-Attentive Model for Knowledge Tracing," arXiv:1907.06837, 2019.</w:t>
      </w:r>
    </w:p>
    <w:sectPr>
      <w:headerReference w:type="default" r:id="rId7"/>
      <w:footerReference w:type="default" r:id="rId8"/>
      <w:pgSz w:w="12240" w:h="15840" w:orient="portrait"/>
      <w:pgMar w:top="1440" w:right="1440" w:bottom="1440" w:left="1440" w:header="708" w:footer="708" w:gutter="0"/>
      <w:pgNumType/>
      <w:cols w:space="48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6"/>
        <w:szCs w:val="16"/>
      </w:rPr>
      <w:t xml:space="preserve">IEEE TRANSACTIONS ON LEARNING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2026-03-09T01:19:08.984Z</dcterms:created>
  <dcterms:modified xsi:type="dcterms:W3CDTF">2026-03-09T01:19:08.984Z</dcterms:modified>
</cp:coreProperties>
</file>

<file path=docProps/custom.xml><?xml version="1.0" encoding="utf-8"?>
<Properties xmlns="http://schemas.openxmlformats.org/officeDocument/2006/custom-properties" xmlns:vt="http://schemas.openxmlformats.org/officeDocument/2006/docPropsVTypes"/>
</file>