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007C91"/>
          <w:sz w:val="30"/>
        </w:rPr>
        <w:t>END-TO-END MLOPS</w:t>
      </w:r>
    </w:p>
    <w:p>
      <w:pPr>
        <w:pStyle w:val="Title"/>
        <w:jc w:val="center"/>
      </w:pPr>
      <w:r>
        <w:t>Heart Disease Classification</w:t>
      </w:r>
    </w:p>
    <w:p>
      <w:pPr>
        <w:jc w:val="center"/>
      </w:pPr>
      <w:r>
        <w:rPr>
          <w:sz w:val="26"/>
        </w:rPr>
        <w:t>BITS Pilani WILP — M.Tech Artificial Intelligence and Machine Learning</w:t>
        <w:br/>
        <w:t>AIMLCZG523 — Machine Learning Operations | Assignment 1</w:t>
      </w:r>
    </w:p>
    <w:p/>
    <w:tbl>
      <w:tblPr>
        <w:tblStyle w:val="TableGrid"/>
        <w:tblW w:type="auto" w:w="0"/>
        <w:jc w:val="center"/>
        <w:tblLook w:firstColumn="1" w:firstRow="1" w:lastColumn="0" w:lastRow="0" w:noHBand="0" w:noVBand="1" w:val="04A0"/>
      </w:tblPr>
      <w:tblGrid>
        <w:gridCol w:w="5112"/>
        <w:gridCol w:w="5112"/>
      </w:tblGrid>
      <w:tr>
        <w:tc>
          <w:tcPr>
            <w:tcW w:type="dxa" w:w="5112"/>
            <w:shd w:fill="17365D"/>
          </w:tcPr>
          <w:p>
            <w:r>
              <w:rPr>
                <w:b/>
                <w:color w:val="FFFFFF"/>
                <w:sz w:val="18"/>
              </w:rPr>
              <w:t>Submission detail</w:t>
            </w:r>
          </w:p>
        </w:tc>
        <w:tc>
          <w:tcPr>
            <w:tcW w:type="dxa" w:w="5112"/>
            <w:shd w:fill="17365D"/>
          </w:tcPr>
          <w:p>
            <w:r>
              <w:rPr>
                <w:b/>
                <w:color w:val="FFFFFF"/>
                <w:sz w:val="18"/>
              </w:rPr>
              <w:t>Value</w:t>
            </w:r>
          </w:p>
        </w:tc>
      </w:tr>
      <w:tr>
        <w:tc>
          <w:tcPr>
            <w:tcW w:type="dxa" w:w="5112"/>
            <w:vAlign w:val="center"/>
          </w:tcPr>
          <w:p>
            <w:pPr>
              <w:spacing w:after="20"/>
            </w:pPr>
            <w:r>
              <w:rPr>
                <w:sz w:val="18"/>
              </w:rPr>
              <w:t>Student name</w:t>
            </w:r>
          </w:p>
        </w:tc>
        <w:tc>
          <w:tcPr>
            <w:tcW w:type="dxa" w:w="5112"/>
            <w:vAlign w:val="center"/>
          </w:tcPr>
          <w:p>
            <w:pPr>
              <w:spacing w:after="20"/>
            </w:pPr>
            <w:r>
              <w:rPr>
                <w:sz w:val="18"/>
              </w:rPr>
              <w:t>Harikishor M G</w:t>
            </w:r>
          </w:p>
        </w:tc>
      </w:tr>
      <w:tr>
        <w:tc>
          <w:tcPr>
            <w:tcW w:type="dxa" w:w="5112"/>
            <w:vAlign w:val="center"/>
            <w:shd w:fill="F2F6FA"/>
          </w:tcPr>
          <w:p>
            <w:pPr>
              <w:spacing w:after="20"/>
            </w:pPr>
            <w:r>
              <w:rPr>
                <w:sz w:val="18"/>
              </w:rPr>
              <w:t>Student ID</w:t>
            </w:r>
          </w:p>
        </w:tc>
        <w:tc>
          <w:tcPr>
            <w:tcW w:type="dxa" w:w="5112"/>
            <w:vAlign w:val="center"/>
            <w:shd w:fill="F2F6FA"/>
          </w:tcPr>
          <w:p>
            <w:pPr>
              <w:spacing w:after="20"/>
            </w:pPr>
            <w:r>
              <w:rPr>
                <w:sz w:val="18"/>
              </w:rPr>
              <w:t>2025AE05963</w:t>
            </w:r>
          </w:p>
        </w:tc>
      </w:tr>
      <w:tr>
        <w:tc>
          <w:tcPr>
            <w:tcW w:type="dxa" w:w="5112"/>
            <w:vAlign w:val="center"/>
          </w:tcPr>
          <w:p>
            <w:pPr>
              <w:spacing w:after="20"/>
            </w:pPr>
            <w:r>
              <w:rPr>
                <w:sz w:val="18"/>
              </w:rPr>
              <w:t>Repository</w:t>
            </w:r>
          </w:p>
        </w:tc>
        <w:tc>
          <w:tcPr>
            <w:tcW w:type="dxa" w:w="5112"/>
            <w:vAlign w:val="center"/>
          </w:tcPr>
          <w:p>
            <w:pPr>
              <w:spacing w:after="20"/>
            </w:pPr>
            <w:r>
              <w:rPr>
                <w:sz w:val="18"/>
              </w:rPr>
              <w:t>https://github.com/harikishormg1993-art/heart-disease-mlops.git</w:t>
            </w:r>
          </w:p>
        </w:tc>
      </w:tr>
      <w:tr>
        <w:tc>
          <w:tcPr>
            <w:tcW w:type="dxa" w:w="5112"/>
            <w:vAlign w:val="center"/>
            <w:shd w:fill="F2F6FA"/>
          </w:tcPr>
          <w:p>
            <w:pPr>
              <w:spacing w:after="20"/>
            </w:pPr>
            <w:r>
              <w:rPr>
                <w:sz w:val="18"/>
              </w:rPr>
              <w:t>Project</w:t>
            </w:r>
          </w:p>
        </w:tc>
        <w:tc>
          <w:tcPr>
            <w:tcW w:type="dxa" w:w="5112"/>
            <w:vAlign w:val="center"/>
            <w:shd w:fill="F2F6FA"/>
          </w:tcPr>
          <w:p>
            <w:pPr>
              <w:spacing w:after="20"/>
            </w:pPr>
            <w:r>
              <w:rPr>
                <w:sz w:val="18"/>
              </w:rPr>
              <w:t>Reproducible heart-disease classification and deployment workflow</w:t>
            </w:r>
          </w:p>
        </w:tc>
      </w:tr>
    </w:tbl>
    <w:p>
      <w:pPr>
        <w:spacing w:after="20"/>
      </w:pPr>
    </w:p>
    <w:p/>
    <w:p>
      <w:r>
        <w:rPr>
          <w:b/>
        </w:rPr>
        <w:t xml:space="preserve">Important scope statement: </w:t>
      </w:r>
      <w:r>
        <w:t>This is an educational demonstration using a small public dataset. It is not a clinically validated diagnostic system. Model scores and predicted probabilities must not be used for medical decisions.</w:t>
      </w:r>
    </w:p>
    <w:p>
      <w:r>
        <w:br w:type="page"/>
      </w:r>
    </w:p>
    <w:p>
      <w:pPr>
        <w:pStyle w:val="Heading1"/>
      </w:pPr>
      <w:r>
        <w:t>Abstract</w:t>
      </w:r>
    </w:p>
    <w:p>
      <w:r>
        <w:t>This project implements an end-to-end machine-learning operations (MLOps) workflow for binary classification using the processed Cleveland heart-disease dataset. It covers data acquisition and validation, exploratory data analysis (EDA), preprocessing, comparison of Logistic Regression and Random Forest, stratified five-fold cross-validation, holdout evaluation, MLflow experiment tracking, automated testing and linting, GitHub Actions CI, FastAPI serving, Docker packaging, local Kubernetes deployment, health probes, and Prometheus metrics.</w:t>
      </w:r>
    </w:p>
    <w:p>
      <w:r>
        <w:t>Model selection uses the highest mean stratified five-fold cross-validation ROC-AUC on the training split. Logistic Regression was selected (mean CV ROC-AUC 0.8963), although Random Forest achieved slightly higher holdout ROC-AUC (0.9545 vs. 0.9502) and better holdout accuracy. This distinction is important: selection followed the preconfigured CV rule, not the holdout score.</w:t>
      </w:r>
    </w:p>
    <w:p>
      <w:pPr>
        <w:pStyle w:val="Heading2"/>
      </w:pPr>
      <w:r>
        <w:t>Objectives</w:t>
      </w:r>
    </w:p>
    <w:p>
      <w:pPr>
        <w:pStyle w:val="ListBullet"/>
        <w:spacing w:after="40"/>
      </w:pPr>
      <w:r>
        <w:t>Create a reproducible data-to-model pipeline with explicit target mapping and preprocessing.</w:t>
      </w:r>
    </w:p>
    <w:p>
      <w:pPr>
        <w:pStyle w:val="ListBullet"/>
        <w:spacing w:after="40"/>
      </w:pPr>
      <w:r>
        <w:t>Compare Logistic Regression and Random Forest using CV and a holdout split.</w:t>
      </w:r>
    </w:p>
    <w:p>
      <w:pPr>
        <w:pStyle w:val="ListBullet"/>
        <w:spacing w:after="40"/>
      </w:pPr>
      <w:r>
        <w:t>Track parameters, metrics, evaluation plots, and model artifacts in MLflow.</w:t>
      </w:r>
    </w:p>
    <w:p>
      <w:pPr>
        <w:pStyle w:val="ListBullet"/>
        <w:spacing w:after="40"/>
      </w:pPr>
      <w:r>
        <w:t>Automate tests and linting through GitHub Actions.</w:t>
      </w:r>
    </w:p>
    <w:p>
      <w:pPr>
        <w:pStyle w:val="ListBullet"/>
        <w:spacing w:after="40"/>
      </w:pPr>
      <w:r>
        <w:t>Serve predictions with FastAPI, package with Docker, deploy to local Kubernetes, and capture monitoring evidence.</w:t>
      </w:r>
    </w:p>
    <w:p>
      <w:pPr>
        <w:pStyle w:val="Heading1"/>
      </w:pPr>
      <w:r>
        <w:t>1. Architecture and implementation</w:t>
      </w:r>
    </w:p>
    <w:p>
      <w:r>
        <w:t>The data module downloads and validates the public dataset, normalizes its schema, and writes processed data and metadata. The training module evaluates candidate scikit-learn pipelines, logs metrics and artifacts to MLflow, refits the selected pipeline for serving, and saves artifacts/model.joblib. FastAPI loads that artifact and exposes service, prediction, and metrics endpoints. Docker packages the API; a Kubernetes Deployment and ClusterIP Service run it locally.</w:t>
      </w:r>
    </w:p>
    <w:tbl>
      <w:tblPr>
        <w:tblStyle w:val="TableGrid"/>
        <w:tblW w:type="auto" w:w="0"/>
        <w:jc w:val="center"/>
        <w:tblLook w:firstColumn="1" w:firstRow="1" w:lastColumn="0" w:lastRow="0" w:noHBand="0" w:noVBand="1" w:val="04A0"/>
      </w:tblPr>
      <w:tblGrid>
        <w:gridCol w:w="5112"/>
        <w:gridCol w:w="5112"/>
      </w:tblGrid>
      <w:tr>
        <w:tc>
          <w:tcPr>
            <w:tcW w:type="dxa" w:w="5112"/>
            <w:shd w:fill="17365D"/>
          </w:tcPr>
          <w:p>
            <w:r>
              <w:rPr>
                <w:b/>
                <w:color w:val="FFFFFF"/>
                <w:sz w:val="16"/>
              </w:rPr>
              <w:t>Layer</w:t>
            </w:r>
          </w:p>
        </w:tc>
        <w:tc>
          <w:tcPr>
            <w:tcW w:type="dxa" w:w="5112"/>
            <w:shd w:fill="17365D"/>
          </w:tcPr>
          <w:p>
            <w:r>
              <w:rPr>
                <w:b/>
                <w:color w:val="FFFFFF"/>
                <w:sz w:val="16"/>
              </w:rPr>
              <w:t>Implementation / evidence</w:t>
            </w:r>
          </w:p>
        </w:tc>
      </w:tr>
      <w:tr>
        <w:tc>
          <w:tcPr>
            <w:tcW w:type="dxa" w:w="5112"/>
            <w:vAlign w:val="center"/>
          </w:tcPr>
          <w:p>
            <w:pPr>
              <w:spacing w:after="20"/>
            </w:pPr>
            <w:r>
              <w:rPr>
                <w:sz w:val="16"/>
              </w:rPr>
              <w:t>Data</w:t>
            </w:r>
          </w:p>
        </w:tc>
        <w:tc>
          <w:tcPr>
            <w:tcW w:type="dxa" w:w="5112"/>
            <w:vAlign w:val="center"/>
          </w:tcPr>
          <w:p>
            <w:pPr>
              <w:spacing w:after="20"/>
            </w:pPr>
            <w:r>
              <w:rPr>
                <w:sz w:val="16"/>
              </w:rPr>
              <w:t>UCI processed Cleveland dataset; source metadata and EDA summary</w:t>
            </w:r>
          </w:p>
        </w:tc>
      </w:tr>
      <w:tr>
        <w:tc>
          <w:tcPr>
            <w:tcW w:type="dxa" w:w="5112"/>
            <w:vAlign w:val="center"/>
            <w:shd w:fill="F2F6FA"/>
          </w:tcPr>
          <w:p>
            <w:pPr>
              <w:spacing w:after="20"/>
            </w:pPr>
            <w:r>
              <w:rPr>
                <w:sz w:val="16"/>
              </w:rPr>
              <w:t>Modelling</w:t>
            </w:r>
          </w:p>
        </w:tc>
        <w:tc>
          <w:tcPr>
            <w:tcW w:type="dxa" w:w="5112"/>
            <w:vAlign w:val="center"/>
            <w:shd w:fill="F2F6FA"/>
          </w:tcPr>
          <w:p>
            <w:pPr>
              <w:spacing w:after="20"/>
            </w:pPr>
            <w:r>
              <w:rPr>
                <w:sz w:val="16"/>
              </w:rPr>
              <w:t>scikit-learn pipelines: Logistic Regression and Random Forest</w:t>
            </w:r>
          </w:p>
        </w:tc>
      </w:tr>
      <w:tr>
        <w:tc>
          <w:tcPr>
            <w:tcW w:type="dxa" w:w="5112"/>
            <w:vAlign w:val="center"/>
          </w:tcPr>
          <w:p>
            <w:pPr>
              <w:spacing w:after="20"/>
            </w:pPr>
            <w:r>
              <w:rPr>
                <w:sz w:val="16"/>
              </w:rPr>
              <w:t>Tracking</w:t>
            </w:r>
          </w:p>
        </w:tc>
        <w:tc>
          <w:tcPr>
            <w:tcW w:type="dxa" w:w="5112"/>
            <w:vAlign w:val="center"/>
          </w:tcPr>
          <w:p>
            <w:pPr>
              <w:spacing w:after="20"/>
            </w:pPr>
            <w:r>
              <w:rPr>
                <w:sz w:val="16"/>
              </w:rPr>
              <w:t>MLflow experiment: heart-disease-classification</w:t>
            </w:r>
          </w:p>
        </w:tc>
      </w:tr>
      <w:tr>
        <w:tc>
          <w:tcPr>
            <w:tcW w:type="dxa" w:w="5112"/>
            <w:vAlign w:val="center"/>
            <w:shd w:fill="F2F6FA"/>
          </w:tcPr>
          <w:p>
            <w:pPr>
              <w:spacing w:after="20"/>
            </w:pPr>
            <w:r>
              <w:rPr>
                <w:sz w:val="16"/>
              </w:rPr>
              <w:t>Quality / CI</w:t>
            </w:r>
          </w:p>
        </w:tc>
        <w:tc>
          <w:tcPr>
            <w:tcW w:type="dxa" w:w="5112"/>
            <w:vAlign w:val="center"/>
            <w:shd w:fill="F2F6FA"/>
          </w:tcPr>
          <w:p>
            <w:pPr>
              <w:spacing w:after="20"/>
            </w:pPr>
            <w:r>
              <w:rPr>
                <w:sz w:val="16"/>
              </w:rPr>
              <w:t>pytest, Ruff, GitHub Actions workflow</w:t>
            </w:r>
          </w:p>
        </w:tc>
      </w:tr>
      <w:tr>
        <w:tc>
          <w:tcPr>
            <w:tcW w:type="dxa" w:w="5112"/>
            <w:vAlign w:val="center"/>
          </w:tcPr>
          <w:p>
            <w:pPr>
              <w:spacing w:after="20"/>
            </w:pPr>
            <w:r>
              <w:rPr>
                <w:sz w:val="16"/>
              </w:rPr>
              <w:t>Serving</w:t>
            </w:r>
          </w:p>
        </w:tc>
        <w:tc>
          <w:tcPr>
            <w:tcW w:type="dxa" w:w="5112"/>
            <w:vAlign w:val="center"/>
          </w:tcPr>
          <w:p>
            <w:pPr>
              <w:spacing w:after="20"/>
            </w:pPr>
            <w:r>
              <w:rPr>
                <w:sz w:val="16"/>
              </w:rPr>
              <w:t>FastAPI: /, /health, /predict, /metrics</w:t>
            </w:r>
          </w:p>
        </w:tc>
      </w:tr>
      <w:tr>
        <w:tc>
          <w:tcPr>
            <w:tcW w:type="dxa" w:w="5112"/>
            <w:vAlign w:val="center"/>
            <w:shd w:fill="F2F6FA"/>
          </w:tcPr>
          <w:p>
            <w:pPr>
              <w:spacing w:after="20"/>
            </w:pPr>
            <w:r>
              <w:rPr>
                <w:sz w:val="16"/>
              </w:rPr>
              <w:t>Packaging</w:t>
            </w:r>
          </w:p>
        </w:tc>
        <w:tc>
          <w:tcPr>
            <w:tcW w:type="dxa" w:w="5112"/>
            <w:vAlign w:val="center"/>
            <w:shd w:fill="F2F6FA"/>
          </w:tcPr>
          <w:p>
            <w:pPr>
              <w:spacing w:after="20"/>
            </w:pPr>
            <w:r>
              <w:rPr>
                <w:sz w:val="16"/>
              </w:rPr>
              <w:t>Docker image heart-disease-mlops:local</w:t>
            </w:r>
          </w:p>
        </w:tc>
      </w:tr>
      <w:tr>
        <w:tc>
          <w:tcPr>
            <w:tcW w:type="dxa" w:w="5112"/>
            <w:vAlign w:val="center"/>
          </w:tcPr>
          <w:p>
            <w:pPr>
              <w:spacing w:after="20"/>
            </w:pPr>
            <w:r>
              <w:rPr>
                <w:sz w:val="16"/>
              </w:rPr>
              <w:t>Orchestration</w:t>
            </w:r>
          </w:p>
        </w:tc>
        <w:tc>
          <w:tcPr>
            <w:tcW w:type="dxa" w:w="5112"/>
            <w:vAlign w:val="center"/>
          </w:tcPr>
          <w:p>
            <w:pPr>
              <w:spacing w:after="20"/>
            </w:pPr>
            <w:r>
              <w:rPr>
                <w:sz w:val="16"/>
              </w:rPr>
              <w:t>Docker Desktop Kubernetes Deployment and ClusterIP Service</w:t>
            </w:r>
          </w:p>
        </w:tc>
      </w:tr>
      <w:tr>
        <w:tc>
          <w:tcPr>
            <w:tcW w:type="dxa" w:w="5112"/>
            <w:vAlign w:val="center"/>
            <w:shd w:fill="F2F6FA"/>
          </w:tcPr>
          <w:p>
            <w:pPr>
              <w:spacing w:after="20"/>
            </w:pPr>
            <w:r>
              <w:rPr>
                <w:sz w:val="16"/>
              </w:rPr>
              <w:t>Observability</w:t>
            </w:r>
          </w:p>
        </w:tc>
        <w:tc>
          <w:tcPr>
            <w:tcW w:type="dxa" w:w="5112"/>
            <w:vAlign w:val="center"/>
            <w:shd w:fill="F2F6FA"/>
          </w:tcPr>
          <w:p>
            <w:pPr>
              <w:spacing w:after="20"/>
            </w:pPr>
            <w:r>
              <w:rPr>
                <w:sz w:val="16"/>
              </w:rPr>
              <w:t>Application logs, health probes, Prometheus request counters and latency histogram</w:t>
            </w:r>
          </w:p>
        </w:tc>
      </w:tr>
    </w:tbl>
    <w:p>
      <w:pPr>
        <w:spacing w:after="20"/>
      </w:pPr>
    </w:p>
    <w:p>
      <w:pPr>
        <w:pStyle w:val="Heading1"/>
      </w:pPr>
      <w:r>
        <w:t>2. Dataset acquisition and EDA</w:t>
      </w:r>
    </w:p>
    <w:p>
      <w:r>
        <w:t>Source URL: https://archive.ics.uci.edu/ml/machine-learning-databases/heart-disease/processed.cleveland.data</w:t>
      </w:r>
    </w:p>
    <w:p>
      <w:r>
        <w:t>The modelling dataset contains 303 rows and 13 predictor features. Original target value 0 maps to class 0; original values greater than 0 (commonly 1–4) map to class 1. The recorded target distribution is 164 class-0 records and 139 class-1 records.</w:t>
      </w:r>
    </w:p>
    <w:tbl>
      <w:tblPr>
        <w:tblStyle w:val="TableGrid"/>
        <w:tblW w:type="auto" w:w="0"/>
        <w:jc w:val="center"/>
        <w:tblLook w:firstColumn="1" w:firstRow="1" w:lastColumn="0" w:lastRow="0" w:noHBand="0" w:noVBand="1" w:val="04A0"/>
      </w:tblPr>
      <w:tblGrid>
        <w:gridCol w:w="5112"/>
        <w:gridCol w:w="5112"/>
      </w:tblGrid>
      <w:tr>
        <w:tc>
          <w:tcPr>
            <w:tcW w:type="dxa" w:w="5112"/>
            <w:shd w:fill="17365D"/>
          </w:tcPr>
          <w:p>
            <w:r>
              <w:rPr>
                <w:b/>
                <w:color w:val="FFFFFF"/>
                <w:sz w:val="17"/>
              </w:rPr>
              <w:t>Property</w:t>
            </w:r>
          </w:p>
        </w:tc>
        <w:tc>
          <w:tcPr>
            <w:tcW w:type="dxa" w:w="5112"/>
            <w:shd w:fill="17365D"/>
          </w:tcPr>
          <w:p>
            <w:r>
              <w:rPr>
                <w:b/>
                <w:color w:val="FFFFFF"/>
                <w:sz w:val="17"/>
              </w:rPr>
              <w:t>Recorded result</w:t>
            </w:r>
          </w:p>
        </w:tc>
      </w:tr>
      <w:tr>
        <w:tc>
          <w:tcPr>
            <w:tcW w:type="dxa" w:w="5112"/>
            <w:vAlign w:val="center"/>
          </w:tcPr>
          <w:p>
            <w:pPr>
              <w:spacing w:after="20"/>
            </w:pPr>
            <w:r>
              <w:rPr>
                <w:sz w:val="17"/>
              </w:rPr>
              <w:t>Rows</w:t>
            </w:r>
          </w:p>
        </w:tc>
        <w:tc>
          <w:tcPr>
            <w:tcW w:type="dxa" w:w="5112"/>
            <w:vAlign w:val="center"/>
          </w:tcPr>
          <w:p>
            <w:pPr>
              <w:spacing w:after="20"/>
            </w:pPr>
            <w:r>
              <w:rPr>
                <w:sz w:val="17"/>
              </w:rPr>
              <w:t>303</w:t>
            </w:r>
          </w:p>
        </w:tc>
      </w:tr>
      <w:tr>
        <w:tc>
          <w:tcPr>
            <w:tcW w:type="dxa" w:w="5112"/>
            <w:vAlign w:val="center"/>
            <w:shd w:fill="F2F6FA"/>
          </w:tcPr>
          <w:p>
            <w:pPr>
              <w:spacing w:after="20"/>
            </w:pPr>
            <w:r>
              <w:rPr>
                <w:sz w:val="17"/>
              </w:rPr>
              <w:t>Predictor features</w:t>
            </w:r>
          </w:p>
        </w:tc>
        <w:tc>
          <w:tcPr>
            <w:tcW w:type="dxa" w:w="5112"/>
            <w:vAlign w:val="center"/>
            <w:shd w:fill="F2F6FA"/>
          </w:tcPr>
          <w:p>
            <w:pPr>
              <w:spacing w:after="20"/>
            </w:pPr>
            <w:r>
              <w:rPr>
                <w:sz w:val="17"/>
              </w:rPr>
              <w:t>13</w:t>
            </w:r>
          </w:p>
        </w:tc>
      </w:tr>
      <w:tr>
        <w:tc>
          <w:tcPr>
            <w:tcW w:type="dxa" w:w="5112"/>
            <w:vAlign w:val="center"/>
          </w:tcPr>
          <w:p>
            <w:pPr>
              <w:spacing w:after="20"/>
            </w:pPr>
            <w:r>
              <w:rPr>
                <w:sz w:val="17"/>
              </w:rPr>
              <w:t>Target</w:t>
            </w:r>
          </w:p>
        </w:tc>
        <w:tc>
          <w:tcPr>
            <w:tcW w:type="dxa" w:w="5112"/>
            <w:vAlign w:val="center"/>
          </w:tcPr>
          <w:p>
            <w:pPr>
              <w:spacing w:after="20"/>
            </w:pPr>
            <w:r>
              <w:rPr>
                <w:sz w:val="17"/>
              </w:rPr>
              <w:t>Binary classes 0 and 1</w:t>
            </w:r>
          </w:p>
        </w:tc>
      </w:tr>
      <w:tr>
        <w:tc>
          <w:tcPr>
            <w:tcW w:type="dxa" w:w="5112"/>
            <w:vAlign w:val="center"/>
            <w:shd w:fill="F2F6FA"/>
          </w:tcPr>
          <w:p>
            <w:pPr>
              <w:spacing w:after="20"/>
            </w:pPr>
            <w:r>
              <w:rPr>
                <w:sz w:val="17"/>
              </w:rPr>
              <w:t>Class 0 count</w:t>
            </w:r>
          </w:p>
        </w:tc>
        <w:tc>
          <w:tcPr>
            <w:tcW w:type="dxa" w:w="5112"/>
            <w:vAlign w:val="center"/>
            <w:shd w:fill="F2F6FA"/>
          </w:tcPr>
          <w:p>
            <w:pPr>
              <w:spacing w:after="20"/>
            </w:pPr>
            <w:r>
              <w:rPr>
                <w:sz w:val="17"/>
              </w:rPr>
              <w:t>164</w:t>
            </w:r>
          </w:p>
        </w:tc>
      </w:tr>
      <w:tr>
        <w:tc>
          <w:tcPr>
            <w:tcW w:type="dxa" w:w="5112"/>
            <w:vAlign w:val="center"/>
          </w:tcPr>
          <w:p>
            <w:pPr>
              <w:spacing w:after="20"/>
            </w:pPr>
            <w:r>
              <w:rPr>
                <w:sz w:val="17"/>
              </w:rPr>
              <w:t>Class 1 count</w:t>
            </w:r>
          </w:p>
        </w:tc>
        <w:tc>
          <w:tcPr>
            <w:tcW w:type="dxa" w:w="5112"/>
            <w:vAlign w:val="center"/>
          </w:tcPr>
          <w:p>
            <w:pPr>
              <w:spacing w:after="20"/>
            </w:pPr>
            <w:r>
              <w:rPr>
                <w:sz w:val="17"/>
              </w:rPr>
              <w:t>139</w:t>
            </w:r>
          </w:p>
        </w:tc>
      </w:tr>
      <w:tr>
        <w:tc>
          <w:tcPr>
            <w:tcW w:type="dxa" w:w="5112"/>
            <w:vAlign w:val="center"/>
            <w:shd w:fill="F2F6FA"/>
          </w:tcPr>
          <w:p>
            <w:pPr>
              <w:spacing w:after="20"/>
            </w:pPr>
            <w:r>
              <w:rPr>
                <w:sz w:val="17"/>
              </w:rPr>
              <w:t>Missing values</w:t>
            </w:r>
          </w:p>
        </w:tc>
        <w:tc>
          <w:tcPr>
            <w:tcW w:type="dxa" w:w="5112"/>
            <w:vAlign w:val="center"/>
            <w:shd w:fill="F2F6FA"/>
          </w:tcPr>
          <w:p>
            <w:pPr>
              <w:spacing w:after="20"/>
            </w:pPr>
            <w:r>
              <w:rPr>
                <w:sz w:val="17"/>
              </w:rPr>
              <w:t>ca: 4; thal: 2</w:t>
            </w:r>
          </w:p>
        </w:tc>
      </w:tr>
      <w:tr>
        <w:tc>
          <w:tcPr>
            <w:tcW w:type="dxa" w:w="5112"/>
            <w:vAlign w:val="center"/>
          </w:tcPr>
          <w:p>
            <w:pPr>
              <w:spacing w:after="20"/>
            </w:pPr>
            <w:r>
              <w:rPr>
                <w:sz w:val="17"/>
              </w:rPr>
              <w:t>Source metadata retrieval timestamp</w:t>
            </w:r>
          </w:p>
        </w:tc>
        <w:tc>
          <w:tcPr>
            <w:tcW w:type="dxa" w:w="5112"/>
            <w:vAlign w:val="center"/>
          </w:tcPr>
          <w:p>
            <w:pPr>
              <w:spacing w:after="20"/>
            </w:pPr>
            <w:r>
              <w:rPr>
                <w:sz w:val="17"/>
              </w:rPr>
              <w:t>2026-10-17 12:59:46 UTC</w:t>
            </w:r>
          </w:p>
        </w:tc>
      </w:tr>
    </w:tbl>
    <w:p>
      <w:pPr>
        <w:spacing w:after="20"/>
      </w:pPr>
    </w:p>
    <w:p>
      <w:r>
        <w:t>Missing values are handled inside the modelling pipeline using median imputation. The target is excluded from predictors. EDA results are recorded in evidence/metrics/eda_summary.json; the project also generates EDA figures. The target distribution is reasonably balanced for a baseline exercise, though class counts alone do not establish representativeness.</w:t>
      </w:r>
    </w:p>
    <w:p>
      <w:r>
        <w:t>Data-quality caveat: public mirrors can change; retain and verify the source URL, schema, missing values, and target counts on rerun. EDA patterns are descriptive, not causal.</w:t>
      </w:r>
    </w:p>
    <w:p>
      <w:pPr>
        <w:pStyle w:val="Heading1"/>
      </w:pPr>
      <w:r>
        <w:t>3. Feature engineering and modelling</w:t>
      </w:r>
    </w:p>
    <w:p>
      <w:pPr>
        <w:pStyle w:val="Heading2"/>
      </w:pPr>
      <w:r>
        <w:t>3.1 Preprocessing and split</w:t>
      </w:r>
    </w:p>
    <w:p>
      <w:pPr>
        <w:pStyle w:val="ListBullet"/>
        <w:spacing w:after="40"/>
      </w:pPr>
      <w:r>
        <w:t>ColumnTransformer selects the defined 13 predictors and excludes the target.</w:t>
      </w:r>
    </w:p>
    <w:p>
      <w:pPr>
        <w:pStyle w:val="ListBullet"/>
        <w:spacing w:after="40"/>
      </w:pPr>
      <w:r>
        <w:t>Numeric pipeline: SimpleImputer(strategy='median') followed by StandardScaler().</w:t>
      </w:r>
    </w:p>
    <w:p>
      <w:pPr>
        <w:pStyle w:val="ListBullet"/>
        <w:spacing w:after="40"/>
      </w:pPr>
      <w:r>
        <w:t>Split: train_test_split(test_size=0.2, stratify=y, random_state=42).</w:t>
      </w:r>
    </w:p>
    <w:p>
      <w:pPr>
        <w:pStyle w:val="ListBullet"/>
        <w:spacing w:after="40"/>
      </w:pPr>
      <w:r>
        <w:t>CV: StratifiedKFold(n_splits=5, shuffle=True, random_state=42).</w:t>
      </w:r>
    </w:p>
    <w:p>
      <w:pPr>
        <w:pStyle w:val="ListBullet"/>
        <w:spacing w:after="40"/>
      </w:pPr>
      <w:r>
        <w:t>Categorical fields encoded as numbers in the source are currently treated as numeric; this is a documented limitation.</w:t>
      </w:r>
    </w:p>
    <w:p>
      <w:pPr>
        <w:pStyle w:val="Heading2"/>
      </w:pPr>
      <w:r>
        <w:t>3.2 Candidate estimators</w:t>
      </w:r>
    </w:p>
    <w:tbl>
      <w:tblPr>
        <w:tblStyle w:val="TableGrid"/>
        <w:tblW w:type="auto" w:w="0"/>
        <w:jc w:val="center"/>
        <w:tblLook w:firstColumn="1" w:firstRow="1" w:lastColumn="0" w:lastRow="0" w:noHBand="0" w:noVBand="1" w:val="04A0"/>
      </w:tblPr>
      <w:tblGrid>
        <w:gridCol w:w="5112"/>
        <w:gridCol w:w="5112"/>
      </w:tblGrid>
      <w:tr>
        <w:tc>
          <w:tcPr>
            <w:tcW w:type="dxa" w:w="5112"/>
            <w:shd w:fill="17365D"/>
          </w:tcPr>
          <w:p>
            <w:r>
              <w:rPr>
                <w:b/>
                <w:color w:val="FFFFFF"/>
                <w:sz w:val="17"/>
              </w:rPr>
              <w:t>Model</w:t>
            </w:r>
          </w:p>
        </w:tc>
        <w:tc>
          <w:tcPr>
            <w:tcW w:type="dxa" w:w="5112"/>
            <w:shd w:fill="17365D"/>
          </w:tcPr>
          <w:p>
            <w:r>
              <w:rPr>
                <w:b/>
                <w:color w:val="FFFFFF"/>
                <w:sz w:val="17"/>
              </w:rPr>
              <w:t>Configuration</w:t>
            </w:r>
          </w:p>
        </w:tc>
      </w:tr>
      <w:tr>
        <w:tc>
          <w:tcPr>
            <w:tcW w:type="dxa" w:w="5112"/>
            <w:vAlign w:val="center"/>
          </w:tcPr>
          <w:p>
            <w:pPr>
              <w:spacing w:after="20"/>
            </w:pPr>
            <w:r>
              <w:rPr>
                <w:sz w:val="17"/>
              </w:rPr>
              <w:t>Logistic Regression</w:t>
            </w:r>
          </w:p>
        </w:tc>
        <w:tc>
          <w:tcPr>
            <w:tcW w:type="dxa" w:w="5112"/>
            <w:vAlign w:val="center"/>
          </w:tcPr>
          <w:p>
            <w:pPr>
              <w:spacing w:after="20"/>
            </w:pPr>
            <w:r>
              <w:rPr>
                <w:sz w:val="17"/>
              </w:rPr>
              <w:t>max_iter=2000; class_weight='balanced'</w:t>
            </w:r>
          </w:p>
        </w:tc>
      </w:tr>
      <w:tr>
        <w:tc>
          <w:tcPr>
            <w:tcW w:type="dxa" w:w="5112"/>
            <w:vAlign w:val="center"/>
            <w:shd w:fill="F2F6FA"/>
          </w:tcPr>
          <w:p>
            <w:pPr>
              <w:spacing w:after="20"/>
            </w:pPr>
            <w:r>
              <w:rPr>
                <w:sz w:val="17"/>
              </w:rPr>
              <w:t>Random Forest</w:t>
            </w:r>
          </w:p>
        </w:tc>
        <w:tc>
          <w:tcPr>
            <w:tcW w:type="dxa" w:w="5112"/>
            <w:vAlign w:val="center"/>
            <w:shd w:fill="F2F6FA"/>
          </w:tcPr>
          <w:p>
            <w:pPr>
              <w:spacing w:after="20"/>
            </w:pPr>
            <w:r>
              <w:rPr>
                <w:sz w:val="17"/>
              </w:rPr>
              <w:t>n_estimators=300; min_samples_leaf=2; class_weight='balanced'; random_state=42; n_jobs=-1</w:t>
            </w:r>
          </w:p>
        </w:tc>
      </w:tr>
    </w:tbl>
    <w:p>
      <w:pPr>
        <w:spacing w:after="20"/>
      </w:pPr>
    </w:p>
    <w:p>
      <w:pPr>
        <w:pStyle w:val="Heading2"/>
      </w:pPr>
      <w:r>
        <w:t>3.3 Recorded results</w:t>
      </w:r>
    </w:p>
    <w:p>
      <w:r>
        <w:t>CV values are means across five folds. Test values are from the single holdout split.</w:t>
      </w:r>
    </w:p>
    <w:tbl>
      <w:tblPr>
        <w:tblStyle w:val="TableGrid"/>
        <w:tblW w:type="auto" w:w="0"/>
        <w:jc w:val="center"/>
        <w:tblLook w:firstColumn="1" w:firstRow="1" w:lastColumn="0" w:lastRow="0" w:noHBand="0" w:noVBand="1" w:val="04A0"/>
      </w:tblPr>
      <w:tblGrid>
        <w:gridCol w:w="1136"/>
        <w:gridCol w:w="1136"/>
        <w:gridCol w:w="1136"/>
        <w:gridCol w:w="1136"/>
        <w:gridCol w:w="1136"/>
        <w:gridCol w:w="1136"/>
        <w:gridCol w:w="1136"/>
        <w:gridCol w:w="1136"/>
        <w:gridCol w:w="1136"/>
      </w:tblGrid>
      <w:tr>
        <w:tc>
          <w:tcPr>
            <w:tcW w:type="dxa" w:w="1136"/>
            <w:shd w:fill="17365D"/>
          </w:tcPr>
          <w:p>
            <w:r>
              <w:rPr>
                <w:b/>
                <w:color w:val="FFFFFF"/>
                <w:sz w:val="13"/>
              </w:rPr>
              <w:t>Model</w:t>
            </w:r>
          </w:p>
        </w:tc>
        <w:tc>
          <w:tcPr>
            <w:tcW w:type="dxa" w:w="1136"/>
            <w:shd w:fill="17365D"/>
          </w:tcPr>
          <w:p>
            <w:r>
              <w:rPr>
                <w:b/>
                <w:color w:val="FFFFFF"/>
                <w:sz w:val="13"/>
              </w:rPr>
              <w:t>CV acc.</w:t>
            </w:r>
          </w:p>
        </w:tc>
        <w:tc>
          <w:tcPr>
            <w:tcW w:type="dxa" w:w="1136"/>
            <w:shd w:fill="17365D"/>
          </w:tcPr>
          <w:p>
            <w:r>
              <w:rPr>
                <w:b/>
                <w:color w:val="FFFFFF"/>
                <w:sz w:val="13"/>
              </w:rPr>
              <w:t>CV prec.</w:t>
            </w:r>
          </w:p>
        </w:tc>
        <w:tc>
          <w:tcPr>
            <w:tcW w:type="dxa" w:w="1136"/>
            <w:shd w:fill="17365D"/>
          </w:tcPr>
          <w:p>
            <w:r>
              <w:rPr>
                <w:b/>
                <w:color w:val="FFFFFF"/>
                <w:sz w:val="13"/>
              </w:rPr>
              <w:t>CV recall</w:t>
            </w:r>
          </w:p>
        </w:tc>
        <w:tc>
          <w:tcPr>
            <w:tcW w:type="dxa" w:w="1136"/>
            <w:shd w:fill="17365D"/>
          </w:tcPr>
          <w:p>
            <w:r>
              <w:rPr>
                <w:b/>
                <w:color w:val="FFFFFF"/>
                <w:sz w:val="13"/>
              </w:rPr>
              <w:t>CV ROC-AUC</w:t>
            </w:r>
          </w:p>
        </w:tc>
        <w:tc>
          <w:tcPr>
            <w:tcW w:type="dxa" w:w="1136"/>
            <w:shd w:fill="17365D"/>
          </w:tcPr>
          <w:p>
            <w:r>
              <w:rPr>
                <w:b/>
                <w:color w:val="FFFFFF"/>
                <w:sz w:val="13"/>
              </w:rPr>
              <w:t>Test acc.</w:t>
            </w:r>
          </w:p>
        </w:tc>
        <w:tc>
          <w:tcPr>
            <w:tcW w:type="dxa" w:w="1136"/>
            <w:shd w:fill="17365D"/>
          </w:tcPr>
          <w:p>
            <w:r>
              <w:rPr>
                <w:b/>
                <w:color w:val="FFFFFF"/>
                <w:sz w:val="13"/>
              </w:rPr>
              <w:t>Test prec.</w:t>
            </w:r>
          </w:p>
        </w:tc>
        <w:tc>
          <w:tcPr>
            <w:tcW w:type="dxa" w:w="1136"/>
            <w:shd w:fill="17365D"/>
          </w:tcPr>
          <w:p>
            <w:r>
              <w:rPr>
                <w:b/>
                <w:color w:val="FFFFFF"/>
                <w:sz w:val="13"/>
              </w:rPr>
              <w:t>Test recall</w:t>
            </w:r>
          </w:p>
        </w:tc>
        <w:tc>
          <w:tcPr>
            <w:tcW w:type="dxa" w:w="1136"/>
            <w:shd w:fill="17365D"/>
          </w:tcPr>
          <w:p>
            <w:r>
              <w:rPr>
                <w:b/>
                <w:color w:val="FFFFFF"/>
                <w:sz w:val="13"/>
              </w:rPr>
              <w:t>Test ROC-AUC</w:t>
            </w:r>
          </w:p>
        </w:tc>
      </w:tr>
      <w:tr>
        <w:tc>
          <w:tcPr>
            <w:tcW w:type="dxa" w:w="1136"/>
            <w:vAlign w:val="center"/>
          </w:tcPr>
          <w:p>
            <w:pPr>
              <w:spacing w:after="20"/>
            </w:pPr>
            <w:r>
              <w:rPr>
                <w:sz w:val="13"/>
              </w:rPr>
              <w:t>Logistic Regression</w:t>
            </w:r>
          </w:p>
        </w:tc>
        <w:tc>
          <w:tcPr>
            <w:tcW w:type="dxa" w:w="1136"/>
            <w:vAlign w:val="center"/>
          </w:tcPr>
          <w:p>
            <w:pPr>
              <w:spacing w:after="20"/>
            </w:pPr>
            <w:r>
              <w:rPr>
                <w:sz w:val="13"/>
              </w:rPr>
              <w:t>0.8139</w:t>
            </w:r>
          </w:p>
        </w:tc>
        <w:tc>
          <w:tcPr>
            <w:tcW w:type="dxa" w:w="1136"/>
            <w:vAlign w:val="center"/>
          </w:tcPr>
          <w:p>
            <w:pPr>
              <w:spacing w:after="20"/>
            </w:pPr>
            <w:r>
              <w:rPr>
                <w:sz w:val="13"/>
              </w:rPr>
              <w:t>0.8154</w:t>
            </w:r>
          </w:p>
        </w:tc>
        <w:tc>
          <w:tcPr>
            <w:tcW w:type="dxa" w:w="1136"/>
            <w:vAlign w:val="center"/>
          </w:tcPr>
          <w:p>
            <w:pPr>
              <w:spacing w:after="20"/>
            </w:pPr>
            <w:r>
              <w:rPr>
                <w:sz w:val="13"/>
              </w:rPr>
              <w:t>0.7739</w:t>
            </w:r>
          </w:p>
        </w:tc>
        <w:tc>
          <w:tcPr>
            <w:tcW w:type="dxa" w:w="1136"/>
            <w:vAlign w:val="center"/>
          </w:tcPr>
          <w:p>
            <w:pPr>
              <w:spacing w:after="20"/>
            </w:pPr>
            <w:r>
              <w:rPr>
                <w:sz w:val="13"/>
              </w:rPr>
              <w:t>0.8963</w:t>
            </w:r>
          </w:p>
        </w:tc>
        <w:tc>
          <w:tcPr>
            <w:tcW w:type="dxa" w:w="1136"/>
            <w:vAlign w:val="center"/>
          </w:tcPr>
          <w:p>
            <w:pPr>
              <w:spacing w:after="20"/>
            </w:pPr>
            <w:r>
              <w:rPr>
                <w:sz w:val="13"/>
              </w:rPr>
              <w:t>0.8689</w:t>
            </w:r>
          </w:p>
        </w:tc>
        <w:tc>
          <w:tcPr>
            <w:tcW w:type="dxa" w:w="1136"/>
            <w:vAlign w:val="center"/>
          </w:tcPr>
          <w:p>
            <w:pPr>
              <w:spacing w:after="20"/>
            </w:pPr>
            <w:r>
              <w:rPr>
                <w:sz w:val="13"/>
              </w:rPr>
              <w:t>0.8125</w:t>
            </w:r>
          </w:p>
        </w:tc>
        <w:tc>
          <w:tcPr>
            <w:tcW w:type="dxa" w:w="1136"/>
            <w:vAlign w:val="center"/>
          </w:tcPr>
          <w:p>
            <w:pPr>
              <w:spacing w:after="20"/>
            </w:pPr>
            <w:r>
              <w:rPr>
                <w:sz w:val="13"/>
              </w:rPr>
              <w:t>0.9286</w:t>
            </w:r>
          </w:p>
        </w:tc>
        <w:tc>
          <w:tcPr>
            <w:tcW w:type="dxa" w:w="1136"/>
            <w:vAlign w:val="center"/>
          </w:tcPr>
          <w:p>
            <w:pPr>
              <w:spacing w:after="20"/>
            </w:pPr>
            <w:r>
              <w:rPr>
                <w:sz w:val="13"/>
              </w:rPr>
              <w:t>0.9502</w:t>
            </w:r>
          </w:p>
        </w:tc>
      </w:tr>
      <w:tr>
        <w:tc>
          <w:tcPr>
            <w:tcW w:type="dxa" w:w="1136"/>
            <w:vAlign w:val="center"/>
            <w:shd w:fill="F2F6FA"/>
          </w:tcPr>
          <w:p>
            <w:pPr>
              <w:spacing w:after="20"/>
            </w:pPr>
            <w:r>
              <w:rPr>
                <w:sz w:val="13"/>
              </w:rPr>
              <w:t>Random Forest</w:t>
            </w:r>
          </w:p>
        </w:tc>
        <w:tc>
          <w:tcPr>
            <w:tcW w:type="dxa" w:w="1136"/>
            <w:vAlign w:val="center"/>
            <w:shd w:fill="F2F6FA"/>
          </w:tcPr>
          <w:p>
            <w:pPr>
              <w:spacing w:after="20"/>
            </w:pPr>
            <w:r>
              <w:rPr>
                <w:sz w:val="13"/>
              </w:rPr>
              <w:t>0.7930</w:t>
            </w:r>
          </w:p>
        </w:tc>
        <w:tc>
          <w:tcPr>
            <w:tcW w:type="dxa" w:w="1136"/>
            <w:vAlign w:val="center"/>
            <w:shd w:fill="F2F6FA"/>
          </w:tcPr>
          <w:p>
            <w:pPr>
              <w:spacing w:after="20"/>
            </w:pPr>
            <w:r>
              <w:rPr>
                <w:sz w:val="13"/>
              </w:rPr>
              <w:t>0.7895</w:t>
            </w:r>
          </w:p>
        </w:tc>
        <w:tc>
          <w:tcPr>
            <w:tcW w:type="dxa" w:w="1136"/>
            <w:vAlign w:val="center"/>
            <w:shd w:fill="F2F6FA"/>
          </w:tcPr>
          <w:p>
            <w:pPr>
              <w:spacing w:after="20"/>
            </w:pPr>
            <w:r>
              <w:rPr>
                <w:sz w:val="13"/>
              </w:rPr>
              <w:t>0.7557</w:t>
            </w:r>
          </w:p>
        </w:tc>
        <w:tc>
          <w:tcPr>
            <w:tcW w:type="dxa" w:w="1136"/>
            <w:vAlign w:val="center"/>
            <w:shd w:fill="F2F6FA"/>
          </w:tcPr>
          <w:p>
            <w:pPr>
              <w:spacing w:after="20"/>
            </w:pPr>
            <w:r>
              <w:rPr>
                <w:sz w:val="13"/>
              </w:rPr>
              <w:t>0.8828</w:t>
            </w:r>
          </w:p>
        </w:tc>
        <w:tc>
          <w:tcPr>
            <w:tcW w:type="dxa" w:w="1136"/>
            <w:vAlign w:val="center"/>
            <w:shd w:fill="F2F6FA"/>
          </w:tcPr>
          <w:p>
            <w:pPr>
              <w:spacing w:after="20"/>
            </w:pPr>
            <w:r>
              <w:rPr>
                <w:sz w:val="13"/>
              </w:rPr>
              <w:t>0.9180</w:t>
            </w:r>
          </w:p>
        </w:tc>
        <w:tc>
          <w:tcPr>
            <w:tcW w:type="dxa" w:w="1136"/>
            <w:vAlign w:val="center"/>
            <w:shd w:fill="F2F6FA"/>
          </w:tcPr>
          <w:p>
            <w:pPr>
              <w:spacing w:after="20"/>
            </w:pPr>
            <w:r>
              <w:rPr>
                <w:sz w:val="13"/>
              </w:rPr>
              <w:t>0.8710</w:t>
            </w:r>
          </w:p>
        </w:tc>
        <w:tc>
          <w:tcPr>
            <w:tcW w:type="dxa" w:w="1136"/>
            <w:vAlign w:val="center"/>
            <w:shd w:fill="F2F6FA"/>
          </w:tcPr>
          <w:p>
            <w:pPr>
              <w:spacing w:after="20"/>
            </w:pPr>
            <w:r>
              <w:rPr>
                <w:sz w:val="13"/>
              </w:rPr>
              <w:t>0.9643</w:t>
            </w:r>
          </w:p>
        </w:tc>
        <w:tc>
          <w:tcPr>
            <w:tcW w:type="dxa" w:w="1136"/>
            <w:vAlign w:val="center"/>
            <w:shd w:fill="F2F6FA"/>
          </w:tcPr>
          <w:p>
            <w:pPr>
              <w:spacing w:after="20"/>
            </w:pPr>
            <w:r>
              <w:rPr>
                <w:sz w:val="13"/>
              </w:rPr>
              <w:t>0.9545</w:t>
            </w:r>
          </w:p>
        </w:tc>
      </w:tr>
    </w:tbl>
    <w:p>
      <w:pPr>
        <w:spacing w:after="20"/>
      </w:pP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17365D"/>
          </w:tcPr>
          <w:p>
            <w:r>
              <w:rPr>
                <w:b/>
                <w:color w:val="FFFFFF"/>
                <w:sz w:val="16"/>
              </w:rPr>
              <w:t>CV standard deviation</w:t>
            </w:r>
          </w:p>
        </w:tc>
        <w:tc>
          <w:tcPr>
            <w:tcW w:type="dxa" w:w="2045"/>
            <w:shd w:fill="17365D"/>
          </w:tcPr>
          <w:p>
            <w:r>
              <w:rPr>
                <w:b/>
                <w:color w:val="FFFFFF"/>
                <w:sz w:val="16"/>
              </w:rPr>
              <w:t>Accuracy</w:t>
            </w:r>
          </w:p>
        </w:tc>
        <w:tc>
          <w:tcPr>
            <w:tcW w:type="dxa" w:w="2045"/>
            <w:shd w:fill="17365D"/>
          </w:tcPr>
          <w:p>
            <w:r>
              <w:rPr>
                <w:b/>
                <w:color w:val="FFFFFF"/>
                <w:sz w:val="16"/>
              </w:rPr>
              <w:t>Precision</w:t>
            </w:r>
          </w:p>
        </w:tc>
        <w:tc>
          <w:tcPr>
            <w:tcW w:type="dxa" w:w="2045"/>
            <w:shd w:fill="17365D"/>
          </w:tcPr>
          <w:p>
            <w:r>
              <w:rPr>
                <w:b/>
                <w:color w:val="FFFFFF"/>
                <w:sz w:val="16"/>
              </w:rPr>
              <w:t>Recall</w:t>
            </w:r>
          </w:p>
        </w:tc>
        <w:tc>
          <w:tcPr>
            <w:tcW w:type="dxa" w:w="2045"/>
            <w:shd w:fill="17365D"/>
          </w:tcPr>
          <w:p>
            <w:r>
              <w:rPr>
                <w:b/>
                <w:color w:val="FFFFFF"/>
                <w:sz w:val="16"/>
              </w:rPr>
              <w:t>ROC-AUC</w:t>
            </w:r>
          </w:p>
        </w:tc>
      </w:tr>
      <w:tr>
        <w:tc>
          <w:tcPr>
            <w:tcW w:type="dxa" w:w="2045"/>
            <w:vAlign w:val="center"/>
          </w:tcPr>
          <w:p>
            <w:pPr>
              <w:spacing w:after="20"/>
            </w:pPr>
            <w:r>
              <w:rPr>
                <w:sz w:val="16"/>
              </w:rPr>
              <w:t>Logistic Regression</w:t>
            </w:r>
          </w:p>
        </w:tc>
        <w:tc>
          <w:tcPr>
            <w:tcW w:type="dxa" w:w="2045"/>
            <w:vAlign w:val="center"/>
          </w:tcPr>
          <w:p>
            <w:pPr>
              <w:spacing w:after="20"/>
            </w:pPr>
            <w:r>
              <w:rPr>
                <w:sz w:val="16"/>
              </w:rPr>
              <w:t>0.0263</w:t>
            </w:r>
          </w:p>
        </w:tc>
        <w:tc>
          <w:tcPr>
            <w:tcW w:type="dxa" w:w="2045"/>
            <w:vAlign w:val="center"/>
          </w:tcPr>
          <w:p>
            <w:pPr>
              <w:spacing w:after="20"/>
            </w:pPr>
            <w:r>
              <w:rPr>
                <w:sz w:val="16"/>
              </w:rPr>
              <w:t>0.0496</w:t>
            </w:r>
          </w:p>
        </w:tc>
        <w:tc>
          <w:tcPr>
            <w:tcW w:type="dxa" w:w="2045"/>
            <w:vAlign w:val="center"/>
          </w:tcPr>
          <w:p>
            <w:pPr>
              <w:spacing w:after="20"/>
            </w:pPr>
            <w:r>
              <w:rPr>
                <w:sz w:val="16"/>
              </w:rPr>
              <w:t>0.0738</w:t>
            </w:r>
          </w:p>
        </w:tc>
        <w:tc>
          <w:tcPr>
            <w:tcW w:type="dxa" w:w="2045"/>
            <w:vAlign w:val="center"/>
          </w:tcPr>
          <w:p>
            <w:pPr>
              <w:spacing w:after="20"/>
            </w:pPr>
            <w:r>
              <w:rPr>
                <w:sz w:val="16"/>
              </w:rPr>
              <w:t>0.0158</w:t>
            </w:r>
          </w:p>
        </w:tc>
      </w:tr>
      <w:tr>
        <w:tc>
          <w:tcPr>
            <w:tcW w:type="dxa" w:w="2045"/>
            <w:vAlign w:val="center"/>
            <w:shd w:fill="F2F6FA"/>
          </w:tcPr>
          <w:p>
            <w:pPr>
              <w:spacing w:after="20"/>
            </w:pPr>
            <w:r>
              <w:rPr>
                <w:sz w:val="16"/>
              </w:rPr>
              <w:t>Random Forest</w:t>
            </w:r>
          </w:p>
        </w:tc>
        <w:tc>
          <w:tcPr>
            <w:tcW w:type="dxa" w:w="2045"/>
            <w:vAlign w:val="center"/>
            <w:shd w:fill="F2F6FA"/>
          </w:tcPr>
          <w:p>
            <w:pPr>
              <w:spacing w:after="20"/>
            </w:pPr>
            <w:r>
              <w:rPr>
                <w:sz w:val="16"/>
              </w:rPr>
              <w:t>0.0433</w:t>
            </w:r>
          </w:p>
        </w:tc>
        <w:tc>
          <w:tcPr>
            <w:tcW w:type="dxa" w:w="2045"/>
            <w:vAlign w:val="center"/>
            <w:shd w:fill="F2F6FA"/>
          </w:tcPr>
          <w:p>
            <w:pPr>
              <w:spacing w:after="20"/>
            </w:pPr>
            <w:r>
              <w:rPr>
                <w:sz w:val="16"/>
              </w:rPr>
              <w:t>0.0665</w:t>
            </w:r>
          </w:p>
        </w:tc>
        <w:tc>
          <w:tcPr>
            <w:tcW w:type="dxa" w:w="2045"/>
            <w:vAlign w:val="center"/>
            <w:shd w:fill="F2F6FA"/>
          </w:tcPr>
          <w:p>
            <w:pPr>
              <w:spacing w:after="20"/>
            </w:pPr>
            <w:r>
              <w:rPr>
                <w:sz w:val="16"/>
              </w:rPr>
              <w:t>0.0845</w:t>
            </w:r>
          </w:p>
        </w:tc>
        <w:tc>
          <w:tcPr>
            <w:tcW w:type="dxa" w:w="2045"/>
            <w:vAlign w:val="center"/>
            <w:shd w:fill="F2F6FA"/>
          </w:tcPr>
          <w:p>
            <w:pPr>
              <w:spacing w:after="20"/>
            </w:pPr>
            <w:r>
              <w:rPr>
                <w:sz w:val="16"/>
              </w:rPr>
              <w:t>0.0351</w:t>
            </w:r>
          </w:p>
        </w:tc>
      </w:tr>
    </w:tbl>
    <w:p>
      <w:pPr>
        <w:spacing w:after="20"/>
      </w:pPr>
    </w:p>
    <w:p>
      <w:pPr>
        <w:pStyle w:val="Heading2"/>
      </w:pPr>
      <w:r>
        <w:t>3.4 Interpretation</w:t>
      </w:r>
    </w:p>
    <w:p>
      <w:pPr>
        <w:pStyle w:val="ListBullet"/>
        <w:spacing w:after="40"/>
      </w:pPr>
      <w:r>
        <w:t>Logistic Regression had the higher mean CV ROC-AUC (0.8963 vs. 0.8828), so it was selected by the declared rule.</w:t>
      </w:r>
    </w:p>
    <w:p>
      <w:pPr>
        <w:pStyle w:val="ListBullet"/>
        <w:spacing w:after="40"/>
      </w:pPr>
      <w:r>
        <w:t>Random Forest scored higher on this holdout split for accuracy (0.9180 vs. 0.8689), precision (0.8710 vs. 0.8125), recall (0.9643 vs. 0.9286), and ROC-AUC (0.9545 vs. 0.9502).</w:t>
      </w:r>
    </w:p>
    <w:p>
      <w:pPr>
        <w:pStyle w:val="ListBullet"/>
        <w:spacing w:after="40"/>
      </w:pPr>
      <w:r>
        <w:t>ROC-AUC evaluates ranking discrimination across thresholds; recall is relevant where false negatives matter, but clinical evaluation requires domain context and external validation.</w:t>
      </w:r>
    </w:p>
    <w:p>
      <w:pPr>
        <w:pStyle w:val="ListBullet"/>
        <w:spacing w:after="40"/>
      </w:pPr>
      <w:r>
        <w:t>These estimates come from a small dataset and a single holdout split; they are not evidence of real-world clinical performance.</w:t>
      </w:r>
    </w:p>
    <w:p>
      <w:pPr>
        <w:pStyle w:val="Heading1"/>
      </w:pPr>
      <w:r>
        <w:t>4. MLflow tracking</w:t>
      </w:r>
    </w:p>
    <w:p>
      <w:r>
        <w:t>Runs are logged to a local MLflow tracking store under heart-disease-classification. Logged information includes model/split/CV parameters, CV and holdout metrics, confusion-matrix and ROC-curve artifacts, and scikit-learn model artifacts. The selected model is saved to artifacts/model.joblib; the comparison summary is saved to artifacts/training_summary.json.</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17365D"/>
          </w:tcPr>
          <w:p>
            <w:r>
              <w:rPr>
                <w:b/>
                <w:color w:val="FFFFFF"/>
                <w:sz w:val="15"/>
              </w:rPr>
              <w:t>Run ID</w:t>
            </w:r>
          </w:p>
        </w:tc>
        <w:tc>
          <w:tcPr>
            <w:tcW w:type="dxa" w:w="2045"/>
            <w:shd w:fill="17365D"/>
          </w:tcPr>
          <w:p>
            <w:r>
              <w:rPr>
                <w:b/>
                <w:color w:val="FFFFFF"/>
                <w:sz w:val="15"/>
              </w:rPr>
              <w:t>Model</w:t>
            </w:r>
          </w:p>
        </w:tc>
        <w:tc>
          <w:tcPr>
            <w:tcW w:type="dxa" w:w="2045"/>
            <w:shd w:fill="17365D"/>
          </w:tcPr>
          <w:p>
            <w:r>
              <w:rPr>
                <w:b/>
                <w:color w:val="FFFFFF"/>
                <w:sz w:val="15"/>
              </w:rPr>
              <w:t>CV ROC-AUC</w:t>
            </w:r>
          </w:p>
        </w:tc>
        <w:tc>
          <w:tcPr>
            <w:tcW w:type="dxa" w:w="2045"/>
            <w:shd w:fill="17365D"/>
          </w:tcPr>
          <w:p>
            <w:r>
              <w:rPr>
                <w:b/>
                <w:color w:val="FFFFFF"/>
                <w:sz w:val="15"/>
              </w:rPr>
              <w:t>Test ROC-AUC</w:t>
            </w:r>
          </w:p>
        </w:tc>
        <w:tc>
          <w:tcPr>
            <w:tcW w:type="dxa" w:w="2045"/>
            <w:shd w:fill="17365D"/>
          </w:tcPr>
          <w:p>
            <w:r>
              <w:rPr>
                <w:b/>
                <w:color w:val="FFFFFF"/>
                <w:sz w:val="15"/>
              </w:rPr>
              <w:t>Outcome</w:t>
            </w:r>
          </w:p>
        </w:tc>
      </w:tr>
      <w:tr>
        <w:tc>
          <w:tcPr>
            <w:tcW w:type="dxa" w:w="2045"/>
            <w:vAlign w:val="center"/>
          </w:tcPr>
          <w:p>
            <w:pPr>
              <w:spacing w:after="20"/>
            </w:pPr>
            <w:r>
              <w:rPr>
                <w:sz w:val="15"/>
              </w:rPr>
              <w:t>6b9dd16fc4a947f0b04a0487399b906d</w:t>
            </w:r>
          </w:p>
        </w:tc>
        <w:tc>
          <w:tcPr>
            <w:tcW w:type="dxa" w:w="2045"/>
            <w:vAlign w:val="center"/>
          </w:tcPr>
          <w:p>
            <w:pPr>
              <w:spacing w:after="20"/>
            </w:pPr>
            <w:r>
              <w:rPr>
                <w:sz w:val="15"/>
              </w:rPr>
              <w:t>Logistic Regression</w:t>
            </w:r>
          </w:p>
        </w:tc>
        <w:tc>
          <w:tcPr>
            <w:tcW w:type="dxa" w:w="2045"/>
            <w:vAlign w:val="center"/>
          </w:tcPr>
          <w:p>
            <w:pPr>
              <w:spacing w:after="20"/>
            </w:pPr>
            <w:r>
              <w:rPr>
                <w:sz w:val="15"/>
              </w:rPr>
              <w:t>0.8963</w:t>
            </w:r>
          </w:p>
        </w:tc>
        <w:tc>
          <w:tcPr>
            <w:tcW w:type="dxa" w:w="2045"/>
            <w:vAlign w:val="center"/>
          </w:tcPr>
          <w:p>
            <w:pPr>
              <w:spacing w:after="20"/>
            </w:pPr>
            <w:r>
              <w:rPr>
                <w:sz w:val="15"/>
              </w:rPr>
              <w:t>0.9502</w:t>
            </w:r>
          </w:p>
        </w:tc>
        <w:tc>
          <w:tcPr>
            <w:tcW w:type="dxa" w:w="2045"/>
            <w:vAlign w:val="center"/>
          </w:tcPr>
          <w:p>
            <w:pPr>
              <w:spacing w:after="20"/>
            </w:pPr>
            <w:r>
              <w:rPr>
                <w:sz w:val="15"/>
              </w:rPr>
              <w:t>Selected by CV rule</w:t>
            </w:r>
          </w:p>
        </w:tc>
      </w:tr>
      <w:tr>
        <w:tc>
          <w:tcPr>
            <w:tcW w:type="dxa" w:w="2045"/>
            <w:vAlign w:val="center"/>
            <w:shd w:fill="F2F6FA"/>
          </w:tcPr>
          <w:p>
            <w:pPr>
              <w:spacing w:after="20"/>
            </w:pPr>
            <w:r>
              <w:rPr>
                <w:sz w:val="15"/>
              </w:rPr>
              <w:t>5ac5335bb4284603a574427a4975ba0f</w:t>
            </w:r>
          </w:p>
        </w:tc>
        <w:tc>
          <w:tcPr>
            <w:tcW w:type="dxa" w:w="2045"/>
            <w:vAlign w:val="center"/>
            <w:shd w:fill="F2F6FA"/>
          </w:tcPr>
          <w:p>
            <w:pPr>
              <w:spacing w:after="20"/>
            </w:pPr>
            <w:r>
              <w:rPr>
                <w:sz w:val="15"/>
              </w:rPr>
              <w:t>Random Forest</w:t>
            </w:r>
          </w:p>
        </w:tc>
        <w:tc>
          <w:tcPr>
            <w:tcW w:type="dxa" w:w="2045"/>
            <w:vAlign w:val="center"/>
            <w:shd w:fill="F2F6FA"/>
          </w:tcPr>
          <w:p>
            <w:pPr>
              <w:spacing w:after="20"/>
            </w:pPr>
            <w:r>
              <w:rPr>
                <w:sz w:val="15"/>
              </w:rPr>
              <w:t>0.8828</w:t>
            </w:r>
          </w:p>
        </w:tc>
        <w:tc>
          <w:tcPr>
            <w:tcW w:type="dxa" w:w="2045"/>
            <w:vAlign w:val="center"/>
            <w:shd w:fill="F2F6FA"/>
          </w:tcPr>
          <w:p>
            <w:pPr>
              <w:spacing w:after="20"/>
            </w:pPr>
            <w:r>
              <w:rPr>
                <w:sz w:val="15"/>
              </w:rPr>
              <w:t>0.9545</w:t>
            </w:r>
          </w:p>
        </w:tc>
        <w:tc>
          <w:tcPr>
            <w:tcW w:type="dxa" w:w="2045"/>
            <w:vAlign w:val="center"/>
            <w:shd w:fill="F2F6FA"/>
          </w:tcPr>
          <w:p>
            <w:pPr>
              <w:spacing w:after="20"/>
            </w:pPr>
            <w:r>
              <w:rPr>
                <w:sz w:val="15"/>
              </w:rPr>
              <w:t>Not selected by CV rule</w:t>
            </w:r>
          </w:p>
        </w:tc>
      </w:tr>
    </w:tbl>
    <w:p>
      <w:pPr>
        <w:spacing w:after="20"/>
      </w:pPr>
    </w:p>
    <w:p>
      <w:pPr>
        <w:spacing w:after="100"/>
        <w:ind w:left="216"/>
        <w:shd w:fill="F1F4F8"/>
      </w:pPr>
      <w:r>
        <w:rPr>
          <w:rFonts w:ascii="Consolas" w:hAnsi="Consolas"/>
          <w:sz w:val="15"/>
        </w:rPr>
        <w:t>mlflow ui --backend-store-uri ./mlruns --host 127.0.0.1 --port 5000</w:t>
      </w:r>
    </w:p>
    <w:p>
      <w:r>
        <w:t>Open http://127.0.0.1:5000. Capture a screenshot showing both runs, metrics, and evaluation artifacts before submission.</w:t>
      </w:r>
    </w:p>
    <w:p>
      <w:pPr>
        <w:pStyle w:val="Heading1"/>
      </w:pPr>
      <w:r>
        <w:t>5. Reproducibility and packaging</w:t>
      </w:r>
    </w:p>
    <w:p>
      <w:r>
        <w:t>The project includes pinned dependencies, data and training modules, tests, API code, CI workflow, Dockerfile, Kubernetes manifest, model artifact, and evidence. The recorded local environment used Python 3.11.9; README recommends Python 3.11.</w:t>
      </w:r>
    </w:p>
    <w:p>
      <w:pPr>
        <w:spacing w:after="100"/>
        <w:ind w:left="216"/>
        <w:shd w:fill="F1F4F8"/>
      </w:pPr>
      <w:r>
        <w:rPr>
          <w:rFonts w:ascii="Consolas" w:hAnsi="Consolas"/>
          <w:sz w:val="15"/>
        </w:rPr>
        <w:t>py -3.11 -m venv .venv</w:t>
      </w:r>
      <w:r>
        <w:br/>
      </w:r>
      <w:r>
        <w:rPr>
          <w:rFonts w:ascii="Consolas" w:hAnsi="Consolas"/>
          <w:sz w:val="15"/>
        </w:rPr>
        <w:t>.\.venv\Scripts\Activate.ps1</w:t>
      </w:r>
      <w:r>
        <w:br/>
      </w:r>
      <w:r>
        <w:rPr>
          <w:rFonts w:ascii="Consolas" w:hAnsi="Consolas"/>
          <w:sz w:val="15"/>
        </w:rPr>
        <w:t>python -m pip install --upgrade pip</w:t>
      </w:r>
      <w:r>
        <w:br/>
      </w:r>
      <w:r>
        <w:rPr>
          <w:rFonts w:ascii="Consolas" w:hAnsi="Consolas"/>
          <w:sz w:val="15"/>
        </w:rPr>
        <w:t>pip install -r requirements.txt</w:t>
      </w:r>
      <w:r>
        <w:br/>
      </w:r>
      <w:r>
        <w:rPr>
          <w:rFonts w:ascii="Consolas" w:hAnsi="Consolas"/>
          <w:sz w:val="15"/>
        </w:rPr>
        <w:t>python -m src.data</w:t>
      </w:r>
      <w:r>
        <w:br/>
      </w:r>
      <w:r>
        <w:rPr>
          <w:rFonts w:ascii="Consolas" w:hAnsi="Consolas"/>
          <w:sz w:val="15"/>
        </w:rPr>
        <w:t>python -m src.eda</w:t>
      </w:r>
      <w:r>
        <w:br/>
      </w:r>
      <w:r>
        <w:rPr>
          <w:rFonts w:ascii="Consolas" w:hAnsi="Consolas"/>
          <w:sz w:val="15"/>
        </w:rPr>
        <w:t>python -m src.train</w:t>
      </w:r>
      <w:r>
        <w:br/>
      </w:r>
      <w:r>
        <w:rPr>
          <w:rFonts w:ascii="Consolas" w:hAnsi="Consolas"/>
          <w:sz w:val="15"/>
        </w:rPr>
        <w:t>python -m ruff check .</w:t>
      </w:r>
      <w:r>
        <w:br/>
      </w:r>
      <w:r>
        <w:rPr>
          <w:rFonts w:ascii="Consolas" w:hAnsi="Consolas"/>
          <w:sz w:val="15"/>
        </w:rPr>
        <w:t>python -m pytest -v</w:t>
      </w:r>
    </w:p>
    <w:p>
      <w:r>
        <w:t>Pinned versions include pandas 2.2.3, numpy 1.26.4, scikit-learn 1.5.2, MLflow 2.17.2, FastAPI 0.115.4, Uvicorn 0.32.0, pytest 8.3.3, and Ruff 0.7.2. requirements.txt is the authoritative complete dependency list.</w:t>
      </w:r>
    </w:p>
    <w:p>
      <w:pPr>
        <w:pStyle w:val="Heading1"/>
      </w:pPr>
      <w:r>
        <w:t>6. Testing and continuous integration</w:t>
      </w:r>
    </w:p>
    <w:p>
      <w:r>
        <w:t>The local test run returned 6 passed and 2 warnings. Tests cover API root/health, invalid payload rejection, metrics endpoint, target mapping, invalid source-column count, and fit/predict behavior for both models. Ruff reported all checks passed, with a deprecation warning for top-level linter settings in pyproject.toml.</w:t>
      </w:r>
    </w:p>
    <w:tbl>
      <w:tblPr>
        <w:tblStyle w:val="TableGrid"/>
        <w:tblW w:type="auto" w:w="0"/>
        <w:jc w:val="center"/>
        <w:tblLook w:firstColumn="1" w:firstRow="1" w:lastColumn="0" w:lastRow="0" w:noHBand="0" w:noVBand="1" w:val="04A0"/>
      </w:tblPr>
      <w:tblGrid>
        <w:gridCol w:w="5112"/>
        <w:gridCol w:w="5112"/>
      </w:tblGrid>
      <w:tr>
        <w:tc>
          <w:tcPr>
            <w:tcW w:type="dxa" w:w="5112"/>
            <w:shd w:fill="17365D"/>
          </w:tcPr>
          <w:p>
            <w:r>
              <w:rPr>
                <w:b/>
                <w:color w:val="FFFFFF"/>
                <w:sz w:val="17"/>
              </w:rPr>
              <w:t>Gate</w:t>
            </w:r>
          </w:p>
        </w:tc>
        <w:tc>
          <w:tcPr>
            <w:tcW w:type="dxa" w:w="5112"/>
            <w:shd w:fill="17365D"/>
          </w:tcPr>
          <w:p>
            <w:r>
              <w:rPr>
                <w:b/>
                <w:color w:val="FFFFFF"/>
                <w:sz w:val="17"/>
              </w:rPr>
              <w:t>Recorded outcome</w:t>
            </w:r>
          </w:p>
        </w:tc>
      </w:tr>
      <w:tr>
        <w:tc>
          <w:tcPr>
            <w:tcW w:type="dxa" w:w="5112"/>
            <w:vAlign w:val="center"/>
          </w:tcPr>
          <w:p>
            <w:pPr>
              <w:spacing w:after="20"/>
            </w:pPr>
            <w:r>
              <w:rPr>
                <w:sz w:val="17"/>
              </w:rPr>
              <w:t>pytest</w:t>
            </w:r>
          </w:p>
        </w:tc>
        <w:tc>
          <w:tcPr>
            <w:tcW w:type="dxa" w:w="5112"/>
            <w:vAlign w:val="center"/>
          </w:tcPr>
          <w:p>
            <w:pPr>
              <w:spacing w:after="20"/>
            </w:pPr>
            <w:r>
              <w:rPr>
                <w:sz w:val="17"/>
              </w:rPr>
              <w:t>6 passed; 2 warnings</w:t>
            </w:r>
          </w:p>
        </w:tc>
      </w:tr>
      <w:tr>
        <w:tc>
          <w:tcPr>
            <w:tcW w:type="dxa" w:w="5112"/>
            <w:vAlign w:val="center"/>
            <w:shd w:fill="F2F6FA"/>
          </w:tcPr>
          <w:p>
            <w:pPr>
              <w:spacing w:after="20"/>
            </w:pPr>
            <w:r>
              <w:rPr>
                <w:sz w:val="17"/>
              </w:rPr>
              <w:t>Ruff</w:t>
            </w:r>
          </w:p>
        </w:tc>
        <w:tc>
          <w:tcPr>
            <w:tcW w:type="dxa" w:w="5112"/>
            <w:vAlign w:val="center"/>
            <w:shd w:fill="F2F6FA"/>
          </w:tcPr>
          <w:p>
            <w:pPr>
              <w:spacing w:after="20"/>
            </w:pPr>
            <w:r>
              <w:rPr>
                <w:sz w:val="17"/>
              </w:rPr>
              <w:t>All checks passed; configuration deprecation warning</w:t>
            </w:r>
          </w:p>
        </w:tc>
      </w:tr>
      <w:tr>
        <w:tc>
          <w:tcPr>
            <w:tcW w:type="dxa" w:w="5112"/>
            <w:vAlign w:val="center"/>
          </w:tcPr>
          <w:p>
            <w:pPr>
              <w:spacing w:after="20"/>
            </w:pPr>
            <w:r>
              <w:rPr>
                <w:sz w:val="17"/>
              </w:rPr>
              <w:t>GitHub Actions</w:t>
            </w:r>
          </w:p>
        </w:tc>
        <w:tc>
          <w:tcPr>
            <w:tcW w:type="dxa" w:w="5112"/>
            <w:vAlign w:val="center"/>
          </w:tcPr>
          <w:p>
            <w:pPr>
              <w:spacing w:after="20"/>
            </w:pPr>
            <w:r>
              <w:rPr>
                <w:sz w:val="17"/>
              </w:rPr>
              <w:t>Successful run #1; all workflow steps green</w:t>
            </w:r>
          </w:p>
        </w:tc>
      </w:tr>
      <w:tr>
        <w:tc>
          <w:tcPr>
            <w:tcW w:type="dxa" w:w="5112"/>
            <w:vAlign w:val="center"/>
            <w:shd w:fill="F2F6FA"/>
          </w:tcPr>
          <w:p>
            <w:pPr>
              <w:spacing w:after="20"/>
            </w:pPr>
            <w:r>
              <w:rPr>
                <w:sz w:val="17"/>
              </w:rPr>
              <w:t>Workflow</w:t>
            </w:r>
          </w:p>
        </w:tc>
        <w:tc>
          <w:tcPr>
            <w:tcW w:type="dxa" w:w="5112"/>
            <w:vAlign w:val="center"/>
            <w:shd w:fill="F2F6FA"/>
          </w:tcPr>
          <w:p>
            <w:pPr>
              <w:spacing w:after="20"/>
            </w:pPr>
            <w:r>
              <w:rPr>
                <w:sz w:val="17"/>
              </w:rPr>
              <w:t>Ruff, pytest, data/training smoke tests, evidence artifact upload</w:t>
            </w:r>
          </w:p>
        </w:tc>
      </w:tr>
      <w:tr>
        <w:tc>
          <w:tcPr>
            <w:tcW w:type="dxa" w:w="5112"/>
            <w:vAlign w:val="center"/>
          </w:tcPr>
          <w:p>
            <w:pPr>
              <w:spacing w:after="20"/>
            </w:pPr>
            <w:r>
              <w:rPr>
                <w:sz w:val="17"/>
              </w:rPr>
              <w:t>CI artifact</w:t>
            </w:r>
          </w:p>
        </w:tc>
        <w:tc>
          <w:tcPr>
            <w:tcW w:type="dxa" w:w="5112"/>
            <w:vAlign w:val="center"/>
          </w:tcPr>
          <w:p>
            <w:pPr>
              <w:spacing w:after="20"/>
            </w:pPr>
            <w:r>
              <w:rPr>
                <w:sz w:val="17"/>
              </w:rPr>
              <w:t>Training summary and four evaluation plots downloaded and verified</w:t>
            </w:r>
          </w:p>
        </w:tc>
      </w:tr>
    </w:tbl>
    <w:p>
      <w:pPr>
        <w:spacing w:after="20"/>
      </w:pPr>
    </w:p>
    <w:p>
      <w:r>
        <w:t>The workflow triggers on push, pull_request, and workflow_dispatch. It uses Python 3.11 and uploads training evidence. A successful run was recorded for commit 54cdace. Kubernetes verification evidence was subsequently committed as b247d62.</w:t>
      </w:r>
    </w:p>
    <w:p>
      <w:pPr>
        <w:pStyle w:val="Heading1"/>
      </w:pPr>
      <w:r>
        <w:t>7. API and Docker</w:t>
      </w:r>
    </w:p>
    <w:p>
      <w:pPr>
        <w:pStyle w:val="Heading2"/>
      </w:pPr>
      <w:r>
        <w:t>7.1 FastAPI</w:t>
      </w:r>
    </w:p>
    <w:p>
      <w:r>
        <w:t>Endpoints include / and /health for service status, /predict for inference on the 13 expected input features, and /metrics for Prometheus-compatible telemetry. Request validation rejects malformed payloads. The prediction response includes class, label, estimated class probabilities, and a disclaimer. The metrics endpoint exposes request counters and latency observations.</w:t>
      </w:r>
    </w:p>
    <w:p>
      <w:pPr>
        <w:spacing w:after="100"/>
        <w:ind w:left="216"/>
        <w:shd w:fill="F1F4F8"/>
      </w:pPr>
      <w:r>
        <w:rPr>
          <w:rFonts w:ascii="Consolas" w:hAnsi="Consolas"/>
          <w:sz w:val="15"/>
        </w:rPr>
        <w:t>uvicorn api.main:app --host 127.0.0.1 --port 8000</w:t>
      </w:r>
      <w:r>
        <w:br/>
      </w:r>
      <w:r>
        <w:rPr>
          <w:rFonts w:ascii="Consolas" w:hAnsi="Consolas"/>
          <w:sz w:val="15"/>
        </w:rPr>
        <w:t># Swagger UI: http://127.0.0.1:8000/docs</w:t>
      </w:r>
      <w:r>
        <w:br/>
      </w:r>
      <w:r>
        <w:rPr>
          <w:rFonts w:ascii="Consolas" w:hAnsi="Consolas"/>
          <w:sz w:val="15"/>
        </w:rPr>
      </w:r>
      <w:r>
        <w:br/>
      </w:r>
      <w:r>
        <w:rPr>
          <w:rFonts w:ascii="Consolas" w:hAnsi="Consolas"/>
          <w:sz w:val="15"/>
        </w:rPr>
        <w:t>$body = @{</w:t>
      </w:r>
      <w:r>
        <w:br/>
      </w:r>
      <w:r>
        <w:rPr>
          <w:rFonts w:ascii="Consolas" w:hAnsi="Consolas"/>
          <w:sz w:val="15"/>
        </w:rPr>
        <w:t xml:space="preserve">  age=58; sex=1; cp=0; trestbps=140; chol=240; fbs=0; restecg=1</w:t>
      </w:r>
      <w:r>
        <w:br/>
      </w:r>
      <w:r>
        <w:rPr>
          <w:rFonts w:ascii="Consolas" w:hAnsi="Consolas"/>
          <w:sz w:val="15"/>
        </w:rPr>
        <w:t xml:space="preserve">  thalach=150; exang=0; oldpeak=1.0; slope=1; ca=0; thal=2</w:t>
      </w:r>
      <w:r>
        <w:br/>
      </w:r>
      <w:r>
        <w:rPr>
          <w:rFonts w:ascii="Consolas" w:hAnsi="Consolas"/>
          <w:sz w:val="15"/>
        </w:rPr>
        <w:t>} | ConvertTo-Json</w:t>
      </w:r>
      <w:r>
        <w:br/>
      </w:r>
      <w:r>
        <w:rPr>
          <w:rFonts w:ascii="Consolas" w:hAnsi="Consolas"/>
          <w:sz w:val="15"/>
        </w:rPr>
        <w:t>Invoke-RestMethod -Method Post -Uri http://127.0.0.1:8000/predict `</w:t>
      </w:r>
      <w:r>
        <w:br/>
      </w:r>
      <w:r>
        <w:rPr>
          <w:rFonts w:ascii="Consolas" w:hAnsi="Consolas"/>
          <w:sz w:val="15"/>
        </w:rPr>
        <w:t xml:space="preserve">  -ContentType "application/json" -Body $body</w:t>
      </w:r>
    </w:p>
    <w:p>
      <w:r>
        <w:t>The example is synthetic and is for API testing only.</w:t>
      </w:r>
    </w:p>
    <w:p>
      <w:pPr>
        <w:pStyle w:val="Heading2"/>
      </w:pPr>
      <w:r>
        <w:t>7.2 Docker</w:t>
      </w:r>
    </w:p>
    <w:p>
      <w:r>
        <w:t>Image heart-disease-mlops:1.0 was built and tagged as heart-disease-mlops:local. Port 8000 was already occupied locally during later Kubernetes verification, so the Kubernetes service was exposed locally on port 8001.</w:t>
      </w:r>
    </w:p>
    <w:p>
      <w:pPr>
        <w:spacing w:after="100"/>
        <w:ind w:left="216"/>
        <w:shd w:fill="F1F4F8"/>
      </w:pPr>
      <w:r>
        <w:rPr>
          <w:rFonts w:ascii="Consolas" w:hAnsi="Consolas"/>
          <w:sz w:val="15"/>
        </w:rPr>
        <w:t>docker build -t heart-disease-mlops:local .</w:t>
      </w:r>
      <w:r>
        <w:br/>
      </w:r>
      <w:r>
        <w:rPr>
          <w:rFonts w:ascii="Consolas" w:hAnsi="Consolas"/>
          <w:sz w:val="15"/>
        </w:rPr>
        <w:t>docker run --rm -p 8000:8000 heart-disease-mlops:local</w:t>
      </w:r>
    </w:p>
    <w:p>
      <w:pPr>
        <w:pStyle w:val="Heading1"/>
      </w:pPr>
      <w:r>
        <w:t>8. Kubernetes and monitoring</w:t>
      </w:r>
    </w:p>
    <w:p>
      <w:r>
        <w:t>The service was deployed to Docker Desktop Kubernetes using context docker-desktop. The manifest defines one Deployment replica and a ClusterIP Service. The pod reached 1/1 Running with no restarts; rollout status reported success. The image uses IfNotPresent.</w:t>
      </w:r>
    </w:p>
    <w:tbl>
      <w:tblPr>
        <w:tblStyle w:val="TableGrid"/>
        <w:tblW w:type="auto" w:w="0"/>
        <w:jc w:val="center"/>
        <w:tblLook w:firstColumn="1" w:firstRow="1" w:lastColumn="0" w:lastRow="0" w:noHBand="0" w:noVBand="1" w:val="04A0"/>
      </w:tblPr>
      <w:tblGrid>
        <w:gridCol w:w="5112"/>
        <w:gridCol w:w="5112"/>
      </w:tblGrid>
      <w:tr>
        <w:tc>
          <w:tcPr>
            <w:tcW w:type="dxa" w:w="5112"/>
            <w:shd w:fill="17365D"/>
          </w:tcPr>
          <w:p>
            <w:r>
              <w:rPr>
                <w:b/>
                <w:color w:val="FFFFFF"/>
                <w:sz w:val="16"/>
              </w:rPr>
              <w:t>Setting</w:t>
            </w:r>
          </w:p>
        </w:tc>
        <w:tc>
          <w:tcPr>
            <w:tcW w:type="dxa" w:w="5112"/>
            <w:shd w:fill="17365D"/>
          </w:tcPr>
          <w:p>
            <w:r>
              <w:rPr>
                <w:b/>
                <w:color w:val="FFFFFF"/>
                <w:sz w:val="16"/>
              </w:rPr>
              <w:t>Configured value / verification</w:t>
            </w:r>
          </w:p>
        </w:tc>
      </w:tr>
      <w:tr>
        <w:tc>
          <w:tcPr>
            <w:tcW w:type="dxa" w:w="5112"/>
            <w:vAlign w:val="center"/>
          </w:tcPr>
          <w:p>
            <w:pPr>
              <w:spacing w:after="20"/>
            </w:pPr>
            <w:r>
              <w:rPr>
                <w:sz w:val="16"/>
              </w:rPr>
              <w:t>Deployment / replicas</w:t>
            </w:r>
          </w:p>
        </w:tc>
        <w:tc>
          <w:tcPr>
            <w:tcW w:type="dxa" w:w="5112"/>
            <w:vAlign w:val="center"/>
          </w:tcPr>
          <w:p>
            <w:pPr>
              <w:spacing w:after="20"/>
            </w:pPr>
            <w:r>
              <w:rPr>
                <w:sz w:val="16"/>
              </w:rPr>
              <w:t>heart-disease-api / 1</w:t>
            </w:r>
          </w:p>
        </w:tc>
      </w:tr>
      <w:tr>
        <w:tc>
          <w:tcPr>
            <w:tcW w:type="dxa" w:w="5112"/>
            <w:vAlign w:val="center"/>
            <w:shd w:fill="F2F6FA"/>
          </w:tcPr>
          <w:p>
            <w:pPr>
              <w:spacing w:after="20"/>
            </w:pPr>
            <w:r>
              <w:rPr>
                <w:sz w:val="16"/>
              </w:rPr>
              <w:t>Service</w:t>
            </w:r>
          </w:p>
        </w:tc>
        <w:tc>
          <w:tcPr>
            <w:tcW w:type="dxa" w:w="5112"/>
            <w:vAlign w:val="center"/>
            <w:shd w:fill="F2F6FA"/>
          </w:tcPr>
          <w:p>
            <w:pPr>
              <w:spacing w:after="20"/>
            </w:pPr>
            <w:r>
              <w:rPr>
                <w:sz w:val="16"/>
              </w:rPr>
              <w:t>ClusterIP; port 8000 to targetPort 8000</w:t>
            </w:r>
          </w:p>
        </w:tc>
      </w:tr>
      <w:tr>
        <w:tc>
          <w:tcPr>
            <w:tcW w:type="dxa" w:w="5112"/>
            <w:vAlign w:val="center"/>
          </w:tcPr>
          <w:p>
            <w:pPr>
              <w:spacing w:after="20"/>
            </w:pPr>
            <w:r>
              <w:rPr>
                <w:sz w:val="16"/>
              </w:rPr>
              <w:t>Readiness probe</w:t>
            </w:r>
          </w:p>
        </w:tc>
        <w:tc>
          <w:tcPr>
            <w:tcW w:type="dxa" w:w="5112"/>
            <w:vAlign w:val="center"/>
          </w:tcPr>
          <w:p>
            <w:pPr>
              <w:spacing w:after="20"/>
            </w:pPr>
            <w:r>
              <w:rPr>
                <w:sz w:val="16"/>
              </w:rPr>
              <w:t>/health; initial delay 5 s; period 10 s</w:t>
            </w:r>
          </w:p>
        </w:tc>
      </w:tr>
      <w:tr>
        <w:tc>
          <w:tcPr>
            <w:tcW w:type="dxa" w:w="5112"/>
            <w:vAlign w:val="center"/>
            <w:shd w:fill="F2F6FA"/>
          </w:tcPr>
          <w:p>
            <w:pPr>
              <w:spacing w:after="20"/>
            </w:pPr>
            <w:r>
              <w:rPr>
                <w:sz w:val="16"/>
              </w:rPr>
              <w:t>Liveness probe</w:t>
            </w:r>
          </w:p>
        </w:tc>
        <w:tc>
          <w:tcPr>
            <w:tcW w:type="dxa" w:w="5112"/>
            <w:vAlign w:val="center"/>
            <w:shd w:fill="F2F6FA"/>
          </w:tcPr>
          <w:p>
            <w:pPr>
              <w:spacing w:after="20"/>
            </w:pPr>
            <w:r>
              <w:rPr>
                <w:sz w:val="16"/>
              </w:rPr>
              <w:t>/health; initial delay 10 s; period 20 s</w:t>
            </w:r>
          </w:p>
        </w:tc>
      </w:tr>
      <w:tr>
        <w:tc>
          <w:tcPr>
            <w:tcW w:type="dxa" w:w="5112"/>
            <w:vAlign w:val="center"/>
          </w:tcPr>
          <w:p>
            <w:pPr>
              <w:spacing w:after="20"/>
            </w:pPr>
            <w:r>
              <w:rPr>
                <w:sz w:val="16"/>
              </w:rPr>
              <w:t>Resource requests</w:t>
            </w:r>
          </w:p>
        </w:tc>
        <w:tc>
          <w:tcPr>
            <w:tcW w:type="dxa" w:w="5112"/>
            <w:vAlign w:val="center"/>
          </w:tcPr>
          <w:p>
            <w:pPr>
              <w:spacing w:after="20"/>
            </w:pPr>
            <w:r>
              <w:rPr>
                <w:sz w:val="16"/>
              </w:rPr>
              <w:t>CPU 100m; memory 256Mi</w:t>
            </w:r>
          </w:p>
        </w:tc>
      </w:tr>
      <w:tr>
        <w:tc>
          <w:tcPr>
            <w:tcW w:type="dxa" w:w="5112"/>
            <w:vAlign w:val="center"/>
            <w:shd w:fill="F2F6FA"/>
          </w:tcPr>
          <w:p>
            <w:pPr>
              <w:spacing w:after="20"/>
            </w:pPr>
            <w:r>
              <w:rPr>
                <w:sz w:val="16"/>
              </w:rPr>
              <w:t>Resource limits</w:t>
            </w:r>
          </w:p>
        </w:tc>
        <w:tc>
          <w:tcPr>
            <w:tcW w:type="dxa" w:w="5112"/>
            <w:vAlign w:val="center"/>
            <w:shd w:fill="F2F6FA"/>
          </w:tcPr>
          <w:p>
            <w:pPr>
              <w:spacing w:after="20"/>
            </w:pPr>
            <w:r>
              <w:rPr>
                <w:sz w:val="16"/>
              </w:rPr>
              <w:t>CPU 500m; memory 512Mi</w:t>
            </w:r>
          </w:p>
        </w:tc>
      </w:tr>
      <w:tr>
        <w:tc>
          <w:tcPr>
            <w:tcW w:type="dxa" w:w="5112"/>
            <w:vAlign w:val="center"/>
          </w:tcPr>
          <w:p>
            <w:pPr>
              <w:spacing w:after="20"/>
            </w:pPr>
            <w:r>
              <w:rPr>
                <w:sz w:val="16"/>
              </w:rPr>
              <w:t>Pod state</w:t>
            </w:r>
          </w:p>
        </w:tc>
        <w:tc>
          <w:tcPr>
            <w:tcW w:type="dxa" w:w="5112"/>
            <w:vAlign w:val="center"/>
          </w:tcPr>
          <w:p>
            <w:pPr>
              <w:spacing w:after="20"/>
            </w:pPr>
            <w:r>
              <w:rPr>
                <w:sz w:val="16"/>
              </w:rPr>
              <w:t>1/1 Running; no restarts recorded</w:t>
            </w:r>
          </w:p>
        </w:tc>
      </w:tr>
      <w:tr>
        <w:tc>
          <w:tcPr>
            <w:tcW w:type="dxa" w:w="5112"/>
            <w:vAlign w:val="center"/>
            <w:shd w:fill="F2F6FA"/>
          </w:tcPr>
          <w:p>
            <w:pPr>
              <w:spacing w:after="20"/>
            </w:pPr>
            <w:r>
              <w:rPr>
                <w:sz w:val="16"/>
              </w:rPr>
              <w:t>Rollout</w:t>
            </w:r>
          </w:p>
        </w:tc>
        <w:tc>
          <w:tcPr>
            <w:tcW w:type="dxa" w:w="5112"/>
            <w:vAlign w:val="center"/>
            <w:shd w:fill="F2F6FA"/>
          </w:tcPr>
          <w:p>
            <w:pPr>
              <w:spacing w:after="20"/>
            </w:pPr>
            <w:r>
              <w:rPr>
                <w:sz w:val="16"/>
              </w:rPr>
              <w:t>deployment successfully rolled out</w:t>
            </w:r>
          </w:p>
        </w:tc>
      </w:tr>
      <w:tr>
        <w:tc>
          <w:tcPr>
            <w:tcW w:type="dxa" w:w="5112"/>
            <w:vAlign w:val="center"/>
          </w:tcPr>
          <w:p>
            <w:pPr>
              <w:spacing w:after="20"/>
            </w:pPr>
            <w:r>
              <w:rPr>
                <w:sz w:val="16"/>
              </w:rPr>
              <w:t>Health response</w:t>
            </w:r>
          </w:p>
        </w:tc>
        <w:tc>
          <w:tcPr>
            <w:tcW w:type="dxa" w:w="5112"/>
            <w:vAlign w:val="center"/>
          </w:tcPr>
          <w:p>
            <w:pPr>
              <w:spacing w:after="20"/>
            </w:pPr>
            <w:r>
              <w:rPr>
                <w:sz w:val="16"/>
              </w:rPr>
              <w:t>{"status":"ok","model_loaded":true}</w:t>
            </w:r>
          </w:p>
        </w:tc>
      </w:tr>
      <w:tr>
        <w:tc>
          <w:tcPr>
            <w:tcW w:type="dxa" w:w="5112"/>
            <w:vAlign w:val="center"/>
            <w:shd w:fill="F2F6FA"/>
          </w:tcPr>
          <w:p>
            <w:pPr>
              <w:spacing w:after="20"/>
            </w:pPr>
            <w:r>
              <w:rPr>
                <w:sz w:val="16"/>
              </w:rPr>
              <w:t>Port forward</w:t>
            </w:r>
          </w:p>
        </w:tc>
        <w:tc>
          <w:tcPr>
            <w:tcW w:type="dxa" w:w="5112"/>
            <w:vAlign w:val="center"/>
            <w:shd w:fill="F2F6FA"/>
          </w:tcPr>
          <w:p>
            <w:pPr>
              <w:spacing w:after="20"/>
            </w:pPr>
            <w:r>
              <w:rPr>
                <w:sz w:val="16"/>
              </w:rPr>
              <w:t>service/heart-disease-api 8001:8000</w:t>
            </w:r>
          </w:p>
        </w:tc>
      </w:tr>
    </w:tbl>
    <w:p>
      <w:pPr>
        <w:spacing w:after="20"/>
      </w:pPr>
    </w:p>
    <w:p>
      <w:r>
        <w:t>Saved evidence is recorded in evidence/kubernetes/: nodes.txt, resources.txt, rollout.txt, health.json, and metrics.txt. The metrics capture includes endpoint request counters and latency histogram data.</w:t>
      </w:r>
    </w:p>
    <w:p>
      <w:pPr>
        <w:spacing w:after="100"/>
        <w:ind w:left="216"/>
        <w:shd w:fill="F1F4F8"/>
      </w:pPr>
      <w:r>
        <w:rPr>
          <w:rFonts w:ascii="Consolas" w:hAnsi="Consolas"/>
          <w:sz w:val="15"/>
        </w:rPr>
        <w:t>kubectl get nodes</w:t>
      </w:r>
      <w:r>
        <w:br/>
      </w:r>
      <w:r>
        <w:rPr>
          <w:rFonts w:ascii="Consolas" w:hAnsi="Consolas"/>
          <w:sz w:val="15"/>
        </w:rPr>
        <w:t>kubectl get pods</w:t>
      </w:r>
      <w:r>
        <w:br/>
      </w:r>
      <w:r>
        <w:rPr>
          <w:rFonts w:ascii="Consolas" w:hAnsi="Consolas"/>
          <w:sz w:val="15"/>
        </w:rPr>
        <w:t>kubectl get deployments</w:t>
      </w:r>
      <w:r>
        <w:br/>
      </w:r>
      <w:r>
        <w:rPr>
          <w:rFonts w:ascii="Consolas" w:hAnsi="Consolas"/>
          <w:sz w:val="15"/>
        </w:rPr>
        <w:t>kubectl get services</w:t>
      </w:r>
      <w:r>
        <w:br/>
      </w:r>
      <w:r>
        <w:rPr>
          <w:rFonts w:ascii="Consolas" w:hAnsi="Consolas"/>
          <w:sz w:val="15"/>
        </w:rPr>
        <w:t>kubectl rollout status deployment/heart-disease-api --timeout=120s</w:t>
      </w:r>
      <w:r>
        <w:br/>
      </w:r>
      <w:r>
        <w:rPr>
          <w:rFonts w:ascii="Consolas" w:hAnsi="Consolas"/>
          <w:sz w:val="15"/>
        </w:rPr>
        <w:t>kubectl port-forward service/heart-disease-api 8001:8000</w:t>
      </w:r>
      <w:r>
        <w:br/>
      </w:r>
      <w:r>
        <w:rPr>
          <w:rFonts w:ascii="Consolas" w:hAnsi="Consolas"/>
          <w:sz w:val="15"/>
        </w:rPr>
      </w:r>
      <w:r>
        <w:br/>
      </w:r>
      <w:r>
        <w:rPr>
          <w:rFonts w:ascii="Consolas" w:hAnsi="Consolas"/>
          <w:sz w:val="15"/>
        </w:rPr>
        <w:t># In a second PowerShell terminal</w:t>
      </w:r>
      <w:r>
        <w:br/>
      </w:r>
      <w:r>
        <w:rPr>
          <w:rFonts w:ascii="Consolas" w:hAnsi="Consolas"/>
          <w:sz w:val="15"/>
        </w:rPr>
        <w:t>Invoke-RestMethod http://localhost:8001/health</w:t>
      </w:r>
      <w:r>
        <w:br/>
      </w:r>
      <w:r>
        <w:rPr>
          <w:rFonts w:ascii="Consolas" w:hAnsi="Consolas"/>
          <w:sz w:val="15"/>
        </w:rPr>
        <w:t>Invoke-WebRequest http://localhost:8001/metrics</w:t>
      </w:r>
    </w:p>
    <w:p>
      <w:r>
        <w:t>This is local development verification, not a production deployment. The metrics reflect test activity and do not represent production traffic or an SLA.</w:t>
      </w:r>
    </w:p>
    <w:p>
      <w:pPr>
        <w:pStyle w:val="Heading1"/>
      </w:pPr>
      <w:r>
        <w:t>9. Limitations, ethics, and conclusion</w:t>
      </w:r>
    </w:p>
    <w:p>
      <w:pPr>
        <w:pStyle w:val="ListBullet"/>
        <w:spacing w:after="40"/>
      </w:pPr>
      <w:r>
        <w:t>Dataset size: 303 rows are insufficient to establish robust performance across populations, institutions, or time periods.</w:t>
      </w:r>
    </w:p>
    <w:p>
      <w:pPr>
        <w:pStyle w:val="ListBullet"/>
        <w:spacing w:after="40"/>
      </w:pPr>
      <w:r>
        <w:t>Provenance: public source mirrors and availability may change; verify source, schema, missing values, and target mapping on reruns.</w:t>
      </w:r>
    </w:p>
    <w:p>
      <w:pPr>
        <w:pStyle w:val="ListBullet"/>
        <w:spacing w:after="40"/>
      </w:pPr>
      <w:r>
        <w:t>Feature semantics: source-encoded categorical fields are treated as numeric; evaluate domain-appropriate encoding in future work.</w:t>
      </w:r>
    </w:p>
    <w:p>
      <w:pPr>
        <w:pStyle w:val="ListBullet"/>
        <w:spacing w:after="40"/>
      </w:pPr>
      <w:r>
        <w:t>Evaluation uncertainty: one holdout split and five-fold CV on a small dataset; no external validation or confidence intervals are reported.</w:t>
      </w:r>
    </w:p>
    <w:p>
      <w:pPr>
        <w:pStyle w:val="ListBullet"/>
        <w:spacing w:after="40"/>
      </w:pPr>
      <w:r>
        <w:t>Probability calibration has not been evaluated; output probabilities are model estimates, not validated clinical risk estimates.</w:t>
      </w:r>
    </w:p>
    <w:p>
      <w:pPr>
        <w:pStyle w:val="ListBullet"/>
        <w:spacing w:after="40"/>
      </w:pPr>
      <w:r>
        <w:t>Clinical safety: no screening, diagnosis, triage, treatment, or patient-level decisions should be based on this model.</w:t>
      </w:r>
    </w:p>
    <w:p>
      <w:pPr>
        <w:pStyle w:val="ListBullet"/>
        <w:spacing w:after="40"/>
      </w:pPr>
      <w:r>
        <w:t>Production readiness: no evidence is provided for authentication, TLS, secrets management, autoscaling, or formal incident response.</w:t>
      </w:r>
    </w:p>
    <w:p>
      <w:r>
        <w:t>Conclusion: The project demonstrates a reproducible MLOps workflow from ingestion and modelling through experiment tracking, tests, CI, API serving, containerization, local Kubernetes deployment, and basic monitoring. Logistic Regression was selected by mean CV ROC-AUC even though Random Forest did better on the observed holdout split. Further use would require stronger data governance, external validation, calibration analysis, clinical review, security hardening, and production-grade monitoring.</w:t>
      </w:r>
    </w:p>
    <w:p>
      <w:pPr>
        <w:pStyle w:val="Heading1"/>
      </w:pPr>
      <w:r>
        <w:t>Appendix A. Repository and evidence inventory</w:t>
      </w:r>
    </w:p>
    <w:tbl>
      <w:tblPr>
        <w:tblStyle w:val="TableGrid"/>
        <w:tblW w:type="auto" w:w="0"/>
        <w:jc w:val="center"/>
        <w:tblLook w:firstColumn="1" w:firstRow="1" w:lastColumn="0" w:lastRow="0" w:noHBand="0" w:noVBand="1" w:val="04A0"/>
      </w:tblPr>
      <w:tblGrid>
        <w:gridCol w:w="5112"/>
        <w:gridCol w:w="5112"/>
      </w:tblGrid>
      <w:tr>
        <w:tc>
          <w:tcPr>
            <w:tcW w:type="dxa" w:w="5112"/>
            <w:shd w:fill="17365D"/>
          </w:tcPr>
          <w:p>
            <w:r>
              <w:rPr>
                <w:b/>
                <w:color w:val="FFFFFF"/>
                <w:sz w:val="15"/>
              </w:rPr>
              <w:t>Path / item</w:t>
            </w:r>
          </w:p>
        </w:tc>
        <w:tc>
          <w:tcPr>
            <w:tcW w:type="dxa" w:w="5112"/>
            <w:shd w:fill="17365D"/>
          </w:tcPr>
          <w:p>
            <w:r>
              <w:rPr>
                <w:b/>
                <w:color w:val="FFFFFF"/>
                <w:sz w:val="15"/>
              </w:rPr>
              <w:t>Purpose / status</w:t>
            </w:r>
          </w:p>
        </w:tc>
      </w:tr>
      <w:tr>
        <w:tc>
          <w:tcPr>
            <w:tcW w:type="dxa" w:w="5112"/>
            <w:vAlign w:val="center"/>
          </w:tcPr>
          <w:p>
            <w:pPr>
              <w:spacing w:after="20"/>
            </w:pPr>
            <w:r>
              <w:rPr>
                <w:sz w:val="15"/>
              </w:rPr>
              <w:t>src/data.py</w:t>
            </w:r>
          </w:p>
        </w:tc>
        <w:tc>
          <w:tcPr>
            <w:tcW w:type="dxa" w:w="5112"/>
            <w:vAlign w:val="center"/>
          </w:tcPr>
          <w:p>
            <w:pPr>
              <w:spacing w:after="20"/>
            </w:pPr>
            <w:r>
              <w:rPr>
                <w:sz w:val="15"/>
              </w:rPr>
              <w:t>Data download, schema normalization, validation, metadata</w:t>
            </w:r>
          </w:p>
        </w:tc>
      </w:tr>
      <w:tr>
        <w:tc>
          <w:tcPr>
            <w:tcW w:type="dxa" w:w="5112"/>
            <w:vAlign w:val="center"/>
            <w:shd w:fill="F2F6FA"/>
          </w:tcPr>
          <w:p>
            <w:pPr>
              <w:spacing w:after="20"/>
            </w:pPr>
            <w:r>
              <w:rPr>
                <w:sz w:val="15"/>
              </w:rPr>
              <w:t>src/eda.py</w:t>
            </w:r>
          </w:p>
        </w:tc>
        <w:tc>
          <w:tcPr>
            <w:tcW w:type="dxa" w:w="5112"/>
            <w:vAlign w:val="center"/>
            <w:shd w:fill="F2F6FA"/>
          </w:tcPr>
          <w:p>
            <w:pPr>
              <w:spacing w:after="20"/>
            </w:pPr>
            <w:r>
              <w:rPr>
                <w:sz w:val="15"/>
              </w:rPr>
              <w:t>EDA summaries and figures</w:t>
            </w:r>
          </w:p>
        </w:tc>
      </w:tr>
      <w:tr>
        <w:tc>
          <w:tcPr>
            <w:tcW w:type="dxa" w:w="5112"/>
            <w:vAlign w:val="center"/>
          </w:tcPr>
          <w:p>
            <w:pPr>
              <w:spacing w:after="20"/>
            </w:pPr>
            <w:r>
              <w:rPr>
                <w:sz w:val="15"/>
              </w:rPr>
              <w:t>src/pipeline.py</w:t>
            </w:r>
          </w:p>
        </w:tc>
        <w:tc>
          <w:tcPr>
            <w:tcW w:type="dxa" w:w="5112"/>
            <w:vAlign w:val="center"/>
          </w:tcPr>
          <w:p>
            <w:pPr>
              <w:spacing w:after="20"/>
            </w:pPr>
            <w:r>
              <w:rPr>
                <w:sz w:val="15"/>
              </w:rPr>
              <w:t>Preprocessing and candidate model pipelines</w:t>
            </w:r>
          </w:p>
        </w:tc>
      </w:tr>
      <w:tr>
        <w:tc>
          <w:tcPr>
            <w:tcW w:type="dxa" w:w="5112"/>
            <w:vAlign w:val="center"/>
            <w:shd w:fill="F2F6FA"/>
          </w:tcPr>
          <w:p>
            <w:pPr>
              <w:spacing w:after="20"/>
            </w:pPr>
            <w:r>
              <w:rPr>
                <w:sz w:val="15"/>
              </w:rPr>
              <w:t>src/train.py</w:t>
            </w:r>
          </w:p>
        </w:tc>
        <w:tc>
          <w:tcPr>
            <w:tcW w:type="dxa" w:w="5112"/>
            <w:vAlign w:val="center"/>
            <w:shd w:fill="F2F6FA"/>
          </w:tcPr>
          <w:p>
            <w:pPr>
              <w:spacing w:after="20"/>
            </w:pPr>
            <w:r>
              <w:rPr>
                <w:sz w:val="15"/>
              </w:rPr>
              <w:t>CV, holdout evaluation, MLflow, model serialization, summary</w:t>
            </w:r>
          </w:p>
        </w:tc>
      </w:tr>
      <w:tr>
        <w:tc>
          <w:tcPr>
            <w:tcW w:type="dxa" w:w="5112"/>
            <w:vAlign w:val="center"/>
          </w:tcPr>
          <w:p>
            <w:pPr>
              <w:spacing w:after="20"/>
            </w:pPr>
            <w:r>
              <w:rPr>
                <w:sz w:val="15"/>
              </w:rPr>
              <w:t>api/main.py</w:t>
            </w:r>
          </w:p>
        </w:tc>
        <w:tc>
          <w:tcPr>
            <w:tcW w:type="dxa" w:w="5112"/>
            <w:vAlign w:val="center"/>
          </w:tcPr>
          <w:p>
            <w:pPr>
              <w:spacing w:after="20"/>
            </w:pPr>
            <w:r>
              <w:rPr>
                <w:sz w:val="15"/>
              </w:rPr>
              <w:t>FastAPI and Prometheus metrics</w:t>
            </w:r>
          </w:p>
        </w:tc>
      </w:tr>
      <w:tr>
        <w:tc>
          <w:tcPr>
            <w:tcW w:type="dxa" w:w="5112"/>
            <w:vAlign w:val="center"/>
            <w:shd w:fill="F2F6FA"/>
          </w:tcPr>
          <w:p>
            <w:pPr>
              <w:spacing w:after="20"/>
            </w:pPr>
            <w:r>
              <w:rPr>
                <w:sz w:val="15"/>
              </w:rPr>
              <w:t>tests/</w:t>
            </w:r>
          </w:p>
        </w:tc>
        <w:tc>
          <w:tcPr>
            <w:tcW w:type="dxa" w:w="5112"/>
            <w:vAlign w:val="center"/>
            <w:shd w:fill="F2F6FA"/>
          </w:tcPr>
          <w:p>
            <w:pPr>
              <w:spacing w:after="20"/>
            </w:pPr>
            <w:r>
              <w:rPr>
                <w:sz w:val="15"/>
              </w:rPr>
              <w:t>API, data, and pipeline tests</w:t>
            </w:r>
          </w:p>
        </w:tc>
      </w:tr>
      <w:tr>
        <w:tc>
          <w:tcPr>
            <w:tcW w:type="dxa" w:w="5112"/>
            <w:vAlign w:val="center"/>
          </w:tcPr>
          <w:p>
            <w:pPr>
              <w:spacing w:after="20"/>
            </w:pPr>
            <w:r>
              <w:rPr>
                <w:sz w:val="15"/>
              </w:rPr>
              <w:t>.github/workflows/ci.yml</w:t>
            </w:r>
          </w:p>
        </w:tc>
        <w:tc>
          <w:tcPr>
            <w:tcW w:type="dxa" w:w="5112"/>
            <w:vAlign w:val="center"/>
          </w:tcPr>
          <w:p>
            <w:pPr>
              <w:spacing w:after="20"/>
            </w:pPr>
            <w:r>
              <w:rPr>
                <w:sz w:val="15"/>
              </w:rPr>
              <w:t>CI lint/test/data/train workflow and evidence artifact</w:t>
            </w:r>
          </w:p>
        </w:tc>
      </w:tr>
      <w:tr>
        <w:tc>
          <w:tcPr>
            <w:tcW w:type="dxa" w:w="5112"/>
            <w:vAlign w:val="center"/>
            <w:shd w:fill="F2F6FA"/>
          </w:tcPr>
          <w:p>
            <w:pPr>
              <w:spacing w:after="20"/>
            </w:pPr>
            <w:r>
              <w:rPr>
                <w:sz w:val="15"/>
              </w:rPr>
              <w:t>Dockerfile</w:t>
            </w:r>
          </w:p>
        </w:tc>
        <w:tc>
          <w:tcPr>
            <w:tcW w:type="dxa" w:w="5112"/>
            <w:vAlign w:val="center"/>
            <w:shd w:fill="F2F6FA"/>
          </w:tcPr>
          <w:p>
            <w:pPr>
              <w:spacing w:after="20"/>
            </w:pPr>
            <w:r>
              <w:rPr>
                <w:sz w:val="15"/>
              </w:rPr>
              <w:t>Container image definition</w:t>
            </w:r>
          </w:p>
        </w:tc>
      </w:tr>
      <w:tr>
        <w:tc>
          <w:tcPr>
            <w:tcW w:type="dxa" w:w="5112"/>
            <w:vAlign w:val="center"/>
          </w:tcPr>
          <w:p>
            <w:pPr>
              <w:spacing w:after="20"/>
            </w:pPr>
            <w:r>
              <w:rPr>
                <w:sz w:val="15"/>
              </w:rPr>
              <w:t>deployment/k8s/deployment.yaml</w:t>
            </w:r>
          </w:p>
        </w:tc>
        <w:tc>
          <w:tcPr>
            <w:tcW w:type="dxa" w:w="5112"/>
            <w:vAlign w:val="center"/>
          </w:tcPr>
          <w:p>
            <w:pPr>
              <w:spacing w:after="20"/>
            </w:pPr>
            <w:r>
              <w:rPr>
                <w:sz w:val="15"/>
              </w:rPr>
              <w:t>Kubernetes Deployment and Service</w:t>
            </w:r>
          </w:p>
        </w:tc>
      </w:tr>
      <w:tr>
        <w:tc>
          <w:tcPr>
            <w:tcW w:type="dxa" w:w="5112"/>
            <w:vAlign w:val="center"/>
            <w:shd w:fill="F2F6FA"/>
          </w:tcPr>
          <w:p>
            <w:pPr>
              <w:spacing w:after="20"/>
            </w:pPr>
            <w:r>
              <w:rPr>
                <w:sz w:val="15"/>
              </w:rPr>
              <w:t>artifacts/training_summary.json</w:t>
            </w:r>
          </w:p>
        </w:tc>
        <w:tc>
          <w:tcPr>
            <w:tcW w:type="dxa" w:w="5112"/>
            <w:vAlign w:val="center"/>
            <w:shd w:fill="F2F6FA"/>
          </w:tcPr>
          <w:p>
            <w:pPr>
              <w:spacing w:after="20"/>
            </w:pPr>
            <w:r>
              <w:rPr>
                <w:sz w:val="15"/>
              </w:rPr>
              <w:t>Model comparison metrics and selection rule</w:t>
            </w:r>
          </w:p>
        </w:tc>
      </w:tr>
      <w:tr>
        <w:tc>
          <w:tcPr>
            <w:tcW w:type="dxa" w:w="5112"/>
            <w:vAlign w:val="center"/>
          </w:tcPr>
          <w:p>
            <w:pPr>
              <w:spacing w:after="20"/>
            </w:pPr>
            <w:r>
              <w:rPr>
                <w:sz w:val="15"/>
              </w:rPr>
              <w:t>evidence/metrics/eda_summary.json</w:t>
            </w:r>
          </w:p>
        </w:tc>
        <w:tc>
          <w:tcPr>
            <w:tcW w:type="dxa" w:w="5112"/>
            <w:vAlign w:val="center"/>
          </w:tcPr>
          <w:p>
            <w:pPr>
              <w:spacing w:after="20"/>
            </w:pPr>
            <w:r>
              <w:rPr>
                <w:sz w:val="15"/>
              </w:rPr>
              <w:t>EDA summary</w:t>
            </w:r>
          </w:p>
        </w:tc>
      </w:tr>
      <w:tr>
        <w:tc>
          <w:tcPr>
            <w:tcW w:type="dxa" w:w="5112"/>
            <w:vAlign w:val="center"/>
            <w:shd w:fill="F2F6FA"/>
          </w:tcPr>
          <w:p>
            <w:pPr>
              <w:spacing w:after="20"/>
            </w:pPr>
            <w:r>
              <w:rPr>
                <w:sz w:val="15"/>
              </w:rPr>
              <w:t>evidence/kubernetes/</w:t>
            </w:r>
          </w:p>
        </w:tc>
        <w:tc>
          <w:tcPr>
            <w:tcW w:type="dxa" w:w="5112"/>
            <w:vAlign w:val="center"/>
            <w:shd w:fill="F2F6FA"/>
          </w:tcPr>
          <w:p>
            <w:pPr>
              <w:spacing w:after="20"/>
            </w:pPr>
            <w:r>
              <w:rPr>
                <w:sz w:val="15"/>
              </w:rPr>
              <w:t>Node, resources, rollout, health, and metrics captures</w:t>
            </w:r>
          </w:p>
        </w:tc>
      </w:tr>
      <w:tr>
        <w:tc>
          <w:tcPr>
            <w:tcW w:type="dxa" w:w="5112"/>
            <w:vAlign w:val="center"/>
          </w:tcPr>
          <w:p>
            <w:pPr>
              <w:spacing w:after="20"/>
            </w:pPr>
            <w:r>
              <w:rPr>
                <w:sz w:val="15"/>
              </w:rPr>
              <w:t>evidence/Final.png; evidence/Git screenshot.png</w:t>
            </w:r>
          </w:p>
        </w:tc>
        <w:tc>
          <w:tcPr>
            <w:tcW w:type="dxa" w:w="5112"/>
            <w:vAlign w:val="center"/>
          </w:tcPr>
          <w:p>
            <w:pPr>
              <w:spacing w:after="20"/>
            </w:pPr>
            <w:r>
              <w:rPr>
                <w:sz w:val="15"/>
              </w:rPr>
              <w:t>User-saved screenshots; inspect and select for submission</w:t>
            </w:r>
          </w:p>
        </w:tc>
      </w:tr>
    </w:tbl>
    <w:p>
      <w:pPr>
        <w:spacing w:after="20"/>
      </w:pPr>
    </w:p>
    <w:p>
      <w:r>
        <w:t>The report does not embed screenshots because the image files were not available for inspection while composing this document. Verify every listed path in the final repository and ensure screenshots are legible and show the claimed evidence.</w:t>
      </w:r>
    </w:p>
    <w:p>
      <w:pPr>
        <w:pStyle w:val="Heading1"/>
      </w:pPr>
      <w:r>
        <w:t>Appendix B. Demonstration video script (5–7 minutes)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17365D"/>
          </w:tcPr>
          <w:p>
            <w:r>
              <w:rPr>
                <w:b/>
                <w:color w:val="FFFFFF"/>
                <w:sz w:val="14"/>
              </w:rPr>
              <w:t>Time</w:t>
            </w:r>
          </w:p>
        </w:tc>
        <w:tc>
          <w:tcPr>
            <w:tcW w:type="dxa" w:w="3408"/>
            <w:shd w:fill="17365D"/>
          </w:tcPr>
          <w:p>
            <w:r>
              <w:rPr>
                <w:b/>
                <w:color w:val="FFFFFF"/>
                <w:sz w:val="14"/>
              </w:rPr>
              <w:t>Narration / action</w:t>
            </w:r>
          </w:p>
        </w:tc>
        <w:tc>
          <w:tcPr>
            <w:tcW w:type="dxa" w:w="3408"/>
            <w:shd w:fill="17365D"/>
          </w:tcPr>
          <w:p>
            <w:r>
              <w:rPr>
                <w:b/>
                <w:color w:val="FFFFFF"/>
                <w:sz w:val="14"/>
              </w:rPr>
              <w:t>Suggested capture</w:t>
            </w:r>
          </w:p>
        </w:tc>
      </w:tr>
      <w:tr>
        <w:tc>
          <w:tcPr>
            <w:tcW w:type="dxa" w:w="3408"/>
            <w:vAlign w:val="center"/>
          </w:tcPr>
          <w:p>
            <w:pPr>
              <w:spacing w:after="20"/>
            </w:pPr>
            <w:r>
              <w:rPr>
                <w:sz w:val="14"/>
              </w:rPr>
              <w:t>0:00–0:30</w:t>
            </w:r>
          </w:p>
        </w:tc>
        <w:tc>
          <w:tcPr>
            <w:tcW w:type="dxa" w:w="3408"/>
            <w:vAlign w:val="center"/>
          </w:tcPr>
          <w:p>
            <w:pPr>
              <w:spacing w:after="20"/>
            </w:pPr>
            <w:r>
              <w:rPr>
                <w:sz w:val="14"/>
              </w:rPr>
              <w:t>Introduce assignment, objective, repository, and educational-use limitation.</w:t>
            </w:r>
          </w:p>
        </w:tc>
        <w:tc>
          <w:tcPr>
            <w:tcW w:type="dxa" w:w="3408"/>
            <w:vAlign w:val="center"/>
          </w:tcPr>
          <w:p>
            <w:pPr>
              <w:spacing w:after="20"/>
            </w:pPr>
            <w:r>
              <w:rPr>
                <w:sz w:val="14"/>
              </w:rPr>
              <w:t>Title page and GitHub repository</w:t>
            </w:r>
          </w:p>
        </w:tc>
      </w:tr>
      <w:tr>
        <w:tc>
          <w:tcPr>
            <w:tcW w:type="dxa" w:w="3408"/>
            <w:vAlign w:val="center"/>
            <w:shd w:fill="F2F6FA"/>
          </w:tcPr>
          <w:p>
            <w:pPr>
              <w:spacing w:after="20"/>
            </w:pPr>
            <w:r>
              <w:rPr>
                <w:sz w:val="14"/>
              </w:rPr>
              <w:t>0:30–1:10</w:t>
            </w:r>
          </w:p>
        </w:tc>
        <w:tc>
          <w:tcPr>
            <w:tcW w:type="dxa" w:w="3408"/>
            <w:vAlign w:val="center"/>
            <w:shd w:fill="F2F6FA"/>
          </w:tcPr>
          <w:p>
            <w:pPr>
              <w:spacing w:after="20"/>
            </w:pPr>
            <w:r>
              <w:rPr>
                <w:sz w:val="14"/>
              </w:rPr>
              <w:t>Show data ingestion, source metadata, missing values, target mapping, and EDA.</w:t>
            </w:r>
          </w:p>
        </w:tc>
        <w:tc>
          <w:tcPr>
            <w:tcW w:type="dxa" w:w="3408"/>
            <w:vAlign w:val="center"/>
            <w:shd w:fill="F2F6FA"/>
          </w:tcPr>
          <w:p>
            <w:pPr>
              <w:spacing w:after="20"/>
            </w:pPr>
            <w:r>
              <w:rPr>
                <w:sz w:val="14"/>
              </w:rPr>
              <w:t>PowerShell output and EDA summary/figures</w:t>
            </w:r>
          </w:p>
        </w:tc>
      </w:tr>
      <w:tr>
        <w:tc>
          <w:tcPr>
            <w:tcW w:type="dxa" w:w="3408"/>
            <w:vAlign w:val="center"/>
          </w:tcPr>
          <w:p>
            <w:pPr>
              <w:spacing w:after="20"/>
            </w:pPr>
            <w:r>
              <w:rPr>
                <w:sz w:val="14"/>
              </w:rPr>
              <w:t>1:10–2:00</w:t>
            </w:r>
          </w:p>
        </w:tc>
        <w:tc>
          <w:tcPr>
            <w:tcW w:type="dxa" w:w="3408"/>
            <w:vAlign w:val="center"/>
          </w:tcPr>
          <w:p>
            <w:pPr>
              <w:spacing w:after="20"/>
            </w:pPr>
            <w:r>
              <w:rPr>
                <w:sz w:val="14"/>
              </w:rPr>
              <w:t>Explain preprocessing, both candidate models, CV rule, and results.</w:t>
            </w:r>
          </w:p>
        </w:tc>
        <w:tc>
          <w:tcPr>
            <w:tcW w:type="dxa" w:w="3408"/>
            <w:vAlign w:val="center"/>
          </w:tcPr>
          <w:p>
            <w:pPr>
              <w:spacing w:after="20"/>
            </w:pPr>
            <w:r>
              <w:rPr>
                <w:sz w:val="14"/>
              </w:rPr>
              <w:t>pipeline.py and training_summary.json</w:t>
            </w:r>
          </w:p>
        </w:tc>
      </w:tr>
      <w:tr>
        <w:tc>
          <w:tcPr>
            <w:tcW w:type="dxa" w:w="3408"/>
            <w:vAlign w:val="center"/>
            <w:shd w:fill="F2F6FA"/>
          </w:tcPr>
          <w:p>
            <w:pPr>
              <w:spacing w:after="20"/>
            </w:pPr>
            <w:r>
              <w:rPr>
                <w:sz w:val="14"/>
              </w:rPr>
              <w:t>2:00–2:40</w:t>
            </w:r>
          </w:p>
        </w:tc>
        <w:tc>
          <w:tcPr>
            <w:tcW w:type="dxa" w:w="3408"/>
            <w:vAlign w:val="center"/>
            <w:shd w:fill="F2F6FA"/>
          </w:tcPr>
          <w:p>
            <w:pPr>
              <w:spacing w:after="20"/>
            </w:pPr>
            <w:r>
              <w:rPr>
                <w:sz w:val="14"/>
              </w:rPr>
              <w:t>Show both MLflow runs, metrics, and evaluation artifacts.</w:t>
            </w:r>
          </w:p>
        </w:tc>
        <w:tc>
          <w:tcPr>
            <w:tcW w:type="dxa" w:w="3408"/>
            <w:vAlign w:val="center"/>
            <w:shd w:fill="F2F6FA"/>
          </w:tcPr>
          <w:p>
            <w:pPr>
              <w:spacing w:after="20"/>
            </w:pPr>
            <w:r>
              <w:rPr>
                <w:sz w:val="14"/>
              </w:rPr>
              <w:t>MLflow experiment and run artifacts</w:t>
            </w:r>
          </w:p>
        </w:tc>
      </w:tr>
      <w:tr>
        <w:tc>
          <w:tcPr>
            <w:tcW w:type="dxa" w:w="3408"/>
            <w:vAlign w:val="center"/>
          </w:tcPr>
          <w:p>
            <w:pPr>
              <w:spacing w:after="20"/>
            </w:pPr>
            <w:r>
              <w:rPr>
                <w:sz w:val="14"/>
              </w:rPr>
              <w:t>2:40–3:20</w:t>
            </w:r>
          </w:p>
        </w:tc>
        <w:tc>
          <w:tcPr>
            <w:tcW w:type="dxa" w:w="3408"/>
            <w:vAlign w:val="center"/>
          </w:tcPr>
          <w:p>
            <w:pPr>
              <w:spacing w:after="20"/>
            </w:pPr>
            <w:r>
              <w:rPr>
                <w:sz w:val="14"/>
              </w:rPr>
              <w:t>Show passing tests, Ruff result, and successful CI workflow.</w:t>
            </w:r>
          </w:p>
        </w:tc>
        <w:tc>
          <w:tcPr>
            <w:tcW w:type="dxa" w:w="3408"/>
            <w:vAlign w:val="center"/>
          </w:tcPr>
          <w:p>
            <w:pPr>
              <w:spacing w:after="20"/>
            </w:pPr>
            <w:r>
              <w:rPr>
                <w:sz w:val="14"/>
              </w:rPr>
              <w:t>Terminal and GitHub Actions run</w:t>
            </w:r>
          </w:p>
        </w:tc>
      </w:tr>
      <w:tr>
        <w:tc>
          <w:tcPr>
            <w:tcW w:type="dxa" w:w="3408"/>
            <w:vAlign w:val="center"/>
            <w:shd w:fill="F2F6FA"/>
          </w:tcPr>
          <w:p>
            <w:pPr>
              <w:spacing w:after="20"/>
            </w:pPr>
            <w:r>
              <w:rPr>
                <w:sz w:val="14"/>
              </w:rPr>
              <w:t>3:20–4:10</w:t>
            </w:r>
          </w:p>
        </w:tc>
        <w:tc>
          <w:tcPr>
            <w:tcW w:type="dxa" w:w="3408"/>
            <w:vAlign w:val="center"/>
            <w:shd w:fill="F2F6FA"/>
          </w:tcPr>
          <w:p>
            <w:pPr>
              <w:spacing w:after="20"/>
            </w:pPr>
            <w:r>
              <w:rPr>
                <w:sz w:val="14"/>
              </w:rPr>
              <w:t>Show FastAPI docs, synthetic prediction, /health, and /metrics.</w:t>
            </w:r>
          </w:p>
        </w:tc>
        <w:tc>
          <w:tcPr>
            <w:tcW w:type="dxa" w:w="3408"/>
            <w:vAlign w:val="center"/>
            <w:shd w:fill="F2F6FA"/>
          </w:tcPr>
          <w:p>
            <w:pPr>
              <w:spacing w:after="20"/>
            </w:pPr>
            <w:r>
              <w:rPr>
                <w:sz w:val="14"/>
              </w:rPr>
              <w:t>Swagger UI and PowerShell</w:t>
            </w:r>
          </w:p>
        </w:tc>
      </w:tr>
      <w:tr>
        <w:tc>
          <w:tcPr>
            <w:tcW w:type="dxa" w:w="3408"/>
            <w:vAlign w:val="center"/>
          </w:tcPr>
          <w:p>
            <w:pPr>
              <w:spacing w:after="20"/>
            </w:pPr>
            <w:r>
              <w:rPr>
                <w:sz w:val="14"/>
              </w:rPr>
              <w:t>4:10–5:10</w:t>
            </w:r>
          </w:p>
        </w:tc>
        <w:tc>
          <w:tcPr>
            <w:tcW w:type="dxa" w:w="3408"/>
            <w:vAlign w:val="center"/>
          </w:tcPr>
          <w:p>
            <w:pPr>
              <w:spacing w:after="20"/>
            </w:pPr>
            <w:r>
              <w:rPr>
                <w:sz w:val="14"/>
              </w:rPr>
              <w:t>Show Docker image and Kubernetes pod, service, rollout, and health.</w:t>
            </w:r>
          </w:p>
        </w:tc>
        <w:tc>
          <w:tcPr>
            <w:tcW w:type="dxa" w:w="3408"/>
            <w:vAlign w:val="center"/>
          </w:tcPr>
          <w:p>
            <w:pPr>
              <w:spacing w:after="20"/>
            </w:pPr>
            <w:r>
              <w:rPr>
                <w:sz w:val="14"/>
              </w:rPr>
              <w:t>Docker CLI and kubectl output</w:t>
            </w:r>
          </w:p>
        </w:tc>
      </w:tr>
      <w:tr>
        <w:tc>
          <w:tcPr>
            <w:tcW w:type="dxa" w:w="3408"/>
            <w:vAlign w:val="center"/>
            <w:shd w:fill="F2F6FA"/>
          </w:tcPr>
          <w:p>
            <w:pPr>
              <w:spacing w:after="20"/>
            </w:pPr>
            <w:r>
              <w:rPr>
                <w:sz w:val="14"/>
              </w:rPr>
              <w:t>5:10–6:00</w:t>
            </w:r>
          </w:p>
        </w:tc>
        <w:tc>
          <w:tcPr>
            <w:tcW w:type="dxa" w:w="3408"/>
            <w:vAlign w:val="center"/>
            <w:shd w:fill="F2F6FA"/>
          </w:tcPr>
          <w:p>
            <w:pPr>
              <w:spacing w:after="20"/>
            </w:pPr>
            <w:r>
              <w:rPr>
                <w:sz w:val="14"/>
              </w:rPr>
              <w:t>Explain why Logistic Regression was selected despite Random Forest holdout results; discuss limitations.</w:t>
            </w:r>
          </w:p>
        </w:tc>
        <w:tc>
          <w:tcPr>
            <w:tcW w:type="dxa" w:w="3408"/>
            <w:vAlign w:val="center"/>
            <w:shd w:fill="F2F6FA"/>
          </w:tcPr>
          <w:p>
            <w:pPr>
              <w:spacing w:after="20"/>
            </w:pPr>
            <w:r>
              <w:rPr>
                <w:sz w:val="14"/>
              </w:rPr>
              <w:t>Results and limitations sections</w:t>
            </w:r>
          </w:p>
        </w:tc>
      </w:tr>
      <w:tr>
        <w:tc>
          <w:tcPr>
            <w:tcW w:type="dxa" w:w="3408"/>
            <w:vAlign w:val="center"/>
          </w:tcPr>
          <w:p>
            <w:pPr>
              <w:spacing w:after="20"/>
            </w:pPr>
            <w:r>
              <w:rPr>
                <w:sz w:val="14"/>
              </w:rPr>
              <w:t>6:00–6:30</w:t>
            </w:r>
          </w:p>
        </w:tc>
        <w:tc>
          <w:tcPr>
            <w:tcW w:type="dxa" w:w="3408"/>
            <w:vAlign w:val="center"/>
          </w:tcPr>
          <w:p>
            <w:pPr>
              <w:spacing w:after="20"/>
            </w:pPr>
            <w:r>
              <w:rPr>
                <w:sz w:val="14"/>
              </w:rPr>
              <w:t>Summarize the workflow and show repository URL.</w:t>
            </w:r>
          </w:p>
        </w:tc>
        <w:tc>
          <w:tcPr>
            <w:tcW w:type="dxa" w:w="3408"/>
            <w:vAlign w:val="center"/>
          </w:tcPr>
          <w:p>
            <w:pPr>
              <w:spacing w:after="20"/>
            </w:pPr>
            <w:r>
              <w:rPr>
                <w:sz w:val="14"/>
              </w:rPr>
              <w:t>Repository and closing slide</w:t>
            </w:r>
          </w:p>
        </w:tc>
      </w:tr>
    </w:tbl>
    <w:p>
      <w:pPr>
        <w:spacing w:after="20"/>
      </w:pPr>
    </w:p>
    <w:p>
      <w:r>
        <w:t>Suggested closing: “This project demonstrates an educational MLOps workflow. The model and its probabilities are not clinically validated and must not be used for medical decisions.”</w:t>
      </w:r>
    </w:p>
    <w:p>
      <w:pPr>
        <w:pStyle w:val="Heading1"/>
      </w:pPr>
      <w:r>
        <w:t>Appendix C. Screenshot and submission checklist</w:t>
      </w:r>
    </w:p>
    <w:p>
      <w:pPr>
        <w:pStyle w:val="ListBullet"/>
        <w:spacing w:after="40"/>
      </w:pPr>
      <w:r>
        <w:t>☐ Cover page: course code, assignment, student ID, repository URL.</w:t>
      </w:r>
    </w:p>
    <w:p>
      <w:pPr>
        <w:pStyle w:val="ListBullet"/>
        <w:spacing w:after="40"/>
      </w:pPr>
      <w:r>
        <w:t>☐ Repository overview: README, source folders, tests, CI workflow, Dockerfile, Kubernetes manifest.</w:t>
      </w:r>
    </w:p>
    <w:p>
      <w:pPr>
        <w:pStyle w:val="ListBullet"/>
        <w:spacing w:after="40"/>
      </w:pPr>
      <w:r>
        <w:t>☐ Data ingestion output and metadata: URL, timestamp, rows, missing values, target distribution.</w:t>
      </w:r>
    </w:p>
    <w:p>
      <w:pPr>
        <w:pStyle w:val="ListBullet"/>
        <w:spacing w:after="40"/>
      </w:pPr>
      <w:r>
        <w:t>☐ EDA summary and representative figures generated by the final run.</w:t>
      </w:r>
    </w:p>
    <w:p>
      <w:pPr>
        <w:pStyle w:val="ListBullet"/>
        <w:spacing w:after="40"/>
      </w:pPr>
      <w:r>
        <w:t>☐ Training summary: both models, CV means and standard deviations, holdout metrics, selection rule.</w:t>
      </w:r>
    </w:p>
    <w:p>
      <w:pPr>
        <w:pStyle w:val="ListBullet"/>
        <w:spacing w:after="40"/>
      </w:pPr>
      <w:r>
        <w:t>☐ MLflow UI: experiment, both runs, metrics, confusion matrix and ROC artifacts.</w:t>
      </w:r>
    </w:p>
    <w:p>
      <w:pPr>
        <w:pStyle w:val="ListBullet"/>
        <w:spacing w:after="40"/>
      </w:pPr>
      <w:r>
        <w:t>☐ Terminal output: pytest (6 passed) and Ruff success.</w:t>
      </w:r>
    </w:p>
    <w:p>
      <w:pPr>
        <w:pStyle w:val="ListBullet"/>
        <w:spacing w:after="40"/>
      </w:pPr>
      <w:r>
        <w:t>☐ GitHub Actions: all steps green and evidence artifact uploaded.</w:t>
      </w:r>
    </w:p>
    <w:p>
      <w:pPr>
        <w:pStyle w:val="ListBullet"/>
        <w:spacing w:after="40"/>
      </w:pPr>
      <w:r>
        <w:t>☐ FastAPI /docs: request schema and synthetic prediction response.</w:t>
      </w:r>
    </w:p>
    <w:p>
      <w:pPr>
        <w:pStyle w:val="ListBullet"/>
        <w:spacing w:after="40"/>
      </w:pPr>
      <w:r>
        <w:t>☐ /health response with model_loaded true and /metrics output.</w:t>
      </w:r>
    </w:p>
    <w:p>
      <w:pPr>
        <w:pStyle w:val="ListBullet"/>
        <w:spacing w:after="40"/>
      </w:pPr>
      <w:r>
        <w:t>☐ Docker build/image evidence and container run, if required by rubric.</w:t>
      </w:r>
    </w:p>
    <w:p>
      <w:pPr>
        <w:pStyle w:val="ListBullet"/>
        <w:spacing w:after="40"/>
      </w:pPr>
      <w:r>
        <w:t>☐ Kubernetes nodes, pod 1/1 Running, Deployment, Service, rollout, and health response.</w:t>
      </w:r>
    </w:p>
    <w:p>
      <w:pPr>
        <w:pStyle w:val="ListBullet"/>
        <w:spacing w:after="40"/>
      </w:pPr>
      <w:r>
        <w:t>☐ Git history and current git status; commit screenshots if required.</w:t>
      </w:r>
    </w:p>
    <w:p>
      <w:pPr>
        <w:pStyle w:val="ListBullet"/>
        <w:spacing w:after="40"/>
      </w:pPr>
      <w:r>
        <w:t>☐ Final report checked for student ID, repository URL, consistent metrics, and absence of placeholders.</w:t>
      </w:r>
    </w:p>
    <w:p>
      <w:pPr>
        <w:pStyle w:val="ListBullet"/>
        <w:spacing w:after="40"/>
      </w:pPr>
      <w:r>
        <w:t>☐ Demonstration video recorded, checked for readable content, and saved to the required submission location.</w:t>
      </w:r>
    </w:p>
    <w:p>
      <w:pPr>
        <w:pStyle w:val="Heading1"/>
      </w:pPr>
      <w:r>
        <w:t>Appendix D. Deployment verification commands</w:t>
      </w:r>
    </w:p>
    <w:p>
      <w:pPr>
        <w:spacing w:after="100"/>
        <w:ind w:left="216"/>
        <w:shd w:fill="F1F4F8"/>
      </w:pPr>
      <w:r>
        <w:rPr>
          <w:rFonts w:ascii="Consolas" w:hAnsi="Consolas"/>
          <w:sz w:val="15"/>
        </w:rPr>
        <w:t># Kubernetes (Docker Desktop Kubernetes enabled)</w:t>
      </w:r>
      <w:r>
        <w:br/>
      </w:r>
      <w:r>
        <w:rPr>
          <w:rFonts w:ascii="Consolas" w:hAnsi="Consolas"/>
          <w:sz w:val="15"/>
        </w:rPr>
        <w:t>kubectl apply -f .\deployment\k8s\deployment.yaml</w:t>
      </w:r>
      <w:r>
        <w:br/>
      </w:r>
      <w:r>
        <w:rPr>
          <w:rFonts w:ascii="Consolas" w:hAnsi="Consolas"/>
          <w:sz w:val="15"/>
        </w:rPr>
        <w:t>kubectl get nodes</w:t>
      </w:r>
      <w:r>
        <w:br/>
      </w:r>
      <w:r>
        <w:rPr>
          <w:rFonts w:ascii="Consolas" w:hAnsi="Consolas"/>
          <w:sz w:val="15"/>
        </w:rPr>
        <w:t>kubectl get pods</w:t>
      </w:r>
      <w:r>
        <w:br/>
      </w:r>
      <w:r>
        <w:rPr>
          <w:rFonts w:ascii="Consolas" w:hAnsi="Consolas"/>
          <w:sz w:val="15"/>
        </w:rPr>
        <w:t>kubectl get deployments</w:t>
      </w:r>
      <w:r>
        <w:br/>
      </w:r>
      <w:r>
        <w:rPr>
          <w:rFonts w:ascii="Consolas" w:hAnsi="Consolas"/>
          <w:sz w:val="15"/>
        </w:rPr>
        <w:t>kubectl get services</w:t>
      </w:r>
      <w:r>
        <w:br/>
      </w:r>
      <w:r>
        <w:rPr>
          <w:rFonts w:ascii="Consolas" w:hAnsi="Consolas"/>
          <w:sz w:val="15"/>
        </w:rPr>
        <w:t>kubectl rollout status deployment/heart-disease-api --timeout=120s</w:t>
      </w:r>
      <w:r>
        <w:br/>
      </w:r>
      <w:r>
        <w:rPr>
          <w:rFonts w:ascii="Consolas" w:hAnsi="Consolas"/>
          <w:sz w:val="15"/>
        </w:rPr>
        <w:t>kubectl port-forward service/heart-disease-api 8001:8000</w:t>
      </w:r>
      <w:r>
        <w:br/>
      </w:r>
      <w:r>
        <w:rPr>
          <w:rFonts w:ascii="Consolas" w:hAnsi="Consolas"/>
          <w:sz w:val="15"/>
        </w:rPr>
      </w:r>
      <w:r>
        <w:br/>
      </w:r>
      <w:r>
        <w:rPr>
          <w:rFonts w:ascii="Consolas" w:hAnsi="Consolas"/>
          <w:sz w:val="15"/>
        </w:rPr>
        <w:t># In another terminal</w:t>
      </w:r>
      <w:r>
        <w:br/>
      </w:r>
      <w:r>
        <w:rPr>
          <w:rFonts w:ascii="Consolas" w:hAnsi="Consolas"/>
          <w:sz w:val="15"/>
        </w:rPr>
        <w:t>Invoke-RestMethod http://localhost:8001/health</w:t>
      </w:r>
      <w:r>
        <w:br/>
      </w:r>
      <w:r>
        <w:rPr>
          <w:rFonts w:ascii="Consolas" w:hAnsi="Consolas"/>
          <w:sz w:val="15"/>
        </w:rPr>
        <w:t>Invoke-WebRequest http://localhost:8001/metrics</w:t>
      </w:r>
    </w:p>
    <w:p>
      <w:pPr>
        <w:jc w:val="center"/>
      </w:pPr>
      <w:r>
        <w:rPr>
          <w:b/>
          <w:color w:val="007C91"/>
        </w:rPr>
        <w:t>— End of report —</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Heart Disease Classification MLOps  •  Student ID: 2025AE05963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AIMLCZG523  |  MACHINE LEARNING OPERATIONS  |  ASSIGNMENT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7C9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dc:title>
  <dc:subject>BITS Pilani AIMLCZG523 Assignment 1</dc:subject>
  <dc:creator>Harikishor M G</dc:creator>
  <cp:keywords>MLOps, MLflow, FastAPI, Docker, Kubernetes, AIMLCZG523</cp:keywords>
  <dc:description>generated by python-docx</dc:description>
  <cp:lastModifiedBy/>
  <cp:revision>1</cp:revision>
  <dcterms:created xsi:type="dcterms:W3CDTF">2013-12-23T23:15:00Z</dcterms:created>
  <dcterms:modified xsi:type="dcterms:W3CDTF">2013-12-23T23:15:00Z</dcterms:modified>
  <cp:category/>
</cp:coreProperties>
</file>