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864"/>
          <w:sz w:val="44"/>
          <w:szCs w:val="44"/>
        </w:rPr>
        <w:t xml:space="preserve">SOFTWARE ARCHITECTURE DOCUMENT</w:t>
      </w:r>
    </w:p>
    <w:p>
      <w:pPr>
        <w:spacing w:after="200" w:before="300"/>
        <w:jc w:val="center"/>
      </w:pPr>
      <w:r>
        <w:rPr>
          <w:b/>
          <w:bCs/>
          <w:color w:val="2E75B6"/>
          <w:sz w:val="32"/>
          <w:szCs w:val="32"/>
        </w:rPr>
        <w:t xml:space="preserve">Battery-Aware Social Communication Platform</w:t>
      </w:r>
    </w:p>
    <w:p>
      <w:pPr>
        <w:spacing w:after="100" w:before="100"/>
        <w:jc w:val="center"/>
      </w:pPr>
      <w:r>
        <w:rPr>
          <w:i/>
          <w:iCs/>
          <w:color w:val="595959"/>
          <w:sz w:val="24"/>
          <w:szCs w:val="24"/>
        </w:rPr>
        <w:t xml:space="preserve">Engineering Architecture &amp; Agentic Build Plan Using Google Antigravity</w:t>
      </w:r>
    </w:p>
    <w:p>
      <w:pPr>
        <w:spacing w:before="1200"/>
      </w:pPr>
    </w:p>
    <w:p>
      <w:pPr>
        <w:jc w:val="center"/>
      </w:pPr>
      <w:r>
        <w:rPr>
          <w:color w:val="1A1A1A"/>
          <w:sz w:val="21"/>
          <w:szCs w:val="21"/>
        </w:rPr>
        <w:t xml:space="preserve">Document Version: 1.0</w:t>
      </w:r>
    </w:p>
    <w:p>
      <w:pPr>
        <w:jc w:val="center"/>
      </w:pPr>
      <w:r>
        <w:rPr>
          <w:color w:val="1A1A1A"/>
          <w:sz w:val="21"/>
          <w:szCs w:val="21"/>
        </w:rPr>
        <w:t xml:space="preserve">Date: August 2026</w:t>
      </w:r>
    </w:p>
    <w:p>
      <w:pPr>
        <w:jc w:val="center"/>
      </w:pPr>
      <w:r>
        <w:rPr>
          <w:color w:val="1A1A1A"/>
          <w:sz w:val="21"/>
          <w:szCs w:val="21"/>
        </w:rPr>
        <w:t xml:space="preserve">Prepared for: Hari Krishna Mangali</w:t>
      </w:r>
    </w:p>
    <w:p>
      <w:pPr>
        <w:spacing w:before="100"/>
        <w:jc w:val="center"/>
      </w:pPr>
      <w:r>
        <w:rPr>
          <w:color w:val="1A1A1A"/>
          <w:sz w:val="21"/>
          <w:szCs w:val="21"/>
        </w:rPr>
        <w:t xml:space="preserve">Build Toolchain: Google Antigravity (Agentic IDE) · Gemini 3 / Claude Sonnet Agents</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75B6" w:sz="8" w:space="4"/>
        </w:pBdr>
        <w:spacing w:after="200" w:before="480"/>
      </w:pPr>
      <w:r>
        <w:rPr>
          <w:b/>
          <w:bCs/>
          <w:color w:val="1F3864"/>
          <w:sz w:val="30"/>
          <w:szCs w:val="30"/>
        </w:rPr>
        <w:t xml:space="preserve">1. Document Purpose &amp; Scope</w:t>
      </w:r>
    </w:p>
    <w:p>
      <w:pPr>
        <w:spacing w:after="160" w:line="300"/>
      </w:pPr>
      <w:r>
        <w:rPr>
          <w:color w:val="1A1A1A"/>
          <w:sz w:val="21"/>
          <w:szCs w:val="21"/>
        </w:rPr>
        <w:t xml:space="preserve">This document defines the end-to-end software architecture for the Battery-Aware Social Communication Platform (codename: CallShield) and specifies exactly how that architecture should be built inside Google Antigravity, Google's agent-first development platform. It translates the Product Requirements Document (PRD) into concrete system boundaries, service contracts, data models, and an agent-executable build plan.</w:t>
      </w:r>
    </w:p>
    <w:p>
      <w:pPr>
        <w:spacing w:after="160" w:line="300"/>
      </w:pPr>
      <w:r>
        <w:rPr>
          <w:color w:val="1A1A1A"/>
          <w:sz w:val="21"/>
          <w:szCs w:val="21"/>
        </w:rPr>
        <w:t xml:space="preserve">The document is written for two audiences at once: human engineers who need a reference architecture, and AI coding agents (Gemini 3 Pro / Claude Sonnet inside Antigravity) who will use this document as their primary planning artifact when generating the codebase.</w:t>
      </w:r>
    </w:p>
    <w:p>
      <w:pPr>
        <w:pStyle w:val="Heading3"/>
        <w:spacing w:after="100" w:before="220"/>
      </w:pPr>
      <w:r>
        <w:rPr>
          <w:b/>
          <w:bCs/>
          <w:color w:val="2E75B6"/>
          <w:sz w:val="21"/>
          <w:szCs w:val="21"/>
        </w:rPr>
        <w:t xml:space="preserve">In Scope</w:t>
      </w:r>
    </w:p>
    <w:p>
      <w:pPr>
        <w:pStyle w:val="ListParagraph"/>
        <w:numPr>
          <w:ilvl w:val="0"/>
          <w:numId w:val="2"/>
        </w:numPr>
        <w:spacing w:after="60"/>
      </w:pPr>
      <w:r>
        <w:rPr>
          <w:color w:val="1A1A1A"/>
          <w:sz w:val="21"/>
          <w:szCs w:val="21"/>
        </w:rPr>
        <w:t xml:space="preserve">Mobile client architecture (Android, Kotlin, Jetpack Compose)</w:t>
      </w:r>
    </w:p>
    <w:p>
      <w:pPr>
        <w:pStyle w:val="ListParagraph"/>
        <w:numPr>
          <w:ilvl w:val="0"/>
          <w:numId w:val="2"/>
        </w:numPr>
        <w:spacing w:after="60"/>
      </w:pPr>
      <w:r>
        <w:rPr>
          <w:color w:val="1A1A1A"/>
          <w:sz w:val="21"/>
          <w:szCs w:val="21"/>
        </w:rPr>
        <w:t xml:space="preserve">Backend microservices architecture (Java / Spring Boot)</w:t>
      </w:r>
    </w:p>
    <w:p>
      <w:pPr>
        <w:pStyle w:val="ListParagraph"/>
        <w:numPr>
          <w:ilvl w:val="0"/>
          <w:numId w:val="2"/>
        </w:numPr>
        <w:spacing w:after="60"/>
      </w:pPr>
      <w:r>
        <w:rPr>
          <w:color w:val="1A1A1A"/>
          <w:sz w:val="21"/>
          <w:szCs w:val="21"/>
        </w:rPr>
        <w:t xml:space="preserve">Battery-Aware Calling System — the product's core differentiator</w:t>
      </w:r>
    </w:p>
    <w:p>
      <w:pPr>
        <w:pStyle w:val="ListParagraph"/>
        <w:numPr>
          <w:ilvl w:val="0"/>
          <w:numId w:val="2"/>
        </w:numPr>
        <w:spacing w:after="60"/>
      </w:pPr>
      <w:r>
        <w:rPr>
          <w:color w:val="1A1A1A"/>
          <w:sz w:val="21"/>
          <w:szCs w:val="21"/>
        </w:rPr>
        <w:t xml:space="preserve">Real-time messaging and WebRTC calling architecture</w:t>
      </w:r>
    </w:p>
    <w:p>
      <w:pPr>
        <w:pStyle w:val="ListParagraph"/>
        <w:numPr>
          <w:ilvl w:val="0"/>
          <w:numId w:val="2"/>
        </w:numPr>
        <w:spacing w:after="60"/>
      </w:pPr>
      <w:r>
        <w:rPr>
          <w:color w:val="1A1A1A"/>
          <w:sz w:val="21"/>
          <w:szCs w:val="21"/>
        </w:rPr>
        <w:t xml:space="preserve">Data, security, and infrastructure architecture</w:t>
      </w:r>
    </w:p>
    <w:p>
      <w:pPr>
        <w:pStyle w:val="ListParagraph"/>
        <w:numPr>
          <w:ilvl w:val="0"/>
          <w:numId w:val="2"/>
        </w:numPr>
        <w:spacing w:after="60"/>
      </w:pPr>
      <w:r>
        <w:rPr>
          <w:color w:val="1A1A1A"/>
          <w:sz w:val="21"/>
          <w:szCs w:val="21"/>
        </w:rPr>
        <w:t xml:space="preserve">A structured plan for building all of the above using Google Antigravity's Agent Manager, Editor, and Artifact-verification workflow</w:t>
      </w:r>
    </w:p>
    <w:p>
      <w:pPr>
        <w:pStyle w:val="Heading3"/>
        <w:spacing w:after="100" w:before="220"/>
      </w:pPr>
      <w:r>
        <w:rPr>
          <w:b/>
          <w:bCs/>
          <w:color w:val="2E75B6"/>
          <w:sz w:val="21"/>
          <w:szCs w:val="21"/>
        </w:rPr>
        <w:t xml:space="preserve">Out of Scope</w:t>
      </w:r>
    </w:p>
    <w:p>
      <w:pPr>
        <w:pStyle w:val="ListParagraph"/>
        <w:numPr>
          <w:ilvl w:val="0"/>
          <w:numId w:val="2"/>
        </w:numPr>
        <w:spacing w:after="60"/>
      </w:pPr>
      <w:r>
        <w:rPr>
          <w:color w:val="1A1A1A"/>
          <w:sz w:val="21"/>
          <w:szCs w:val="21"/>
        </w:rPr>
        <w:t xml:space="preserve">iOS implementation detail (architecture is noted but deferred to Phase 2)</w:t>
      </w:r>
    </w:p>
    <w:p>
      <w:pPr>
        <w:pStyle w:val="ListParagraph"/>
        <w:numPr>
          <w:ilvl w:val="0"/>
          <w:numId w:val="2"/>
        </w:numPr>
        <w:spacing w:after="60"/>
      </w:pPr>
      <w:r>
        <w:rPr>
          <w:color w:val="1A1A1A"/>
          <w:sz w:val="21"/>
          <w:szCs w:val="21"/>
        </w:rPr>
        <w:t xml:space="preserve">Detailed UI visual design (covered by a separate UI/UX spec)</w:t>
      </w:r>
    </w:p>
    <w:p>
      <w:pPr>
        <w:pStyle w:val="Heading1"/>
        <w:pBdr>
          <w:bottom w:val="single" w:color="2E75B6" w:sz="8" w:space="4"/>
        </w:pBdr>
        <w:spacing w:after="200" w:before="480"/>
      </w:pPr>
      <w:r>
        <w:rPr>
          <w:b/>
          <w:bCs/>
          <w:color w:val="1F3864"/>
          <w:sz w:val="30"/>
          <w:szCs w:val="30"/>
        </w:rPr>
        <w:t xml:space="preserve">2. Architecture Goals &amp; Guiding Principles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3864" w:val="clear"/>
            <w:tcMar>
              <w:top w:type="dxa" w:w="80"/>
              <w:left w:type="dxa" w:w="100"/>
              <w:bottom w:type="dxa" w:w="80"/>
              <w:right w:type="dxa" w:w="100"/>
            </w:tcMar>
          </w:tcPr>
          <w:p>
            <w:r>
              <w:rPr>
                <w:b/>
                <w:bCs/>
                <w:color w:val="FFFFFF"/>
                <w:sz w:val="19"/>
                <w:szCs w:val="19"/>
              </w:rPr>
              <w:t xml:space="preserve">Principle</w:t>
            </w:r>
          </w:p>
        </w:tc>
        <w:tc>
          <w:tcPr>
            <w:tcW w:type="dxa" w:w="6350"/>
            <w:shd w:fill="1F3864" w:val="clear"/>
            <w:tcMar>
              <w:top w:type="dxa" w:w="80"/>
              <w:left w:type="dxa" w:w="100"/>
              <w:bottom w:type="dxa" w:w="80"/>
              <w:right w:type="dxa" w:w="100"/>
            </w:tcMar>
          </w:tcPr>
          <w:p>
            <w:r>
              <w:rPr>
                <w:b/>
                <w:bCs/>
                <w:color w:val="FFFFFF"/>
                <w:sz w:val="19"/>
                <w:szCs w:val="19"/>
              </w:rPr>
              <w:t xml:space="preserve">Description</w:t>
            </w:r>
          </w:p>
        </w:tc>
      </w:tr>
      <w:tr>
        <w:tc>
          <w:tcPr>
            <w:tcW w:type="dxa" w:w="3000"/>
            <w:tcMar>
              <w:top w:type="dxa" w:w="80"/>
              <w:left w:type="dxa" w:w="100"/>
              <w:bottom w:type="dxa" w:w="80"/>
              <w:right w:type="dxa" w:w="100"/>
            </w:tcMar>
          </w:tcPr>
          <w:p>
            <w:r>
              <w:rPr>
                <w:b w:val="false"/>
                <w:bCs w:val="false"/>
                <w:color w:val="1A1A1A"/>
                <w:sz w:val="19"/>
                <w:szCs w:val="19"/>
              </w:rPr>
              <w:t xml:space="preserve">Separation of concerns</w:t>
            </w:r>
          </w:p>
        </w:tc>
        <w:tc>
          <w:tcPr>
            <w:tcW w:type="dxa" w:w="6350"/>
            <w:tcMar>
              <w:top w:type="dxa" w:w="80"/>
              <w:left w:type="dxa" w:w="100"/>
              <w:bottom w:type="dxa" w:w="80"/>
              <w:right w:type="dxa" w:w="100"/>
            </w:tcMar>
          </w:tcPr>
          <w:p>
            <w:r>
              <w:rPr>
                <w:b w:val="false"/>
                <w:bCs w:val="false"/>
                <w:color w:val="1A1A1A"/>
                <w:sz w:val="19"/>
                <w:szCs w:val="19"/>
              </w:rPr>
              <w:t xml:space="preserve">Battery monitoring, call signaling, and media transport are decoupled services so the safety-critical battery logic can be tested and shipped independently.</w:t>
            </w:r>
          </w:p>
        </w:tc>
      </w:tr>
      <w:tr>
        <w:tc>
          <w:tcPr>
            <w:tcW w:type="dxa" w:w="3000"/>
            <w:shd w:fill="EAF1FA" w:val="clear"/>
            <w:tcMar>
              <w:top w:type="dxa" w:w="80"/>
              <w:left w:type="dxa" w:w="100"/>
              <w:bottom w:type="dxa" w:w="80"/>
              <w:right w:type="dxa" w:w="100"/>
            </w:tcMar>
          </w:tcPr>
          <w:p>
            <w:r>
              <w:rPr>
                <w:b w:val="false"/>
                <w:bCs w:val="false"/>
                <w:color w:val="1A1A1A"/>
                <w:sz w:val="19"/>
                <w:szCs w:val="19"/>
              </w:rPr>
              <w:t xml:space="preserve">Fail-safe by default</w:t>
            </w:r>
          </w:p>
        </w:tc>
        <w:tc>
          <w:tcPr>
            <w:tcW w:type="dxa" w:w="6350"/>
            <w:shd w:fill="EAF1FA" w:val="clear"/>
            <w:tcMar>
              <w:top w:type="dxa" w:w="80"/>
              <w:left w:type="dxa" w:w="100"/>
              <w:bottom w:type="dxa" w:w="80"/>
              <w:right w:type="dxa" w:w="100"/>
            </w:tcMar>
          </w:tcPr>
          <w:p>
            <w:r>
              <w:rPr>
                <w:b w:val="false"/>
                <w:bCs w:val="false"/>
                <w:color w:val="1A1A1A"/>
                <w:sz w:val="19"/>
                <w:szCs w:val="19"/>
              </w:rPr>
              <w:t xml:space="preserve">If the Battery Monitoring module cannot read battery state, the system must never block emergency call visibility or crash the call — it degrades to warning-only mode.</w:t>
            </w:r>
          </w:p>
        </w:tc>
      </w:tr>
      <w:tr>
        <w:tc>
          <w:tcPr>
            <w:tcW w:type="dxa" w:w="3000"/>
            <w:tcMar>
              <w:top w:type="dxa" w:w="80"/>
              <w:left w:type="dxa" w:w="100"/>
              <w:bottom w:type="dxa" w:w="80"/>
              <w:right w:type="dxa" w:w="100"/>
            </w:tcMar>
          </w:tcPr>
          <w:p>
            <w:r>
              <w:rPr>
                <w:b w:val="false"/>
                <w:bCs w:val="false"/>
                <w:color w:val="1A1A1A"/>
                <w:sz w:val="19"/>
                <w:szCs w:val="19"/>
              </w:rPr>
              <w:t xml:space="preserve">Client-authoritative battery decisions</w:t>
            </w:r>
          </w:p>
        </w:tc>
        <w:tc>
          <w:tcPr>
            <w:tcW w:type="dxa" w:w="6350"/>
            <w:tcMar>
              <w:top w:type="dxa" w:w="80"/>
              <w:left w:type="dxa" w:w="100"/>
              <w:bottom w:type="dxa" w:w="80"/>
              <w:right w:type="dxa" w:w="100"/>
            </w:tcMar>
          </w:tcPr>
          <w:p>
            <w:r>
              <w:rPr>
                <w:b w:val="false"/>
                <w:bCs w:val="false"/>
                <w:color w:val="1A1A1A"/>
                <w:sz w:val="19"/>
                <w:szCs w:val="19"/>
              </w:rPr>
              <w:t xml:space="preserve">Battery level is device-local; the termination decision is made on-device for zero latency, then reported to the backend for history/analytics.</w:t>
            </w:r>
          </w:p>
        </w:tc>
      </w:tr>
      <w:tr>
        <w:tc>
          <w:tcPr>
            <w:tcW w:type="dxa" w:w="3000"/>
            <w:shd w:fill="EAF1FA" w:val="clear"/>
            <w:tcMar>
              <w:top w:type="dxa" w:w="80"/>
              <w:left w:type="dxa" w:w="100"/>
              <w:bottom w:type="dxa" w:w="80"/>
              <w:right w:type="dxa" w:w="100"/>
            </w:tcMar>
          </w:tcPr>
          <w:p>
            <w:r>
              <w:rPr>
                <w:b w:val="false"/>
                <w:bCs w:val="false"/>
                <w:color w:val="1A1A1A"/>
                <w:sz w:val="19"/>
                <w:szCs w:val="19"/>
              </w:rPr>
              <w:t xml:space="preserve">Stateless services, stateful stores</w:t>
            </w:r>
          </w:p>
        </w:tc>
        <w:tc>
          <w:tcPr>
            <w:tcW w:type="dxa" w:w="6350"/>
            <w:shd w:fill="EAF1FA" w:val="clear"/>
            <w:tcMar>
              <w:top w:type="dxa" w:w="80"/>
              <w:left w:type="dxa" w:w="100"/>
              <w:bottom w:type="dxa" w:w="80"/>
              <w:right w:type="dxa" w:w="100"/>
            </w:tcMar>
          </w:tcPr>
          <w:p>
            <w:r>
              <w:rPr>
                <w:b w:val="false"/>
                <w:bCs w:val="false"/>
                <w:color w:val="1A1A1A"/>
                <w:sz w:val="19"/>
                <w:szCs w:val="19"/>
              </w:rPr>
              <w:t xml:space="preserve">All Spring Boot services are horizontally scalable and stateless; state lives in PostgreSQL, Redis, and S3 only.</w:t>
            </w:r>
          </w:p>
        </w:tc>
      </w:tr>
      <w:tr>
        <w:tc>
          <w:tcPr>
            <w:tcW w:type="dxa" w:w="3000"/>
            <w:tcMar>
              <w:top w:type="dxa" w:w="80"/>
              <w:left w:type="dxa" w:w="100"/>
              <w:bottom w:type="dxa" w:w="80"/>
              <w:right w:type="dxa" w:w="100"/>
            </w:tcMar>
          </w:tcPr>
          <w:p>
            <w:r>
              <w:rPr>
                <w:b w:val="false"/>
                <w:bCs w:val="false"/>
                <w:color w:val="1A1A1A"/>
                <w:sz w:val="19"/>
                <w:szCs w:val="19"/>
              </w:rPr>
              <w:t xml:space="preserve">Agent-buildable modularity</w:t>
            </w:r>
          </w:p>
        </w:tc>
        <w:tc>
          <w:tcPr>
            <w:tcW w:type="dxa" w:w="6350"/>
            <w:tcMar>
              <w:top w:type="dxa" w:w="80"/>
              <w:left w:type="dxa" w:w="100"/>
              <w:bottom w:type="dxa" w:w="80"/>
              <w:right w:type="dxa" w:w="100"/>
            </w:tcMar>
          </w:tcPr>
          <w:p>
            <w:r>
              <w:rPr>
                <w:b w:val="false"/>
                <w:bCs w:val="false"/>
                <w:color w:val="1A1A1A"/>
                <w:sz w:val="19"/>
                <w:szCs w:val="19"/>
              </w:rPr>
              <w:t xml:space="preserve">Every service/module is small enough (single responsibility, &lt;1 domain) that one Antigravity agent task can own it end-to-end, including tests.</w:t>
            </w:r>
          </w:p>
        </w:tc>
      </w:tr>
      <w:tr>
        <w:tc>
          <w:tcPr>
            <w:tcW w:type="dxa" w:w="3000"/>
            <w:shd w:fill="EAF1FA" w:val="clear"/>
            <w:tcMar>
              <w:top w:type="dxa" w:w="80"/>
              <w:left w:type="dxa" w:w="100"/>
              <w:bottom w:type="dxa" w:w="80"/>
              <w:right w:type="dxa" w:w="100"/>
            </w:tcMar>
          </w:tcPr>
          <w:p>
            <w:r>
              <w:rPr>
                <w:b w:val="false"/>
                <w:bCs w:val="false"/>
                <w:color w:val="1A1A1A"/>
                <w:sz w:val="19"/>
                <w:szCs w:val="19"/>
              </w:rPr>
              <w:t xml:space="preserve">Verifiability</w:t>
            </w:r>
          </w:p>
        </w:tc>
        <w:tc>
          <w:tcPr>
            <w:tcW w:type="dxa" w:w="6350"/>
            <w:shd w:fill="EAF1FA" w:val="clear"/>
            <w:tcMar>
              <w:top w:type="dxa" w:w="80"/>
              <w:left w:type="dxa" w:w="100"/>
              <w:bottom w:type="dxa" w:w="80"/>
              <w:right w:type="dxa" w:w="100"/>
            </w:tcMar>
          </w:tcPr>
          <w:p>
            <w:r>
              <w:rPr>
                <w:b w:val="false"/>
                <w:bCs w:val="false"/>
                <w:color w:val="1A1A1A"/>
                <w:sz w:val="19"/>
                <w:szCs w:val="19"/>
              </w:rPr>
              <w:t xml:space="preserve">Every architectural component maps to an automated test and an Antigravity Artifact (walkthrough, screenshot, or test report) so agent output is independently checkable.</w:t>
            </w:r>
          </w:p>
        </w:tc>
      </w:tr>
      <w:tr>
        <w:tc>
          <w:tcPr>
            <w:tcW w:type="dxa" w:w="3000"/>
            <w:tcMar>
              <w:top w:type="dxa" w:w="80"/>
              <w:left w:type="dxa" w:w="100"/>
              <w:bottom w:type="dxa" w:w="80"/>
              <w:right w:type="dxa" w:w="100"/>
            </w:tcMar>
          </w:tcPr>
          <w:p>
            <w:r>
              <w:rPr>
                <w:b w:val="false"/>
                <w:bCs w:val="false"/>
                <w:color w:val="1A1A1A"/>
                <w:sz w:val="19"/>
                <w:szCs w:val="19"/>
              </w:rPr>
              <w:t xml:space="preserve">Security &amp; privacy by design</w:t>
            </w:r>
          </w:p>
        </w:tc>
        <w:tc>
          <w:tcPr>
            <w:tcW w:type="dxa" w:w="6350"/>
            <w:tcMar>
              <w:top w:type="dxa" w:w="80"/>
              <w:left w:type="dxa" w:w="100"/>
              <w:bottom w:type="dxa" w:w="80"/>
              <w:right w:type="dxa" w:w="100"/>
            </w:tcMar>
          </w:tcPr>
          <w:p>
            <w:r>
              <w:rPr>
                <w:b w:val="false"/>
                <w:bCs w:val="false"/>
                <w:color w:val="1A1A1A"/>
                <w:sz w:val="19"/>
                <w:szCs w:val="19"/>
              </w:rPr>
              <w:t xml:space="preserve">TLS everywhere, encryption at rest, least-privilege service accounts, and an E2EE path for 1:1 chat.</w:t>
            </w:r>
          </w:p>
        </w:tc>
      </w:tr>
    </w:tbl>
    <w:p>
      <w:pPr>
        <w:pStyle w:val="Heading1"/>
        <w:pBdr>
          <w:bottom w:val="single" w:color="2E75B6" w:sz="8" w:space="4"/>
        </w:pBdr>
        <w:spacing w:after="200" w:before="480"/>
      </w:pPr>
      <w:r>
        <w:rPr>
          <w:b/>
          <w:bCs/>
          <w:color w:val="1F3864"/>
          <w:sz w:val="30"/>
          <w:szCs w:val="30"/>
        </w:rPr>
        <w:t xml:space="preserve">3. High-Level System Architecture</w:t>
      </w:r>
    </w:p>
    <w:p>
      <w:pPr>
        <w:spacing w:after="160" w:line="300"/>
      </w:pPr>
      <w:r>
        <w:rPr>
          <w:color w:val="1A1A1A"/>
          <w:sz w:val="21"/>
          <w:szCs w:val="21"/>
        </w:rPr>
        <w:t xml:space="preserve">The platform follows a layered, microservices-based architecture with a mobile client, an API/real-time gateway layer, a set of domain microservices, and shared data infrastructure.</w:t>
      </w:r>
    </w:p>
    <w:p>
      <w:pPr>
        <w:pBdr>
          <w:top w:val="single" w:color="CCCCCC" w:sz="4" w:space="4"/>
          <w:bottom w:val="single" w:color="CCCCCC" w:sz="4" w:space="4"/>
          <w:left w:val="single" w:color="CCCCCC" w:sz="4" w:space="4"/>
          <w:right w:val="single" w:color="CCCCCC" w:sz="4" w:space="4"/>
        </w:pBdr>
        <w:shd w:fill="F2F2F2" w:val="clear"/>
        <w:spacing w:after="200"/>
      </w:pPr>
      <w:r>
        <w:rPr>
          <w:rFonts w:ascii="Consolas" w:cs="Consolas" w:eastAsia="Consolas" w:hAnsi="Consolas"/>
          <w:color w:val="333333"/>
          <w:sz w:val="18"/>
          <w:szCs w:val="18"/>
        </w:rPr>
        <w:t xml:space="preserve">                         ┌────────────────────────────┐</w:t>
      </w:r>
      <w:r>
        <w:rPr>
          <w:rFonts w:ascii="Consolas" w:cs="Consolas" w:eastAsia="Consolas" w:hAnsi="Consolas"/>
          <w:color w:val="333333"/>
          <w:sz w:val="18"/>
          <w:szCs w:val="18"/>
        </w:rPr>
        <w:br/>
        <w:t xml:space="preserve">                         │        MOBILE CLIENT        │</w:t>
      </w:r>
      <w:r>
        <w:rPr>
          <w:rFonts w:ascii="Consolas" w:cs="Consolas" w:eastAsia="Consolas" w:hAnsi="Consolas"/>
          <w:color w:val="333333"/>
          <w:sz w:val="18"/>
          <w:szCs w:val="18"/>
        </w:rPr>
        <w:br/>
        <w:t xml:space="preserve">                         │  Android (Kotlin / Compose) │</w:t>
      </w:r>
      <w:r>
        <w:rPr>
          <w:rFonts w:ascii="Consolas" w:cs="Consolas" w:eastAsia="Consolas" w:hAnsi="Consolas"/>
          <w:color w:val="333333"/>
          <w:sz w:val="18"/>
          <w:szCs w:val="18"/>
        </w:rPr>
        <w:br/>
        <w:t xml:space="preserve">                         │  ┌────────────────────────┐ │</w:t>
      </w:r>
      <w:r>
        <w:rPr>
          <w:rFonts w:ascii="Consolas" w:cs="Consolas" w:eastAsia="Consolas" w:hAnsi="Consolas"/>
          <w:color w:val="333333"/>
          <w:sz w:val="18"/>
          <w:szCs w:val="18"/>
        </w:rPr>
        <w:br/>
        <w:t xml:space="preserve">                         │  │  Battery Monitor Module │ │</w:t>
      </w:r>
      <w:r>
        <w:rPr>
          <w:rFonts w:ascii="Consolas" w:cs="Consolas" w:eastAsia="Consolas" w:hAnsi="Consolas"/>
          <w:color w:val="333333"/>
          <w:sz w:val="18"/>
          <w:szCs w:val="18"/>
        </w:rPr>
        <w:br/>
        <w:t xml:space="preserve">                         │  └────────────────────────┘ │</w:t>
      </w:r>
      <w:r>
        <w:rPr>
          <w:rFonts w:ascii="Consolas" w:cs="Consolas" w:eastAsia="Consolas" w:hAnsi="Consolas"/>
          <w:color w:val="333333"/>
          <w:sz w:val="18"/>
          <w:szCs w:val="18"/>
        </w:rPr>
        <w:br/>
        <w:t xml:space="preserve">                         └───────────────┬──────────────┘</w:t>
      </w:r>
      <w:r>
        <w:rPr>
          <w:rFonts w:ascii="Consolas" w:cs="Consolas" w:eastAsia="Consolas" w:hAnsi="Consolas"/>
          <w:color w:val="333333"/>
          <w:sz w:val="18"/>
          <w:szCs w:val="18"/>
        </w:rPr>
        <w:br/>
        <w:t xml:space="preserve">                     REST/JSON │  WebSocket  │  WebRTC (media)</w:t>
      </w:r>
      <w:r>
        <w:rPr>
          <w:rFonts w:ascii="Consolas" w:cs="Consolas" w:eastAsia="Consolas" w:hAnsi="Consolas"/>
          <w:color w:val="333333"/>
          <w:sz w:val="18"/>
          <w:szCs w:val="18"/>
        </w:rPr>
        <w:br/>
        <w:t xml:space="preserve">                                 ▼</w:t>
      </w:r>
      <w:r>
        <w:rPr>
          <w:rFonts w:ascii="Consolas" w:cs="Consolas" w:eastAsia="Consolas" w:hAnsi="Consolas"/>
          <w:color w:val="333333"/>
          <w:sz w:val="18"/>
          <w:szCs w:val="18"/>
        </w:rPr>
        <w:br/>
        <w:t xml:space="preserve">                    ┌───────────────────────────┐</w:t>
      </w:r>
      <w:r>
        <w:rPr>
          <w:rFonts w:ascii="Consolas" w:cs="Consolas" w:eastAsia="Consolas" w:hAnsi="Consolas"/>
          <w:color w:val="333333"/>
          <w:sz w:val="18"/>
          <w:szCs w:val="18"/>
        </w:rPr>
        <w:br/>
        <w:t xml:space="preserve">                    │        API GATEWAY          │</w:t>
      </w:r>
      <w:r>
        <w:rPr>
          <w:rFonts w:ascii="Consolas" w:cs="Consolas" w:eastAsia="Consolas" w:hAnsi="Consolas"/>
          <w:color w:val="333333"/>
          <w:sz w:val="18"/>
          <w:szCs w:val="18"/>
        </w:rPr>
        <w:br/>
        <w:t xml:space="preserve">                    │  routing · authn · rate-limit│</w:t>
      </w:r>
      <w:r>
        <w:rPr>
          <w:rFonts w:ascii="Consolas" w:cs="Consolas" w:eastAsia="Consolas" w:hAnsi="Consolas"/>
          <w:color w:val="333333"/>
          <w:sz w:val="18"/>
          <w:szCs w:val="18"/>
        </w:rPr>
        <w:br/>
        <w:t xml:space="preserve">                    └───────────────┬───────────────┘</w:t>
      </w:r>
      <w:r>
        <w:rPr>
          <w:rFonts w:ascii="Consolas" w:cs="Consolas" w:eastAsia="Consolas" w:hAnsi="Consolas"/>
          <w:color w:val="333333"/>
          <w:sz w:val="18"/>
          <w:szCs w:val="18"/>
        </w:rPr>
        <w:br/>
        <w:t xml:space="preserve">        ┌───────────┬───────────┬───┴────────┬───────────┬────────────┐</w:t>
      </w:r>
      <w:r>
        <w:rPr>
          <w:rFonts w:ascii="Consolas" w:cs="Consolas" w:eastAsia="Consolas" w:hAnsi="Consolas"/>
          <w:color w:val="333333"/>
          <w:sz w:val="18"/>
          <w:szCs w:val="18"/>
        </w:rPr>
        <w:br/>
        <w:t xml:space="preserve">        ▼           ▼           ▼            ▼           ▼            ▼</w:t>
      </w:r>
      <w:r>
        <w:rPr>
          <w:rFonts w:ascii="Consolas" w:cs="Consolas" w:eastAsia="Consolas" w:hAnsi="Consolas"/>
          <w:color w:val="333333"/>
          <w:sz w:val="18"/>
          <w:szCs w:val="18"/>
        </w:rPr>
        <w:br/>
        <w:t xml:space="preserve">     Auth Svc    User Svc    Chat Svc    Media Svc   Call Svc   Notification Svc</w:t>
      </w:r>
      <w:r>
        <w:rPr>
          <w:rFonts w:ascii="Consolas" w:cs="Consolas" w:eastAsia="Consolas" w:hAnsi="Consolas"/>
          <w:color w:val="333333"/>
          <w:sz w:val="18"/>
          <w:szCs w:val="18"/>
        </w:rPr>
        <w:br/>
        <w:t xml:space="preserve">        │           │           │            │           │            │</w:t>
      </w:r>
      <w:r>
        <w:rPr>
          <w:rFonts w:ascii="Consolas" w:cs="Consolas" w:eastAsia="Consolas" w:hAnsi="Consolas"/>
          <w:color w:val="333333"/>
          <w:sz w:val="18"/>
          <w:szCs w:val="18"/>
        </w:rPr>
        <w:br/>
        <w:t xml:space="preserve">        └─────┬─────┴─────┬─────┴─────┬──────┴─────┬─────┴─────┬──────┘</w:t>
      </w:r>
      <w:r>
        <w:rPr>
          <w:rFonts w:ascii="Consolas" w:cs="Consolas" w:eastAsia="Consolas" w:hAnsi="Consolas"/>
          <w:color w:val="333333"/>
          <w:sz w:val="18"/>
          <w:szCs w:val="18"/>
        </w:rPr>
        <w:br/>
        <w:t xml:space="preserve">               ▼           ▼           ▼            ▼           ▼</w:t>
      </w:r>
      <w:r>
        <w:rPr>
          <w:rFonts w:ascii="Consolas" w:cs="Consolas" w:eastAsia="Consolas" w:hAnsi="Consolas"/>
          <w:color w:val="333333"/>
          <w:sz w:val="18"/>
          <w:szCs w:val="18"/>
        </w:rPr>
        <w:br/>
        <w:t xml:space="preserve">          PostgreSQL      Redis     Object Store   Kafka    WebRTC/TURN</w:t>
      </w:r>
      <w:r>
        <w:rPr>
          <w:rFonts w:ascii="Consolas" w:cs="Consolas" w:eastAsia="Consolas" w:hAnsi="Consolas"/>
          <w:color w:val="333333"/>
          <w:sz w:val="18"/>
          <w:szCs w:val="18"/>
        </w:rPr>
        <w:br/>
        <w:t xml:space="preserve">        (per-service DB) (cache/    (S3 - media,  (event   (Signaling +</w:t>
      </w:r>
      <w:r>
        <w:rPr>
          <w:rFonts w:ascii="Consolas" w:cs="Consolas" w:eastAsia="Consolas" w:hAnsi="Consolas"/>
          <w:color w:val="333333"/>
          <w:sz w:val="18"/>
          <w:szCs w:val="18"/>
        </w:rPr>
        <w:br/>
        <w:t xml:space="preserve">                          presence)  documents)   bus)     media relay)</w:t>
      </w:r>
    </w:p>
    <w:p>
      <w:pPr>
        <w:spacing w:after="160" w:line="300"/>
      </w:pPr>
      <w:r>
        <w:rPr>
          <w:color w:val="1A1A1A"/>
          <w:sz w:val="21"/>
          <w:szCs w:val="21"/>
        </w:rPr>
        <w:t xml:space="preserve">Group Service, Status Service, and Admin Service sit alongside Call and Chat as additional domain services (see Section 6) and share the same gateway, event bus, and data infrastructure patterns.</w:t>
      </w:r>
    </w:p>
    <w:p>
      <w:pPr>
        <w:pStyle w:val="Heading1"/>
        <w:pBdr>
          <w:bottom w:val="single" w:color="2E75B6" w:sz="8" w:space="4"/>
        </w:pBdr>
        <w:spacing w:after="200" w:before="480"/>
      </w:pPr>
      <w:r>
        <w:rPr>
          <w:b/>
          <w:bCs/>
          <w:color w:val="1F3864"/>
          <w:sz w:val="30"/>
          <w:szCs w:val="30"/>
        </w:rPr>
        <w:t xml:space="preserve">4. Mobile Client Architecture (Android)</w:t>
      </w:r>
    </w:p>
    <w:p>
      <w:pPr>
        <w:pStyle w:val="Heading3"/>
        <w:spacing w:after="100" w:before="220"/>
      </w:pPr>
      <w:r>
        <w:rPr>
          <w:b/>
          <w:bCs/>
          <w:color w:val="2E75B6"/>
          <w:sz w:val="21"/>
          <w:szCs w:val="21"/>
        </w:rPr>
        <w:t xml:space="preserve">4.1 Pattern</w:t>
      </w:r>
    </w:p>
    <w:p>
      <w:pPr>
        <w:spacing w:after="160" w:line="300"/>
      </w:pPr>
      <w:r>
        <w:rPr>
          <w:color w:val="1A1A1A"/>
          <w:sz w:val="21"/>
          <w:szCs w:val="21"/>
        </w:rPr>
        <w:t xml:space="preserve">Clean Architecture with MVVM presentation layer, implemented in Kotlin with Jetpack Compose for UI. This keeps the Battery-Aware Calling logic testable in isolation from Android framework classes.</w:t>
      </w:r>
    </w:p>
    <w:p>
      <w:pPr>
        <w:pBdr>
          <w:top w:val="single" w:color="CCCCCC" w:sz="4" w:space="4"/>
          <w:bottom w:val="single" w:color="CCCCCC" w:sz="4" w:space="4"/>
          <w:left w:val="single" w:color="CCCCCC" w:sz="4" w:space="4"/>
          <w:right w:val="single" w:color="CCCCCC" w:sz="4" w:space="4"/>
        </w:pBdr>
        <w:shd w:fill="F2F2F2" w:val="clear"/>
        <w:spacing w:after="200"/>
      </w:pPr>
      <w:r>
        <w:rPr>
          <w:rFonts w:ascii="Consolas" w:cs="Consolas" w:eastAsia="Consolas" w:hAnsi="Consolas"/>
          <w:color w:val="333333"/>
          <w:sz w:val="18"/>
          <w:szCs w:val="18"/>
        </w:rPr>
        <w:t xml:space="preserve">app/</w:t>
      </w:r>
      <w:r>
        <w:rPr>
          <w:rFonts w:ascii="Consolas" w:cs="Consolas" w:eastAsia="Consolas" w:hAnsi="Consolas"/>
          <w:color w:val="333333"/>
          <w:sz w:val="18"/>
          <w:szCs w:val="18"/>
        </w:rPr>
        <w:br/>
        <w:t xml:space="preserve">├── presentation/        (Compose UI, ViewModels, Navigation)</w:t>
      </w:r>
      <w:r>
        <w:rPr>
          <w:rFonts w:ascii="Consolas" w:cs="Consolas" w:eastAsia="Consolas" w:hAnsi="Consolas"/>
          <w:color w:val="333333"/>
          <w:sz w:val="18"/>
          <w:szCs w:val="18"/>
        </w:rPr>
        <w:br/>
        <w:t xml:space="preserve">│   ├── chat/</w:t>
      </w:r>
      <w:r>
        <w:rPr>
          <w:rFonts w:ascii="Consolas" w:cs="Consolas" w:eastAsia="Consolas" w:hAnsi="Consolas"/>
          <w:color w:val="333333"/>
          <w:sz w:val="18"/>
          <w:szCs w:val="18"/>
        </w:rPr>
        <w:br/>
        <w:t xml:space="preserve">│   ├── calling/</w:t>
      </w:r>
      <w:r>
        <w:rPr>
          <w:rFonts w:ascii="Consolas" w:cs="Consolas" w:eastAsia="Consolas" w:hAnsi="Consolas"/>
          <w:color w:val="333333"/>
          <w:sz w:val="18"/>
          <w:szCs w:val="18"/>
        </w:rPr>
        <w:br/>
        <w:t xml:space="preserve">│   │   ├── CallScreen.kt</w:t>
      </w:r>
      <w:r>
        <w:rPr>
          <w:rFonts w:ascii="Consolas" w:cs="Consolas" w:eastAsia="Consolas" w:hAnsi="Consolas"/>
          <w:color w:val="333333"/>
          <w:sz w:val="18"/>
          <w:szCs w:val="18"/>
        </w:rPr>
        <w:br/>
        <w:t xml:space="preserve">│   │   ├── CallViewModel.kt</w:t>
      </w:r>
      <w:r>
        <w:rPr>
          <w:rFonts w:ascii="Consolas" w:cs="Consolas" w:eastAsia="Consolas" w:hAnsi="Consolas"/>
          <w:color w:val="333333"/>
          <w:sz w:val="18"/>
          <w:szCs w:val="18"/>
        </w:rPr>
        <w:br/>
        <w:t xml:space="preserve">│   │   └── BatteryWarningBanner.kt</w:t>
      </w:r>
      <w:r>
        <w:rPr>
          <w:rFonts w:ascii="Consolas" w:cs="Consolas" w:eastAsia="Consolas" w:hAnsi="Consolas"/>
          <w:color w:val="333333"/>
          <w:sz w:val="18"/>
          <w:szCs w:val="18"/>
        </w:rPr>
        <w:br/>
        <w:t xml:space="preserve">│   └── settings/battery/</w:t>
      </w:r>
      <w:r>
        <w:rPr>
          <w:rFonts w:ascii="Consolas" w:cs="Consolas" w:eastAsia="Consolas" w:hAnsi="Consolas"/>
          <w:color w:val="333333"/>
          <w:sz w:val="18"/>
          <w:szCs w:val="18"/>
        </w:rPr>
        <w:br/>
        <w:t xml:space="preserve">├── domain/              (pure Kotlin, no Android deps)</w:t>
      </w:r>
      <w:r>
        <w:rPr>
          <w:rFonts w:ascii="Consolas" w:cs="Consolas" w:eastAsia="Consolas" w:hAnsi="Consolas"/>
          <w:color w:val="333333"/>
          <w:sz w:val="18"/>
          <w:szCs w:val="18"/>
        </w:rPr>
        <w:br/>
        <w:t xml:space="preserve">│   ├── usecase/StartCallUseCase.kt</w:t>
      </w:r>
      <w:r>
        <w:rPr>
          <w:rFonts w:ascii="Consolas" w:cs="Consolas" w:eastAsia="Consolas" w:hAnsi="Consolas"/>
          <w:color w:val="333333"/>
          <w:sz w:val="18"/>
          <w:szCs w:val="18"/>
        </w:rPr>
        <w:br/>
        <w:t xml:space="preserve">│   ├── usecase/MonitorBatteryDuringCallUseCase.kt</w:t>
      </w:r>
      <w:r>
        <w:rPr>
          <w:rFonts w:ascii="Consolas" w:cs="Consolas" w:eastAsia="Consolas" w:hAnsi="Consolas"/>
          <w:color w:val="333333"/>
          <w:sz w:val="18"/>
          <w:szCs w:val="18"/>
        </w:rPr>
        <w:br/>
        <w:t xml:space="preserve">│   ├── usecase/TerminateCallOnLowBatteryUseCase.kt</w:t>
      </w:r>
      <w:r>
        <w:rPr>
          <w:rFonts w:ascii="Consolas" w:cs="Consolas" w:eastAsia="Consolas" w:hAnsi="Consolas"/>
          <w:color w:val="333333"/>
          <w:sz w:val="18"/>
          <w:szCs w:val="18"/>
        </w:rPr>
        <w:br/>
        <w:t xml:space="preserve">│   └── model/BatteryThreshold.kt</w:t>
      </w:r>
      <w:r>
        <w:rPr>
          <w:rFonts w:ascii="Consolas" w:cs="Consolas" w:eastAsia="Consolas" w:hAnsi="Consolas"/>
          <w:color w:val="333333"/>
          <w:sz w:val="18"/>
          <w:szCs w:val="18"/>
        </w:rPr>
        <w:br/>
        <w:t xml:space="preserve">├── data/</w:t>
      </w:r>
      <w:r>
        <w:rPr>
          <w:rFonts w:ascii="Consolas" w:cs="Consolas" w:eastAsia="Consolas" w:hAnsi="Consolas"/>
          <w:color w:val="333333"/>
          <w:sz w:val="18"/>
          <w:szCs w:val="18"/>
        </w:rPr>
        <w:br/>
        <w:t xml:space="preserve">│   ├── battery/BatteryRepositoryImpl.kt   (wraps BatteryManager)</w:t>
      </w:r>
      <w:r>
        <w:rPr>
          <w:rFonts w:ascii="Consolas" w:cs="Consolas" w:eastAsia="Consolas" w:hAnsi="Consolas"/>
          <w:color w:val="333333"/>
          <w:sz w:val="18"/>
          <w:szCs w:val="18"/>
        </w:rPr>
        <w:br/>
        <w:t xml:space="preserve">│   ├── call/CallRepositoryImpl.kt         (wraps WebRTC SDK)</w:t>
      </w:r>
      <w:r>
        <w:rPr>
          <w:rFonts w:ascii="Consolas" w:cs="Consolas" w:eastAsia="Consolas" w:hAnsi="Consolas"/>
          <w:color w:val="333333"/>
          <w:sz w:val="18"/>
          <w:szCs w:val="18"/>
        </w:rPr>
        <w:br/>
        <w:t xml:space="preserve">│   ├── chat/ · media/ · auth/ · user/</w:t>
      </w:r>
      <w:r>
        <w:rPr>
          <w:rFonts w:ascii="Consolas" w:cs="Consolas" w:eastAsia="Consolas" w:hAnsi="Consolas"/>
          <w:color w:val="333333"/>
          <w:sz w:val="18"/>
          <w:szCs w:val="18"/>
        </w:rPr>
        <w:br/>
        <w:t xml:space="preserve">└── core/                (DI - Hilt, networking, WebSocket client)</w:t>
      </w:r>
    </w:p>
    <w:p>
      <w:pPr>
        <w:pStyle w:val="Heading3"/>
        <w:spacing w:after="100" w:before="220"/>
      </w:pPr>
      <w:r>
        <w:rPr>
          <w:b/>
          <w:bCs/>
          <w:color w:val="2E75B6"/>
          <w:sz w:val="21"/>
          <w:szCs w:val="21"/>
        </w:rPr>
        <w:t xml:space="preserve">4.2 Battery Monitor Module (client-side core differentiator)</w:t>
      </w:r>
    </w:p>
    <w:p>
      <w:pPr>
        <w:spacing w:after="160" w:line="300"/>
      </w:pPr>
      <w:r>
        <w:rPr>
          <w:color w:val="1A1A1A"/>
          <w:sz w:val="21"/>
          <w:szCs w:val="21"/>
        </w:rPr>
        <w:t xml:space="preserve">Implemented as an Android Foreground Service that is started only when a call begins and stopped the instant the call ends — it must never run persistently in the background, to avoid becoming the very battery drain it protects against.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3864" w:val="clear"/>
            <w:tcMar>
              <w:top w:type="dxa" w:w="80"/>
              <w:left w:type="dxa" w:w="100"/>
              <w:bottom w:type="dxa" w:w="80"/>
              <w:right w:type="dxa" w:w="100"/>
            </w:tcMar>
          </w:tcPr>
          <w:p>
            <w:r>
              <w:rPr>
                <w:b/>
                <w:bCs/>
                <w:color w:val="FFFFFF"/>
                <w:sz w:val="19"/>
                <w:szCs w:val="19"/>
              </w:rPr>
              <w:t xml:space="preserve">Component</w:t>
            </w:r>
          </w:p>
        </w:tc>
        <w:tc>
          <w:tcPr>
            <w:tcW w:type="dxa" w:w="6350"/>
            <w:shd w:fill="1F3864" w:val="clear"/>
            <w:tcMar>
              <w:top w:type="dxa" w:w="80"/>
              <w:left w:type="dxa" w:w="100"/>
              <w:bottom w:type="dxa" w:w="80"/>
              <w:right w:type="dxa" w:w="100"/>
            </w:tcMar>
          </w:tcPr>
          <w:p>
            <w:r>
              <w:rPr>
                <w:b/>
                <w:bCs/>
                <w:color w:val="FFFFFF"/>
                <w:sz w:val="19"/>
                <w:szCs w:val="19"/>
              </w:rPr>
              <w:t xml:space="preserve">Responsibility</w:t>
            </w:r>
          </w:p>
        </w:tc>
      </w:tr>
      <w:tr>
        <w:tc>
          <w:tcPr>
            <w:tcW w:type="dxa" w:w="3000"/>
            <w:tcMar>
              <w:top w:type="dxa" w:w="80"/>
              <w:left w:type="dxa" w:w="100"/>
              <w:bottom w:type="dxa" w:w="80"/>
              <w:right w:type="dxa" w:w="100"/>
            </w:tcMar>
          </w:tcPr>
          <w:p>
            <w:r>
              <w:rPr>
                <w:b w:val="false"/>
                <w:bCs w:val="false"/>
                <w:color w:val="1A1A1A"/>
                <w:sz w:val="19"/>
                <w:szCs w:val="19"/>
              </w:rPr>
              <w:t xml:space="preserve">CallForegroundService</w:t>
            </w:r>
          </w:p>
        </w:tc>
        <w:tc>
          <w:tcPr>
            <w:tcW w:type="dxa" w:w="6350"/>
            <w:tcMar>
              <w:top w:type="dxa" w:w="80"/>
              <w:left w:type="dxa" w:w="100"/>
              <w:bottom w:type="dxa" w:w="80"/>
              <w:right w:type="dxa" w:w="100"/>
            </w:tcMar>
          </w:tcPr>
          <w:p>
            <w:r>
              <w:rPr>
                <w:b w:val="false"/>
                <w:bCs w:val="false"/>
                <w:color w:val="1A1A1A"/>
                <w:sz w:val="19"/>
                <w:szCs w:val="19"/>
              </w:rPr>
              <w:t xml:space="preserve">Owns the active call lifecycle; hosts the BroadcastReceiver for ACTION_BATTERY_CHANGED.</w:t>
            </w:r>
          </w:p>
        </w:tc>
      </w:tr>
      <w:tr>
        <w:tc>
          <w:tcPr>
            <w:tcW w:type="dxa" w:w="3000"/>
            <w:shd w:fill="EAF1FA" w:val="clear"/>
            <w:tcMar>
              <w:top w:type="dxa" w:w="80"/>
              <w:left w:type="dxa" w:w="100"/>
              <w:bottom w:type="dxa" w:w="80"/>
              <w:right w:type="dxa" w:w="100"/>
            </w:tcMar>
          </w:tcPr>
          <w:p>
            <w:r>
              <w:rPr>
                <w:b w:val="false"/>
                <w:bCs w:val="false"/>
                <w:color w:val="1A1A1A"/>
                <w:sz w:val="19"/>
                <w:szCs w:val="19"/>
              </w:rPr>
              <w:t xml:space="preserve">BatteryMonitorUseCase</w:t>
            </w:r>
          </w:p>
        </w:tc>
        <w:tc>
          <w:tcPr>
            <w:tcW w:type="dxa" w:w="6350"/>
            <w:shd w:fill="EAF1FA" w:val="clear"/>
            <w:tcMar>
              <w:top w:type="dxa" w:w="80"/>
              <w:left w:type="dxa" w:w="100"/>
              <w:bottom w:type="dxa" w:w="80"/>
              <w:right w:type="dxa" w:w="100"/>
            </w:tcMar>
          </w:tcPr>
          <w:p>
            <w:r>
              <w:rPr>
                <w:b w:val="false"/>
                <w:bCs w:val="false"/>
                <w:color w:val="1A1A1A"/>
                <w:sz w:val="19"/>
                <w:szCs w:val="19"/>
              </w:rPr>
              <w:t xml:space="preserve">Pure-Kotlin state machine: reads battery %, compares to configured thresholds, emits BatteryState (Normal / Warning / Critical).</w:t>
            </w:r>
          </w:p>
        </w:tc>
      </w:tr>
      <w:tr>
        <w:tc>
          <w:tcPr>
            <w:tcW w:type="dxa" w:w="3000"/>
            <w:tcMar>
              <w:top w:type="dxa" w:w="80"/>
              <w:left w:type="dxa" w:w="100"/>
              <w:bottom w:type="dxa" w:w="80"/>
              <w:right w:type="dxa" w:w="100"/>
            </w:tcMar>
          </w:tcPr>
          <w:p>
            <w:r>
              <w:rPr>
                <w:b w:val="false"/>
                <w:bCs w:val="false"/>
                <w:color w:val="1A1A1A"/>
                <w:sz w:val="19"/>
                <w:szCs w:val="19"/>
              </w:rPr>
              <w:t xml:space="preserve">CallTerminationController</w:t>
            </w:r>
          </w:p>
        </w:tc>
        <w:tc>
          <w:tcPr>
            <w:tcW w:type="dxa" w:w="6350"/>
            <w:tcMar>
              <w:top w:type="dxa" w:w="80"/>
              <w:left w:type="dxa" w:w="100"/>
              <w:bottom w:type="dxa" w:w="80"/>
              <w:right w:type="dxa" w:w="100"/>
            </w:tcMar>
          </w:tcPr>
          <w:p>
            <w:r>
              <w:rPr>
                <w:b w:val="false"/>
                <w:bCs w:val="false"/>
                <w:color w:val="1A1A1A"/>
                <w:sz w:val="19"/>
                <w:szCs w:val="19"/>
              </w:rPr>
              <w:t xml:space="preserve">Subscribes to BatteryState; on Critical, releases camera/mic, tears down the WebRTC PeerConnection, and stops the foreground service.</w:t>
            </w:r>
          </w:p>
        </w:tc>
      </w:tr>
      <w:tr>
        <w:tc>
          <w:tcPr>
            <w:tcW w:type="dxa" w:w="3000"/>
            <w:shd w:fill="EAF1FA" w:val="clear"/>
            <w:tcMar>
              <w:top w:type="dxa" w:w="80"/>
              <w:left w:type="dxa" w:w="100"/>
              <w:bottom w:type="dxa" w:w="80"/>
              <w:right w:type="dxa" w:w="100"/>
            </w:tcMar>
          </w:tcPr>
          <w:p>
            <w:r>
              <w:rPr>
                <w:b w:val="false"/>
                <w:bCs w:val="false"/>
                <w:color w:val="1A1A1A"/>
                <w:sz w:val="19"/>
                <w:szCs w:val="19"/>
              </w:rPr>
              <w:t xml:space="preserve">BatterySettingsRepository</w:t>
            </w:r>
          </w:p>
        </w:tc>
        <w:tc>
          <w:tcPr>
            <w:tcW w:type="dxa" w:w="6350"/>
            <w:shd w:fill="EAF1FA" w:val="clear"/>
            <w:tcMar>
              <w:top w:type="dxa" w:w="80"/>
              <w:left w:type="dxa" w:w="100"/>
              <w:bottom w:type="dxa" w:w="80"/>
              <w:right w:type="dxa" w:w="100"/>
            </w:tcMar>
          </w:tcPr>
          <w:p>
            <w:r>
              <w:rPr>
                <w:b w:val="false"/>
                <w:bCs w:val="false"/>
                <w:color w:val="1A1A1A"/>
                <w:sz w:val="19"/>
                <w:szCs w:val="19"/>
              </w:rPr>
              <w:t xml:space="preserve">Persists user-configured thresholds (10% / 7% / 5%) in DataStore/Room.</w:t>
            </w:r>
          </w:p>
        </w:tc>
      </w:tr>
    </w:tbl>
    <w:p>
      <w:pPr>
        <w:pStyle w:val="Heading1"/>
        <w:pBdr>
          <w:bottom w:val="single" w:color="2E75B6" w:sz="8" w:space="4"/>
        </w:pBdr>
        <w:spacing w:after="200" w:before="480"/>
      </w:pPr>
      <w:r>
        <w:rPr>
          <w:b/>
          <w:bCs/>
          <w:color w:val="1F3864"/>
          <w:sz w:val="30"/>
          <w:szCs w:val="30"/>
        </w:rPr>
        <w:t xml:space="preserve">5. Battery-Aware Calling System — Detailed Architecture</w:t>
      </w:r>
    </w:p>
    <w:p>
      <w:pPr>
        <w:spacing w:after="160" w:line="300"/>
      </w:pPr>
      <w:r>
        <w:rPr>
          <w:color w:val="1A1A1A"/>
          <w:sz w:val="21"/>
          <w:szCs w:val="21"/>
        </w:rPr>
        <w:t xml:space="preserve">This is the product's primary innovation and is treated as a first-class subsystem with its own state machine, independent of general call-quality logic.</w:t>
      </w:r>
    </w:p>
    <w:p>
      <w:pPr>
        <w:pStyle w:val="Heading3"/>
        <w:spacing w:after="100" w:before="220"/>
      </w:pPr>
      <w:r>
        <w:rPr>
          <w:b/>
          <w:bCs/>
          <w:color w:val="2E75B6"/>
          <w:sz w:val="21"/>
          <w:szCs w:val="21"/>
        </w:rPr>
        <w:t xml:space="preserve">5.1 State Machine</w:t>
      </w:r>
    </w:p>
    <w:p>
      <w:pPr>
        <w:pBdr>
          <w:top w:val="single" w:color="CCCCCC" w:sz="4" w:space="4"/>
          <w:bottom w:val="single" w:color="CCCCCC" w:sz="4" w:space="4"/>
          <w:left w:val="single" w:color="CCCCCC" w:sz="4" w:space="4"/>
          <w:right w:val="single" w:color="CCCCCC" w:sz="4" w:space="4"/>
        </w:pBdr>
        <w:shd w:fill="F2F2F2" w:val="clear"/>
        <w:spacing w:after="200"/>
      </w:pPr>
      <w:r>
        <w:rPr>
          <w:rFonts w:ascii="Consolas" w:cs="Consolas" w:eastAsia="Consolas" w:hAnsi="Consolas"/>
          <w:color w:val="333333"/>
          <w:sz w:val="18"/>
          <w:szCs w:val="18"/>
        </w:rPr>
        <w:t xml:space="preserve">         battery &gt; 15%                 battery &lt;= 10%           battery &lt;= 7%</w:t>
      </w:r>
      <w:r>
        <w:rPr>
          <w:rFonts w:ascii="Consolas" w:cs="Consolas" w:eastAsia="Consolas" w:hAnsi="Consolas"/>
          <w:color w:val="333333"/>
          <w:sz w:val="18"/>
          <w:szCs w:val="18"/>
        </w:rPr>
        <w:br/>
        <w:t xml:space="preserve">  ┌───────────────┐   drop    ┌────────────────┐   drop   ┌─────────────────┐</w:t>
      </w:r>
      <w:r>
        <w:rPr>
          <w:rFonts w:ascii="Consolas" w:cs="Consolas" w:eastAsia="Consolas" w:hAnsi="Consolas"/>
          <w:color w:val="333333"/>
          <w:sz w:val="18"/>
          <w:szCs w:val="18"/>
        </w:rPr>
        <w:br/>
        <w:t xml:space="preserve">  │     NORMAL     │ ───────▶ │  LOW-BATTERY    │ ───────▶│    CRITICAL      │</w:t>
      </w:r>
      <w:r>
        <w:rPr>
          <w:rFonts w:ascii="Consolas" w:cs="Consolas" w:eastAsia="Consolas" w:hAnsi="Consolas"/>
          <w:color w:val="333333"/>
          <w:sz w:val="18"/>
          <w:szCs w:val="18"/>
        </w:rPr>
        <w:br/>
        <w:t xml:space="preserve">  │  call proceeds │          │  WARNING shown  │         │  call terminated │</w:t>
      </w:r>
      <w:r>
        <w:rPr>
          <w:rFonts w:ascii="Consolas" w:cs="Consolas" w:eastAsia="Consolas" w:hAnsi="Consolas"/>
          <w:color w:val="333333"/>
          <w:sz w:val="18"/>
          <w:szCs w:val="18"/>
        </w:rPr>
        <w:br/>
        <w:t xml:space="preserve">  └───────────────┘  ◀─────── └────────────────┘         │  camera+mic freed│</w:t>
      </w:r>
      <w:r>
        <w:rPr>
          <w:rFonts w:ascii="Consolas" w:cs="Consolas" w:eastAsia="Consolas" w:hAnsi="Consolas"/>
          <w:color w:val="333333"/>
          <w:sz w:val="18"/>
          <w:szCs w:val="18"/>
        </w:rPr>
        <w:br/>
        <w:t xml:space="preserve">        ▲      charger/level rises (no auto-resume)       └─────────────────┘</w:t>
      </w:r>
      <w:r>
        <w:rPr>
          <w:rFonts w:ascii="Consolas" w:cs="Consolas" w:eastAsia="Consolas" w:hAnsi="Consolas"/>
          <w:color w:val="333333"/>
          <w:sz w:val="18"/>
          <w:szCs w:val="18"/>
        </w:rPr>
        <w:br/>
        <w:t xml:space="preserve">        └──────────────────────────────────────────────────────────┘</w:t>
      </w:r>
    </w:p>
    <w:p>
      <w:pPr>
        <w:pStyle w:val="Heading3"/>
        <w:spacing w:after="100" w:before="220"/>
      </w:pPr>
      <w:r>
        <w:rPr>
          <w:b/>
          <w:bCs/>
          <w:color w:val="2E75B6"/>
          <w:sz w:val="21"/>
          <w:szCs w:val="21"/>
        </w:rPr>
        <w:t xml:space="preserve">5.2 Sequence: Battery Monitoring During an Active Call</w:t>
      </w:r>
    </w:p>
    <w:p>
      <w:pPr>
        <w:pBdr>
          <w:top w:val="single" w:color="CCCCCC" w:sz="4" w:space="4"/>
          <w:bottom w:val="single" w:color="CCCCCC" w:sz="4" w:space="4"/>
          <w:left w:val="single" w:color="CCCCCC" w:sz="4" w:space="4"/>
          <w:right w:val="single" w:color="CCCCCC" w:sz="4" w:space="4"/>
        </w:pBdr>
        <w:shd w:fill="F2F2F2" w:val="clear"/>
        <w:spacing w:after="200"/>
      </w:pPr>
      <w:r>
        <w:rPr>
          <w:rFonts w:ascii="Consolas" w:cs="Consolas" w:eastAsia="Consolas" w:hAnsi="Consolas"/>
          <w:color w:val="333333"/>
          <w:sz w:val="18"/>
          <w:szCs w:val="18"/>
        </w:rPr>
        <w:t xml:space="preserve">Mobile UI      CallForegroundService     BatteryMonitorUseCase     WebRTC Engine     Call Service (BE)</w:t>
      </w:r>
      <w:r>
        <w:rPr>
          <w:rFonts w:ascii="Consolas" w:cs="Consolas" w:eastAsia="Consolas" w:hAnsi="Consolas"/>
          <w:color w:val="333333"/>
          <w:sz w:val="18"/>
          <w:szCs w:val="18"/>
        </w:rPr>
        <w:br/>
        <w:t xml:space="preserve">   │  start call        │                        │                     │                  │</w:t>
      </w:r>
      <w:r>
        <w:rPr>
          <w:rFonts w:ascii="Consolas" w:cs="Consolas" w:eastAsia="Consolas" w:hAnsi="Consolas"/>
          <w:color w:val="333333"/>
          <w:sz w:val="18"/>
          <w:szCs w:val="18"/>
        </w:rPr>
        <w:br/>
        <w:t xml:space="preserve">   │ ──────────────────▶│  start(callId)         │                     │                  │</w:t>
      </w:r>
      <w:r>
        <w:rPr>
          <w:rFonts w:ascii="Consolas" w:cs="Consolas" w:eastAsia="Consolas" w:hAnsi="Consolas"/>
          <w:color w:val="333333"/>
          <w:sz w:val="18"/>
          <w:szCs w:val="18"/>
        </w:rPr>
        <w:br/>
        <w:t xml:space="preserve">   │                    │ ───────────────────────▶ subscribe(battery) │                  │</w:t>
      </w:r>
      <w:r>
        <w:rPr>
          <w:rFonts w:ascii="Consolas" w:cs="Consolas" w:eastAsia="Consolas" w:hAnsi="Consolas"/>
          <w:color w:val="333333"/>
          <w:sz w:val="18"/>
          <w:szCs w:val="18"/>
        </w:rPr>
        <w:br/>
        <w:t xml:space="preserve">   │                    │                        │  onBatteryChanged() │                  │</w:t>
      </w:r>
      <w:r>
        <w:rPr>
          <w:rFonts w:ascii="Consolas" w:cs="Consolas" w:eastAsia="Consolas" w:hAnsi="Consolas"/>
          <w:color w:val="333333"/>
          <w:sz w:val="18"/>
          <w:szCs w:val="18"/>
        </w:rPr>
        <w:br/>
        <w:t xml:space="preserve">   │                    │                        │  evaluate(level,    │                  │</w:t>
      </w:r>
      <w:r>
        <w:rPr>
          <w:rFonts w:ascii="Consolas" w:cs="Consolas" w:eastAsia="Consolas" w:hAnsi="Consolas"/>
          <w:color w:val="333333"/>
          <w:sz w:val="18"/>
          <w:szCs w:val="18"/>
        </w:rPr>
        <w:br/>
        <w:t xml:space="preserve">   │                    │                        │   thresholds)       │                  │</w:t>
      </w:r>
      <w:r>
        <w:rPr>
          <w:rFonts w:ascii="Consolas" w:cs="Consolas" w:eastAsia="Consolas" w:hAnsi="Consolas"/>
          <w:color w:val="333333"/>
          <w:sz w:val="18"/>
          <w:szCs w:val="18"/>
        </w:rPr>
        <w:br/>
        <w:t xml:space="preserve">   │   WARNING banner   │◀────  BatteryState.Warning ─────────────────│                  │</w:t>
      </w:r>
      <w:r>
        <w:rPr>
          <w:rFonts w:ascii="Consolas" w:cs="Consolas" w:eastAsia="Consolas" w:hAnsi="Consolas"/>
          <w:color w:val="333333"/>
          <w:sz w:val="18"/>
          <w:szCs w:val="18"/>
        </w:rPr>
        <w:br/>
        <w:t xml:space="preserve">   │◀───────────────────│                        │                     │                  │</w:t>
      </w:r>
      <w:r>
        <w:rPr>
          <w:rFonts w:ascii="Consolas" w:cs="Consolas" w:eastAsia="Consolas" w:hAnsi="Consolas"/>
          <w:color w:val="333333"/>
          <w:sz w:val="18"/>
          <w:szCs w:val="18"/>
        </w:rPr>
        <w:br/>
        <w:t xml:space="preserve">   │                    │                        │  level &lt;= critical  │                  │</w:t>
      </w:r>
      <w:r>
        <w:rPr>
          <w:rFonts w:ascii="Consolas" w:cs="Consolas" w:eastAsia="Consolas" w:hAnsi="Consolas"/>
          <w:color w:val="333333"/>
          <w:sz w:val="18"/>
          <w:szCs w:val="18"/>
        </w:rPr>
        <w:br/>
        <w:t xml:space="preserve">   │                    │◀───── BatteryState.Critical ─────────────────│                  │</w:t>
      </w:r>
      <w:r>
        <w:rPr>
          <w:rFonts w:ascii="Consolas" w:cs="Consolas" w:eastAsia="Consolas" w:hAnsi="Consolas"/>
          <w:color w:val="333333"/>
          <w:sz w:val="18"/>
          <w:szCs w:val="18"/>
        </w:rPr>
        <w:br/>
        <w:t xml:space="preserve">   │                    │  stop tracks           │                     │                  │</w:t>
      </w:r>
      <w:r>
        <w:rPr>
          <w:rFonts w:ascii="Consolas" w:cs="Consolas" w:eastAsia="Consolas" w:hAnsi="Consolas"/>
          <w:color w:val="333333"/>
          <w:sz w:val="18"/>
          <w:szCs w:val="18"/>
        </w:rPr>
        <w:br/>
        <w:t xml:space="preserve">   │                    │ ───────────────────────────────────────────▶ close()            │</w:t>
      </w:r>
      <w:r>
        <w:rPr>
          <w:rFonts w:ascii="Consolas" w:cs="Consolas" w:eastAsia="Consolas" w:hAnsi="Consolas"/>
          <w:color w:val="333333"/>
          <w:sz w:val="18"/>
          <w:szCs w:val="18"/>
        </w:rPr>
        <w:br/>
        <w:t xml:space="preserve">   │  call ended toast  │                        │                     │  POST /calls/end │</w:t>
      </w:r>
      <w:r>
        <w:rPr>
          <w:rFonts w:ascii="Consolas" w:cs="Consolas" w:eastAsia="Consolas" w:hAnsi="Consolas"/>
          <w:color w:val="333333"/>
          <w:sz w:val="18"/>
          <w:szCs w:val="18"/>
        </w:rPr>
        <w:br/>
        <w:t xml:space="preserve">   │◀───────────────────│                        │                     │ ────────────────▶│</w:t>
      </w:r>
    </w:p>
    <w:p>
      <w:pPr>
        <w:pStyle w:val="Heading3"/>
        <w:spacing w:after="100" w:before="220"/>
      </w:pPr>
      <w:r>
        <w:rPr>
          <w:b/>
          <w:bCs/>
          <w:color w:val="2E75B6"/>
          <w:sz w:val="21"/>
          <w:szCs w:val="21"/>
        </w:rPr>
        <w:t xml:space="preserve">5.3 Threshold Configuration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4700"/>
        <w:gridCol w:w="2150"/>
      </w:tblGrid>
      <w:tr>
        <w:trPr>
          <w:tblHeader/>
        </w:trPr>
        <w:tc>
          <w:tcPr>
            <w:tcW w:type="dxa" w:w="2500"/>
            <w:shd w:fill="1F3864" w:val="clear"/>
            <w:tcMar>
              <w:top w:type="dxa" w:w="80"/>
              <w:left w:type="dxa" w:w="100"/>
              <w:bottom w:type="dxa" w:w="80"/>
              <w:right w:type="dxa" w:w="100"/>
            </w:tcMar>
          </w:tcPr>
          <w:p>
            <w:r>
              <w:rPr>
                <w:b/>
                <w:bCs/>
                <w:color w:val="FFFFFF"/>
                <w:sz w:val="19"/>
                <w:szCs w:val="19"/>
              </w:rPr>
              <w:t xml:space="preserve">Battery Level</w:t>
            </w:r>
          </w:p>
        </w:tc>
        <w:tc>
          <w:tcPr>
            <w:tcW w:type="dxa" w:w="4700"/>
            <w:shd w:fill="1F3864" w:val="clear"/>
            <w:tcMar>
              <w:top w:type="dxa" w:w="80"/>
              <w:left w:type="dxa" w:w="100"/>
              <w:bottom w:type="dxa" w:w="80"/>
              <w:right w:type="dxa" w:w="100"/>
            </w:tcMar>
          </w:tcPr>
          <w:p>
            <w:r>
              <w:rPr>
                <w:b/>
                <w:bCs/>
                <w:color w:val="FFFFFF"/>
                <w:sz w:val="19"/>
                <w:szCs w:val="19"/>
              </w:rPr>
              <w:t xml:space="preserve">System Behaviour</w:t>
            </w:r>
          </w:p>
        </w:tc>
        <w:tc>
          <w:tcPr>
            <w:tcW w:type="dxa" w:w="2150"/>
            <w:shd w:fill="1F3864" w:val="clear"/>
            <w:tcMar>
              <w:top w:type="dxa" w:w="80"/>
              <w:left w:type="dxa" w:w="100"/>
              <w:bottom w:type="dxa" w:w="80"/>
              <w:right w:type="dxa" w:w="100"/>
            </w:tcMar>
          </w:tcPr>
          <w:p>
            <w:r>
              <w:rPr>
                <w:b/>
                <w:bCs/>
                <w:color w:val="FFFFFF"/>
                <w:sz w:val="19"/>
                <w:szCs w:val="19"/>
              </w:rPr>
              <w:t xml:space="preserve">Owning Layer</w:t>
            </w:r>
          </w:p>
        </w:tc>
      </w:tr>
      <w:tr>
        <w:tc>
          <w:tcPr>
            <w:tcW w:type="dxa" w:w="2500"/>
            <w:tcMar>
              <w:top w:type="dxa" w:w="80"/>
              <w:left w:type="dxa" w:w="100"/>
              <w:bottom w:type="dxa" w:w="80"/>
              <w:right w:type="dxa" w:w="100"/>
            </w:tcMar>
          </w:tcPr>
          <w:p>
            <w:r>
              <w:rPr>
                <w:b w:val="false"/>
                <w:bCs w:val="false"/>
                <w:color w:val="1A1A1A"/>
                <w:sz w:val="19"/>
                <w:szCs w:val="19"/>
              </w:rPr>
              <w:t xml:space="preserve">&gt; 15%</w:t>
            </w:r>
          </w:p>
        </w:tc>
        <w:tc>
          <w:tcPr>
            <w:tcW w:type="dxa" w:w="4700"/>
            <w:tcMar>
              <w:top w:type="dxa" w:w="80"/>
              <w:left w:type="dxa" w:w="100"/>
              <w:bottom w:type="dxa" w:w="80"/>
              <w:right w:type="dxa" w:w="100"/>
            </w:tcMar>
          </w:tcPr>
          <w:p>
            <w:r>
              <w:rPr>
                <w:b w:val="false"/>
                <w:bCs w:val="false"/>
                <w:color w:val="1A1A1A"/>
                <w:sz w:val="19"/>
                <w:szCs w:val="19"/>
              </w:rPr>
              <w:t xml:space="preserve">Normal operation, no UI change</w:t>
            </w:r>
          </w:p>
        </w:tc>
        <w:tc>
          <w:tcPr>
            <w:tcW w:type="dxa" w:w="2150"/>
            <w:tcMar>
              <w:top w:type="dxa" w:w="80"/>
              <w:left w:type="dxa" w:w="100"/>
              <w:bottom w:type="dxa" w:w="80"/>
              <w:right w:type="dxa" w:w="100"/>
            </w:tcMar>
          </w:tcPr>
          <w:p>
            <w:r>
              <w:rPr>
                <w:b w:val="false"/>
                <w:bCs w:val="false"/>
                <w:color w:val="1A1A1A"/>
                <w:sz w:val="19"/>
                <w:szCs w:val="19"/>
              </w:rPr>
              <w:t xml:space="preserve">Client (BatteryMonitorUseCase)</w:t>
            </w:r>
          </w:p>
        </w:tc>
      </w:tr>
      <w:tr>
        <w:tc>
          <w:tcPr>
            <w:tcW w:type="dxa" w:w="2500"/>
            <w:shd w:fill="EAF1FA" w:val="clear"/>
            <w:tcMar>
              <w:top w:type="dxa" w:w="80"/>
              <w:left w:type="dxa" w:w="100"/>
              <w:bottom w:type="dxa" w:w="80"/>
              <w:right w:type="dxa" w:w="100"/>
            </w:tcMar>
          </w:tcPr>
          <w:p>
            <w:r>
              <w:rPr>
                <w:b w:val="false"/>
                <w:bCs w:val="false"/>
                <w:color w:val="1A1A1A"/>
                <w:sz w:val="19"/>
                <w:szCs w:val="19"/>
              </w:rPr>
              <w:t xml:space="preserve">15%</w:t>
            </w:r>
          </w:p>
        </w:tc>
        <w:tc>
          <w:tcPr>
            <w:tcW w:type="dxa" w:w="4700"/>
            <w:shd w:fill="EAF1FA" w:val="clear"/>
            <w:tcMar>
              <w:top w:type="dxa" w:w="80"/>
              <w:left w:type="dxa" w:w="100"/>
              <w:bottom w:type="dxa" w:w="80"/>
              <w:right w:type="dxa" w:w="100"/>
            </w:tcMar>
          </w:tcPr>
          <w:p>
            <w:r>
              <w:rPr>
                <w:b w:val="false"/>
                <w:bCs w:val="false"/>
                <w:color w:val="1A1A1A"/>
                <w:sz w:val="19"/>
                <w:szCs w:val="19"/>
              </w:rPr>
              <w:t xml:space="preserve">Optional low-battery notice (configurable)</w:t>
            </w:r>
          </w:p>
        </w:tc>
        <w:tc>
          <w:tcPr>
            <w:tcW w:type="dxa" w:w="2150"/>
            <w:shd w:fill="EAF1FA" w:val="clear"/>
            <w:tcMar>
              <w:top w:type="dxa" w:w="80"/>
              <w:left w:type="dxa" w:w="100"/>
              <w:bottom w:type="dxa" w:w="80"/>
              <w:right w:type="dxa" w:w="100"/>
            </w:tcMar>
          </w:tcPr>
          <w:p>
            <w:r>
              <w:rPr>
                <w:b w:val="false"/>
                <w:bCs w:val="false"/>
                <w:color w:val="1A1A1A"/>
                <w:sz w:val="19"/>
                <w:szCs w:val="19"/>
              </w:rPr>
              <w:t xml:space="preserve">Client</w:t>
            </w:r>
          </w:p>
        </w:tc>
      </w:tr>
      <w:tr>
        <w:tc>
          <w:tcPr>
            <w:tcW w:type="dxa" w:w="2500"/>
            <w:tcMar>
              <w:top w:type="dxa" w:w="80"/>
              <w:left w:type="dxa" w:w="100"/>
              <w:bottom w:type="dxa" w:w="80"/>
              <w:right w:type="dxa" w:w="100"/>
            </w:tcMar>
          </w:tcPr>
          <w:p>
            <w:r>
              <w:rPr>
                <w:b w:val="false"/>
                <w:bCs w:val="false"/>
                <w:color w:val="1A1A1A"/>
                <w:sz w:val="19"/>
                <w:szCs w:val="19"/>
              </w:rPr>
              <w:t xml:space="preserve">10%</w:t>
            </w:r>
          </w:p>
        </w:tc>
        <w:tc>
          <w:tcPr>
            <w:tcW w:type="dxa" w:w="4700"/>
            <w:tcMar>
              <w:top w:type="dxa" w:w="80"/>
              <w:left w:type="dxa" w:w="100"/>
              <w:bottom w:type="dxa" w:w="80"/>
              <w:right w:type="dxa" w:w="100"/>
            </w:tcMar>
          </w:tcPr>
          <w:p>
            <w:r>
              <w:rPr>
                <w:b w:val="false"/>
                <w:bCs w:val="false"/>
                <w:color w:val="1A1A1A"/>
                <w:sz w:val="19"/>
                <w:szCs w:val="19"/>
              </w:rPr>
              <w:t xml:space="preserve">Persistent low-battery warning banner in call UI</w:t>
            </w:r>
          </w:p>
        </w:tc>
        <w:tc>
          <w:tcPr>
            <w:tcW w:type="dxa" w:w="2150"/>
            <w:tcMar>
              <w:top w:type="dxa" w:w="80"/>
              <w:left w:type="dxa" w:w="100"/>
              <w:bottom w:type="dxa" w:w="80"/>
              <w:right w:type="dxa" w:w="100"/>
            </w:tcMar>
          </w:tcPr>
          <w:p>
            <w:r>
              <w:rPr>
                <w:b w:val="false"/>
                <w:bCs w:val="false"/>
                <w:color w:val="1A1A1A"/>
                <w:sz w:val="19"/>
                <w:szCs w:val="19"/>
              </w:rPr>
              <w:t xml:space="preserve">Client</w:t>
            </w:r>
          </w:p>
        </w:tc>
      </w:tr>
      <w:tr>
        <w:tc>
          <w:tcPr>
            <w:tcW w:type="dxa" w:w="2500"/>
            <w:shd w:fill="EAF1FA" w:val="clear"/>
            <w:tcMar>
              <w:top w:type="dxa" w:w="80"/>
              <w:left w:type="dxa" w:w="100"/>
              <w:bottom w:type="dxa" w:w="80"/>
              <w:right w:type="dxa" w:w="100"/>
            </w:tcMar>
          </w:tcPr>
          <w:p>
            <w:r>
              <w:rPr>
                <w:b w:val="false"/>
                <w:bCs w:val="false"/>
                <w:color w:val="1A1A1A"/>
                <w:sz w:val="19"/>
                <w:szCs w:val="19"/>
              </w:rPr>
              <w:t xml:space="preserve">7% (default)</w:t>
            </w:r>
          </w:p>
        </w:tc>
        <w:tc>
          <w:tcPr>
            <w:tcW w:type="dxa" w:w="4700"/>
            <w:shd w:fill="EAF1FA" w:val="clear"/>
            <w:tcMar>
              <w:top w:type="dxa" w:w="80"/>
              <w:left w:type="dxa" w:w="100"/>
              <w:bottom w:type="dxa" w:w="80"/>
              <w:right w:type="dxa" w:w="100"/>
            </w:tcMar>
          </w:tcPr>
          <w:p>
            <w:r>
              <w:rPr>
                <w:b w:val="false"/>
                <w:bCs w:val="false"/>
                <w:color w:val="1A1A1A"/>
                <w:sz w:val="19"/>
                <w:szCs w:val="19"/>
              </w:rPr>
              <w:t xml:space="preserve">Final warning, then automatic call termination</w:t>
            </w:r>
          </w:p>
        </w:tc>
        <w:tc>
          <w:tcPr>
            <w:tcW w:type="dxa" w:w="2150"/>
            <w:shd w:fill="EAF1FA" w:val="clear"/>
            <w:tcMar>
              <w:top w:type="dxa" w:w="80"/>
              <w:left w:type="dxa" w:w="100"/>
              <w:bottom w:type="dxa" w:w="80"/>
              <w:right w:type="dxa" w:w="100"/>
            </w:tcMar>
          </w:tcPr>
          <w:p>
            <w:r>
              <w:rPr>
                <w:b w:val="false"/>
                <w:bCs w:val="false"/>
                <w:color w:val="1A1A1A"/>
                <w:sz w:val="19"/>
                <w:szCs w:val="19"/>
              </w:rPr>
              <w:t xml:space="preserve">Client, event reported to Call Service</w:t>
            </w:r>
          </w:p>
        </w:tc>
      </w:tr>
      <w:tr>
        <w:tc>
          <w:tcPr>
            <w:tcW w:type="dxa" w:w="2500"/>
            <w:tcMar>
              <w:top w:type="dxa" w:w="80"/>
              <w:left w:type="dxa" w:w="100"/>
              <w:bottom w:type="dxa" w:w="80"/>
              <w:right w:type="dxa" w:w="100"/>
            </w:tcMar>
          </w:tcPr>
          <w:p>
            <w:r>
              <w:rPr>
                <w:b w:val="false"/>
                <w:bCs w:val="false"/>
                <w:color w:val="1A1A1A"/>
                <w:sz w:val="19"/>
                <w:szCs w:val="19"/>
              </w:rPr>
              <w:t xml:space="preserve">5% (optional / emergency)</w:t>
            </w:r>
          </w:p>
        </w:tc>
        <w:tc>
          <w:tcPr>
            <w:tcW w:type="dxa" w:w="4700"/>
            <w:tcMar>
              <w:top w:type="dxa" w:w="80"/>
              <w:left w:type="dxa" w:w="100"/>
              <w:bottom w:type="dxa" w:w="80"/>
              <w:right w:type="dxa" w:w="100"/>
            </w:tcMar>
          </w:tcPr>
          <w:p>
            <w:r>
              <w:rPr>
                <w:b w:val="false"/>
                <w:bCs w:val="false"/>
                <w:color w:val="1A1A1A"/>
                <w:sz w:val="19"/>
                <w:szCs w:val="19"/>
              </w:rPr>
              <w:t xml:space="preserve">Same as above with a stricter cut-off for users who opt in</w:t>
            </w:r>
          </w:p>
        </w:tc>
        <w:tc>
          <w:tcPr>
            <w:tcW w:type="dxa" w:w="2150"/>
            <w:tcMar>
              <w:top w:type="dxa" w:w="80"/>
              <w:left w:type="dxa" w:w="100"/>
              <w:bottom w:type="dxa" w:w="80"/>
              <w:right w:type="dxa" w:w="100"/>
            </w:tcMar>
          </w:tcPr>
          <w:p>
            <w:r>
              <w:rPr>
                <w:b w:val="false"/>
                <w:bCs w:val="false"/>
                <w:color w:val="1A1A1A"/>
                <w:sz w:val="19"/>
                <w:szCs w:val="19"/>
              </w:rPr>
              <w:t xml:space="preserve">Client</w:t>
            </w:r>
          </w:p>
        </w:tc>
      </w:tr>
    </w:tbl>
    <w:p>
      <w:pPr>
        <w:pStyle w:val="Heading3"/>
        <w:spacing w:after="100" w:before="220"/>
      </w:pPr>
      <w:r>
        <w:rPr>
          <w:b/>
          <w:bCs/>
          <w:color w:val="2E75B6"/>
          <w:sz w:val="21"/>
          <w:szCs w:val="21"/>
        </w:rPr>
        <w:t xml:space="preserve">5.4 Edge Cases Encoded Into the Architecture</w:t>
      </w:r>
    </w:p>
    <w:p>
      <w:pPr>
        <w:pStyle w:val="ListParagraph"/>
        <w:numPr>
          <w:ilvl w:val="0"/>
          <w:numId w:val="2"/>
        </w:numPr>
        <w:spacing w:after="60"/>
      </w:pPr>
      <w:r>
        <w:rPr>
          <w:color w:val="1A1A1A"/>
          <w:sz w:val="21"/>
          <w:szCs w:val="21"/>
        </w:rPr>
        <w:t xml:space="preserve">Charging during a call → monitoring continues; auto-termination becomes configurable rather than forced, since the depletion risk is reduced.</w:t>
      </w:r>
    </w:p>
    <w:p>
      <w:pPr>
        <w:pStyle w:val="ListParagraph"/>
        <w:numPr>
          <w:ilvl w:val="0"/>
          <w:numId w:val="2"/>
        </w:numPr>
        <w:spacing w:after="60"/>
      </w:pPr>
      <w:r>
        <w:rPr>
          <w:color w:val="1A1A1A"/>
          <w:sz w:val="21"/>
          <w:szCs w:val="21"/>
        </w:rPr>
        <w:t xml:space="preserve">Battery rising after termination → the state machine is one-directional per call; a call that has ended is never auto-resumed.</w:t>
      </w:r>
    </w:p>
    <w:p>
      <w:pPr>
        <w:pStyle w:val="ListParagraph"/>
        <w:numPr>
          <w:ilvl w:val="0"/>
          <w:numId w:val="2"/>
        </w:numPr>
        <w:spacing w:after="60"/>
      </w:pPr>
      <w:r>
        <w:rPr>
          <w:color w:val="1A1A1A"/>
          <w:sz w:val="21"/>
          <w:szCs w:val="21"/>
        </w:rPr>
        <w:t xml:space="preserve">Sudden drops (10% → 6%) → evaluation happens on every ACTION_BATTERY_CHANGED broadcast, not on a fixed poll interval, so a skipped step still terminates on the next event.</w:t>
      </w:r>
    </w:p>
    <w:p>
      <w:pPr>
        <w:pStyle w:val="ListParagraph"/>
        <w:numPr>
          <w:ilvl w:val="0"/>
          <w:numId w:val="2"/>
        </w:numPr>
        <w:spacing w:after="60"/>
      </w:pPr>
      <w:r>
        <w:rPr>
          <w:color w:val="1A1A1A"/>
          <w:sz w:val="21"/>
          <w:szCs w:val="21"/>
        </w:rPr>
        <w:t xml:space="preserve">Battery Saver mode → detected via PowerManager.isPowerSaveMode() and surfaced as a non-blocking advisory (may affect call quality).</w:t>
      </w:r>
    </w:p>
    <w:p>
      <w:pPr>
        <w:pStyle w:val="ListParagraph"/>
        <w:numPr>
          <w:ilvl w:val="0"/>
          <w:numId w:val="2"/>
        </w:numPr>
        <w:spacing w:after="60"/>
      </w:pPr>
      <w:r>
        <w:rPr>
          <w:color w:val="1A1A1A"/>
          <w:sz w:val="21"/>
          <w:szCs w:val="21"/>
        </w:rPr>
        <w:t xml:space="preserve">Read failure / unsupported device → fail open on visibility (never hide the call UI) and fail safe on protection (disable auto-termination, show a persistent 'battery protection unavailable' notice).</w:t>
      </w:r>
    </w:p>
    <w:p>
      <w:pPr>
        <w:pStyle w:val="Heading1"/>
        <w:pBdr>
          <w:bottom w:val="single" w:color="2E75B6" w:sz="8" w:space="4"/>
        </w:pBdr>
        <w:spacing w:after="200" w:before="480"/>
      </w:pPr>
      <w:r>
        <w:rPr>
          <w:b/>
          <w:bCs/>
          <w:color w:val="1F3864"/>
          <w:sz w:val="30"/>
          <w:szCs w:val="30"/>
        </w:rPr>
        <w:t xml:space="preserve">6. Backend Microservices Architecture</w:t>
      </w:r>
    </w:p>
    <w:p>
      <w:pPr>
        <w:spacing w:after="160" w:line="300"/>
      </w:pPr>
      <w:r>
        <w:rPr>
          <w:color w:val="1A1A1A"/>
          <w:sz w:val="21"/>
          <w:szCs w:val="21"/>
        </w:rPr>
        <w:t xml:space="preserve">Java 21 + Spring Boot 3, one deployable per bounded context, communicating synchronously via REST/gRPC for request/response and asynchronously via Kafka for events (message delivery, call lifecycle, notifications).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2050"/>
        <w:gridCol w:w="2100"/>
      </w:tblGrid>
      <w:tr>
        <w:trPr>
          <w:tblHeader/>
        </w:trPr>
        <w:tc>
          <w:tcPr>
            <w:tcW w:type="dxa" w:w="1900"/>
            <w:shd w:fill="1F3864" w:val="clear"/>
            <w:tcMar>
              <w:top w:type="dxa" w:w="80"/>
              <w:left w:type="dxa" w:w="100"/>
              <w:bottom w:type="dxa" w:w="80"/>
              <w:right w:type="dxa" w:w="100"/>
            </w:tcMar>
          </w:tcPr>
          <w:p>
            <w:r>
              <w:rPr>
                <w:b/>
                <w:bCs/>
                <w:color w:val="FFFFFF"/>
                <w:sz w:val="19"/>
                <w:szCs w:val="19"/>
              </w:rPr>
              <w:t xml:space="preserve">Service</w:t>
            </w:r>
          </w:p>
        </w:tc>
        <w:tc>
          <w:tcPr>
            <w:tcW w:type="dxa" w:w="3300"/>
            <w:shd w:fill="1F3864" w:val="clear"/>
            <w:tcMar>
              <w:top w:type="dxa" w:w="80"/>
              <w:left w:type="dxa" w:w="100"/>
              <w:bottom w:type="dxa" w:w="80"/>
              <w:right w:type="dxa" w:w="100"/>
            </w:tcMar>
          </w:tcPr>
          <w:p>
            <w:r>
              <w:rPr>
                <w:b/>
                <w:bCs/>
                <w:color w:val="FFFFFF"/>
                <w:sz w:val="19"/>
                <w:szCs w:val="19"/>
              </w:rPr>
              <w:t xml:space="preserve">Core Responsibility</w:t>
            </w:r>
          </w:p>
        </w:tc>
        <w:tc>
          <w:tcPr>
            <w:tcW w:type="dxa" w:w="2050"/>
            <w:shd w:fill="1F3864" w:val="clear"/>
            <w:tcMar>
              <w:top w:type="dxa" w:w="80"/>
              <w:left w:type="dxa" w:w="100"/>
              <w:bottom w:type="dxa" w:w="80"/>
              <w:right w:type="dxa" w:w="100"/>
            </w:tcMar>
          </w:tcPr>
          <w:p>
            <w:r>
              <w:rPr>
                <w:b/>
                <w:bCs/>
                <w:color w:val="FFFFFF"/>
                <w:sz w:val="19"/>
                <w:szCs w:val="19"/>
              </w:rPr>
              <w:t xml:space="preserve">Datastore</w:t>
            </w:r>
          </w:p>
        </w:tc>
        <w:tc>
          <w:tcPr>
            <w:tcW w:type="dxa" w:w="2100"/>
            <w:shd w:fill="1F3864" w:val="clear"/>
            <w:tcMar>
              <w:top w:type="dxa" w:w="80"/>
              <w:left w:type="dxa" w:w="100"/>
              <w:bottom w:type="dxa" w:w="80"/>
              <w:right w:type="dxa" w:w="100"/>
            </w:tcMar>
          </w:tcPr>
          <w:p>
            <w:r>
              <w:rPr>
                <w:b/>
                <w:bCs/>
                <w:color w:val="FFFFFF"/>
                <w:sz w:val="19"/>
                <w:szCs w:val="19"/>
              </w:rPr>
              <w:t xml:space="preserve">Key APIs</w:t>
            </w:r>
          </w:p>
        </w:tc>
      </w:tr>
      <w:tr>
        <w:tc>
          <w:tcPr>
            <w:tcW w:type="dxa" w:w="1900"/>
            <w:tcMar>
              <w:top w:type="dxa" w:w="80"/>
              <w:left w:type="dxa" w:w="100"/>
              <w:bottom w:type="dxa" w:w="80"/>
              <w:right w:type="dxa" w:w="100"/>
            </w:tcMar>
          </w:tcPr>
          <w:p>
            <w:r>
              <w:rPr>
                <w:b w:val="false"/>
                <w:bCs w:val="false"/>
                <w:color w:val="1A1A1A"/>
                <w:sz w:val="19"/>
                <w:szCs w:val="19"/>
              </w:rPr>
              <w:t xml:space="preserve">API Gateway</w:t>
            </w:r>
          </w:p>
        </w:tc>
        <w:tc>
          <w:tcPr>
            <w:tcW w:type="dxa" w:w="3300"/>
            <w:tcMar>
              <w:top w:type="dxa" w:w="80"/>
              <w:left w:type="dxa" w:w="100"/>
              <w:bottom w:type="dxa" w:w="80"/>
              <w:right w:type="dxa" w:w="100"/>
            </w:tcMar>
          </w:tcPr>
          <w:p>
            <w:r>
              <w:rPr>
                <w:b w:val="false"/>
                <w:bCs w:val="false"/>
                <w:color w:val="1A1A1A"/>
                <w:sz w:val="19"/>
                <w:szCs w:val="19"/>
              </w:rPr>
              <w:t xml:space="preserve">Routing, authn/z, rate limiting, request aggregation</w:t>
            </w:r>
          </w:p>
        </w:tc>
        <w:tc>
          <w:tcPr>
            <w:tcW w:type="dxa" w:w="2050"/>
            <w:tcMar>
              <w:top w:type="dxa" w:w="80"/>
              <w:left w:type="dxa" w:w="100"/>
              <w:bottom w:type="dxa" w:w="80"/>
              <w:right w:type="dxa" w:w="100"/>
            </w:tcMar>
          </w:tcPr>
          <w:p>
            <w:r>
              <w:rPr>
                <w:b w:val="false"/>
                <w:bCs w:val="false"/>
                <w:color w:val="1A1A1A"/>
                <w:sz w:val="19"/>
                <w:szCs w:val="19"/>
              </w:rPr>
              <w:t xml:space="preserve">Redis (rate-limit counters)</w:t>
            </w:r>
          </w:p>
        </w:tc>
        <w:tc>
          <w:tcPr>
            <w:tcW w:type="dxa" w:w="2100"/>
            <w:tcMar>
              <w:top w:type="dxa" w:w="80"/>
              <w:left w:type="dxa" w:w="100"/>
              <w:bottom w:type="dxa" w:w="80"/>
              <w:right w:type="dxa" w:w="100"/>
            </w:tcMar>
          </w:tcPr>
          <w:p>
            <w:r>
              <w:rPr>
                <w:b w:val="false"/>
                <w:bCs w:val="false"/>
                <w:color w:val="1A1A1A"/>
                <w:sz w:val="19"/>
                <w:szCs w:val="19"/>
              </w:rPr>
              <w:t xml:space="preserve">Spring Cloud Gateway routes</w:t>
            </w:r>
          </w:p>
        </w:tc>
      </w:tr>
      <w:tr>
        <w:tc>
          <w:tcPr>
            <w:tcW w:type="dxa" w:w="1900"/>
            <w:shd w:fill="EAF1FA" w:val="clear"/>
            <w:tcMar>
              <w:top w:type="dxa" w:w="80"/>
              <w:left w:type="dxa" w:w="100"/>
              <w:bottom w:type="dxa" w:w="80"/>
              <w:right w:type="dxa" w:w="100"/>
            </w:tcMar>
          </w:tcPr>
          <w:p>
            <w:r>
              <w:rPr>
                <w:b w:val="false"/>
                <w:bCs w:val="false"/>
                <w:color w:val="1A1A1A"/>
                <w:sz w:val="19"/>
                <w:szCs w:val="19"/>
              </w:rPr>
              <w:t xml:space="preserve">Auth Service</w:t>
            </w:r>
          </w:p>
        </w:tc>
        <w:tc>
          <w:tcPr>
            <w:tcW w:type="dxa" w:w="3300"/>
            <w:shd w:fill="EAF1FA" w:val="clear"/>
            <w:tcMar>
              <w:top w:type="dxa" w:w="80"/>
              <w:left w:type="dxa" w:w="100"/>
              <w:bottom w:type="dxa" w:w="80"/>
              <w:right w:type="dxa" w:w="100"/>
            </w:tcMar>
          </w:tcPr>
          <w:p>
            <w:r>
              <w:rPr>
                <w:b w:val="false"/>
                <w:bCs w:val="false"/>
                <w:color w:val="1A1A1A"/>
                <w:sz w:val="19"/>
                <w:szCs w:val="19"/>
              </w:rPr>
              <w:t xml:space="preserve">Registration, OTP, login, JWT issuance, sessions, 2FA</w:t>
            </w:r>
          </w:p>
        </w:tc>
        <w:tc>
          <w:tcPr>
            <w:tcW w:type="dxa" w:w="2050"/>
            <w:shd w:fill="EAF1FA" w:val="clear"/>
            <w:tcMar>
              <w:top w:type="dxa" w:w="80"/>
              <w:left w:type="dxa" w:w="100"/>
              <w:bottom w:type="dxa" w:w="80"/>
              <w:right w:type="dxa" w:w="100"/>
            </w:tcMar>
          </w:tcPr>
          <w:p>
            <w:r>
              <w:rPr>
                <w:b w:val="false"/>
                <w:bCs w:val="false"/>
                <w:color w:val="1A1A1A"/>
                <w:sz w:val="19"/>
                <w:szCs w:val="19"/>
              </w:rPr>
              <w:t xml:space="preserve">PostgreSQL (auth schema)</w:t>
            </w:r>
          </w:p>
        </w:tc>
        <w:tc>
          <w:tcPr>
            <w:tcW w:type="dxa" w:w="2100"/>
            <w:shd w:fill="EAF1FA" w:val="clear"/>
            <w:tcMar>
              <w:top w:type="dxa" w:w="80"/>
              <w:left w:type="dxa" w:w="100"/>
              <w:bottom w:type="dxa" w:w="80"/>
              <w:right w:type="dxa" w:w="100"/>
            </w:tcMar>
          </w:tcPr>
          <w:p>
            <w:r>
              <w:rPr>
                <w:b w:val="false"/>
                <w:bCs w:val="false"/>
                <w:color w:val="1A1A1A"/>
                <w:sz w:val="19"/>
                <w:szCs w:val="19"/>
              </w:rPr>
              <w:t xml:space="preserve">/auth/register, /auth/otp, /auth/login</w:t>
            </w:r>
          </w:p>
        </w:tc>
      </w:tr>
      <w:tr>
        <w:tc>
          <w:tcPr>
            <w:tcW w:type="dxa" w:w="1900"/>
            <w:tcMar>
              <w:top w:type="dxa" w:w="80"/>
              <w:left w:type="dxa" w:w="100"/>
              <w:bottom w:type="dxa" w:w="80"/>
              <w:right w:type="dxa" w:w="100"/>
            </w:tcMar>
          </w:tcPr>
          <w:p>
            <w:r>
              <w:rPr>
                <w:b w:val="false"/>
                <w:bCs w:val="false"/>
                <w:color w:val="1A1A1A"/>
                <w:sz w:val="19"/>
                <w:szCs w:val="19"/>
              </w:rPr>
              <w:t xml:space="preserve">User Service</w:t>
            </w:r>
          </w:p>
        </w:tc>
        <w:tc>
          <w:tcPr>
            <w:tcW w:type="dxa" w:w="3300"/>
            <w:tcMar>
              <w:top w:type="dxa" w:w="80"/>
              <w:left w:type="dxa" w:w="100"/>
              <w:bottom w:type="dxa" w:w="80"/>
              <w:right w:type="dxa" w:w="100"/>
            </w:tcMar>
          </w:tcPr>
          <w:p>
            <w:r>
              <w:rPr>
                <w:b w:val="false"/>
                <w:bCs w:val="false"/>
                <w:color w:val="1A1A1A"/>
                <w:sz w:val="19"/>
                <w:szCs w:val="19"/>
              </w:rPr>
              <w:t xml:space="preserve">Profiles, contacts, privacy settings, blocking</w:t>
            </w:r>
          </w:p>
        </w:tc>
        <w:tc>
          <w:tcPr>
            <w:tcW w:type="dxa" w:w="2050"/>
            <w:tcMar>
              <w:top w:type="dxa" w:w="80"/>
              <w:left w:type="dxa" w:w="100"/>
              <w:bottom w:type="dxa" w:w="80"/>
              <w:right w:type="dxa" w:w="100"/>
            </w:tcMar>
          </w:tcPr>
          <w:p>
            <w:r>
              <w:rPr>
                <w:b w:val="false"/>
                <w:bCs w:val="false"/>
                <w:color w:val="1A1A1A"/>
                <w:sz w:val="19"/>
                <w:szCs w:val="19"/>
              </w:rPr>
              <w:t xml:space="preserve">PostgreSQL (user schema)</w:t>
            </w:r>
          </w:p>
        </w:tc>
        <w:tc>
          <w:tcPr>
            <w:tcW w:type="dxa" w:w="2100"/>
            <w:tcMar>
              <w:top w:type="dxa" w:w="80"/>
              <w:left w:type="dxa" w:w="100"/>
              <w:bottom w:type="dxa" w:w="80"/>
              <w:right w:type="dxa" w:w="100"/>
            </w:tcMar>
          </w:tcPr>
          <w:p>
            <w:r>
              <w:rPr>
                <w:b w:val="false"/>
                <w:bCs w:val="false"/>
                <w:color w:val="1A1A1A"/>
                <w:sz w:val="19"/>
                <w:szCs w:val="19"/>
              </w:rPr>
              <w:t xml:space="preserve">/users/{id}, /users/{id}/contacts</w:t>
            </w:r>
          </w:p>
        </w:tc>
      </w:tr>
      <w:tr>
        <w:tc>
          <w:tcPr>
            <w:tcW w:type="dxa" w:w="1900"/>
            <w:shd w:fill="EAF1FA" w:val="clear"/>
            <w:tcMar>
              <w:top w:type="dxa" w:w="80"/>
              <w:left w:type="dxa" w:w="100"/>
              <w:bottom w:type="dxa" w:w="80"/>
              <w:right w:type="dxa" w:w="100"/>
            </w:tcMar>
          </w:tcPr>
          <w:p>
            <w:r>
              <w:rPr>
                <w:b w:val="false"/>
                <w:bCs w:val="false"/>
                <w:color w:val="1A1A1A"/>
                <w:sz w:val="19"/>
                <w:szCs w:val="19"/>
              </w:rPr>
              <w:t xml:space="preserve">Chat Service</w:t>
            </w:r>
          </w:p>
        </w:tc>
        <w:tc>
          <w:tcPr>
            <w:tcW w:type="dxa" w:w="3300"/>
            <w:shd w:fill="EAF1FA" w:val="clear"/>
            <w:tcMar>
              <w:top w:type="dxa" w:w="80"/>
              <w:left w:type="dxa" w:w="100"/>
              <w:bottom w:type="dxa" w:w="80"/>
              <w:right w:type="dxa" w:w="100"/>
            </w:tcMar>
          </w:tcPr>
          <w:p>
            <w:r>
              <w:rPr>
                <w:b w:val="false"/>
                <w:bCs w:val="false"/>
                <w:color w:val="1A1A1A"/>
                <w:sz w:val="19"/>
                <w:szCs w:val="19"/>
              </w:rPr>
              <w:t xml:space="preserve">Conversations, messages, message status, search</w:t>
            </w:r>
          </w:p>
        </w:tc>
        <w:tc>
          <w:tcPr>
            <w:tcW w:type="dxa" w:w="2050"/>
            <w:shd w:fill="EAF1FA" w:val="clear"/>
            <w:tcMar>
              <w:top w:type="dxa" w:w="80"/>
              <w:left w:type="dxa" w:w="100"/>
              <w:bottom w:type="dxa" w:w="80"/>
              <w:right w:type="dxa" w:w="100"/>
            </w:tcMar>
          </w:tcPr>
          <w:p>
            <w:r>
              <w:rPr>
                <w:b w:val="false"/>
                <w:bCs w:val="false"/>
                <w:color w:val="1A1A1A"/>
                <w:sz w:val="19"/>
                <w:szCs w:val="19"/>
              </w:rPr>
              <w:t xml:space="preserve">PostgreSQL + Redis (presence)</w:t>
            </w:r>
          </w:p>
        </w:tc>
        <w:tc>
          <w:tcPr>
            <w:tcW w:type="dxa" w:w="2100"/>
            <w:shd w:fill="EAF1FA" w:val="clear"/>
            <w:tcMar>
              <w:top w:type="dxa" w:w="80"/>
              <w:left w:type="dxa" w:w="100"/>
              <w:bottom w:type="dxa" w:w="80"/>
              <w:right w:type="dxa" w:w="100"/>
            </w:tcMar>
          </w:tcPr>
          <w:p>
            <w:r>
              <w:rPr>
                <w:b w:val="false"/>
                <w:bCs w:val="false"/>
                <w:color w:val="1A1A1A"/>
                <w:sz w:val="19"/>
                <w:szCs w:val="19"/>
              </w:rPr>
              <w:t xml:space="preserve">/chats, /chats/{id}/messages, WS /ws/chat</w:t>
            </w:r>
          </w:p>
        </w:tc>
      </w:tr>
      <w:tr>
        <w:tc>
          <w:tcPr>
            <w:tcW w:type="dxa" w:w="1900"/>
            <w:tcMar>
              <w:top w:type="dxa" w:w="80"/>
              <w:left w:type="dxa" w:w="100"/>
              <w:bottom w:type="dxa" w:w="80"/>
              <w:right w:type="dxa" w:w="100"/>
            </w:tcMar>
          </w:tcPr>
          <w:p>
            <w:r>
              <w:rPr>
                <w:b w:val="false"/>
                <w:bCs w:val="false"/>
                <w:color w:val="1A1A1A"/>
                <w:sz w:val="19"/>
                <w:szCs w:val="19"/>
              </w:rPr>
              <w:t xml:space="preserve">Media Service</w:t>
            </w:r>
          </w:p>
        </w:tc>
        <w:tc>
          <w:tcPr>
            <w:tcW w:type="dxa" w:w="3300"/>
            <w:tcMar>
              <w:top w:type="dxa" w:w="80"/>
              <w:left w:type="dxa" w:w="100"/>
              <w:bottom w:type="dxa" w:w="80"/>
              <w:right w:type="dxa" w:w="100"/>
            </w:tcMar>
          </w:tcPr>
          <w:p>
            <w:r>
              <w:rPr>
                <w:b w:val="false"/>
                <w:bCs w:val="false"/>
                <w:color w:val="1A1A1A"/>
                <w:sz w:val="19"/>
                <w:szCs w:val="19"/>
              </w:rPr>
              <w:t xml:space="preserve">Upload/download brokering, transcoding hooks, virus scan</w:t>
            </w:r>
          </w:p>
        </w:tc>
        <w:tc>
          <w:tcPr>
            <w:tcW w:type="dxa" w:w="2050"/>
            <w:tcMar>
              <w:top w:type="dxa" w:w="80"/>
              <w:left w:type="dxa" w:w="100"/>
              <w:bottom w:type="dxa" w:w="80"/>
              <w:right w:type="dxa" w:w="100"/>
            </w:tcMar>
          </w:tcPr>
          <w:p>
            <w:r>
              <w:rPr>
                <w:b w:val="false"/>
                <w:bCs w:val="false"/>
                <w:color w:val="1A1A1A"/>
                <w:sz w:val="19"/>
                <w:szCs w:val="19"/>
              </w:rPr>
              <w:t xml:space="preserve">S3 + PostgreSQL (metadata)</w:t>
            </w:r>
          </w:p>
        </w:tc>
        <w:tc>
          <w:tcPr>
            <w:tcW w:type="dxa" w:w="2100"/>
            <w:tcMar>
              <w:top w:type="dxa" w:w="80"/>
              <w:left w:type="dxa" w:w="100"/>
              <w:bottom w:type="dxa" w:w="80"/>
              <w:right w:type="dxa" w:w="100"/>
            </w:tcMar>
          </w:tcPr>
          <w:p>
            <w:r>
              <w:rPr>
                <w:b w:val="false"/>
                <w:bCs w:val="false"/>
                <w:color w:val="1A1A1A"/>
                <w:sz w:val="19"/>
                <w:szCs w:val="19"/>
              </w:rPr>
              <w:t xml:space="preserve">/media/upload, /media/{id}</w:t>
            </w:r>
          </w:p>
        </w:tc>
      </w:tr>
      <w:tr>
        <w:tc>
          <w:tcPr>
            <w:tcW w:type="dxa" w:w="1900"/>
            <w:shd w:fill="EAF1FA" w:val="clear"/>
            <w:tcMar>
              <w:top w:type="dxa" w:w="80"/>
              <w:left w:type="dxa" w:w="100"/>
              <w:bottom w:type="dxa" w:w="80"/>
              <w:right w:type="dxa" w:w="100"/>
            </w:tcMar>
          </w:tcPr>
          <w:p>
            <w:r>
              <w:rPr>
                <w:b w:val="false"/>
                <w:bCs w:val="false"/>
                <w:color w:val="1A1A1A"/>
                <w:sz w:val="19"/>
                <w:szCs w:val="19"/>
              </w:rPr>
              <w:t xml:space="preserve">Call Service</w:t>
            </w:r>
          </w:p>
        </w:tc>
        <w:tc>
          <w:tcPr>
            <w:tcW w:type="dxa" w:w="3300"/>
            <w:shd w:fill="EAF1FA" w:val="clear"/>
            <w:tcMar>
              <w:top w:type="dxa" w:w="80"/>
              <w:left w:type="dxa" w:w="100"/>
              <w:bottom w:type="dxa" w:w="80"/>
              <w:right w:type="dxa" w:w="100"/>
            </w:tcMar>
          </w:tcPr>
          <w:p>
            <w:r>
              <w:rPr>
                <w:b w:val="false"/>
                <w:bCs w:val="false"/>
                <w:color w:val="1A1A1A"/>
                <w:sz w:val="19"/>
                <w:szCs w:val="19"/>
              </w:rPr>
              <w:t xml:space="preserve">Call signaling, call state, call history, battery-event log</w:t>
            </w:r>
          </w:p>
        </w:tc>
        <w:tc>
          <w:tcPr>
            <w:tcW w:type="dxa" w:w="2050"/>
            <w:shd w:fill="EAF1FA" w:val="clear"/>
            <w:tcMar>
              <w:top w:type="dxa" w:w="80"/>
              <w:left w:type="dxa" w:w="100"/>
              <w:bottom w:type="dxa" w:w="80"/>
              <w:right w:type="dxa" w:w="100"/>
            </w:tcMar>
          </w:tcPr>
          <w:p>
            <w:r>
              <w:rPr>
                <w:b w:val="false"/>
                <w:bCs w:val="false"/>
                <w:color w:val="1A1A1A"/>
                <w:sz w:val="19"/>
                <w:szCs w:val="19"/>
              </w:rPr>
              <w:t xml:space="preserve">PostgreSQL + Redis (live call state)</w:t>
            </w:r>
          </w:p>
        </w:tc>
        <w:tc>
          <w:tcPr>
            <w:tcW w:type="dxa" w:w="2100"/>
            <w:shd w:fill="EAF1FA" w:val="clear"/>
            <w:tcMar>
              <w:top w:type="dxa" w:w="80"/>
              <w:left w:type="dxa" w:w="100"/>
              <w:bottom w:type="dxa" w:w="80"/>
              <w:right w:type="dxa" w:w="100"/>
            </w:tcMar>
          </w:tcPr>
          <w:p>
            <w:r>
              <w:rPr>
                <w:b w:val="false"/>
                <w:bCs w:val="false"/>
                <w:color w:val="1A1A1A"/>
                <w:sz w:val="19"/>
                <w:szCs w:val="19"/>
              </w:rPr>
              <w:t xml:space="preserve">/calls/start, /calls/end, WS /ws/signaling</w:t>
            </w:r>
          </w:p>
        </w:tc>
      </w:tr>
      <w:tr>
        <w:tc>
          <w:tcPr>
            <w:tcW w:type="dxa" w:w="1900"/>
            <w:tcMar>
              <w:top w:type="dxa" w:w="80"/>
              <w:left w:type="dxa" w:w="100"/>
              <w:bottom w:type="dxa" w:w="80"/>
              <w:right w:type="dxa" w:w="100"/>
            </w:tcMar>
          </w:tcPr>
          <w:p>
            <w:r>
              <w:rPr>
                <w:b w:val="false"/>
                <w:bCs w:val="false"/>
                <w:color w:val="1A1A1A"/>
                <w:sz w:val="19"/>
                <w:szCs w:val="19"/>
              </w:rPr>
              <w:t xml:space="preserve">Notification Service</w:t>
            </w:r>
          </w:p>
        </w:tc>
        <w:tc>
          <w:tcPr>
            <w:tcW w:type="dxa" w:w="3300"/>
            <w:tcMar>
              <w:top w:type="dxa" w:w="80"/>
              <w:left w:type="dxa" w:w="100"/>
              <w:bottom w:type="dxa" w:w="80"/>
              <w:right w:type="dxa" w:w="100"/>
            </w:tcMar>
          </w:tcPr>
          <w:p>
            <w:r>
              <w:rPr>
                <w:b w:val="false"/>
                <w:bCs w:val="false"/>
                <w:color w:val="1A1A1A"/>
                <w:sz w:val="19"/>
                <w:szCs w:val="19"/>
              </w:rPr>
              <w:t xml:space="preserve">Push notification dispatch (FCM), templating</w:t>
            </w:r>
          </w:p>
        </w:tc>
        <w:tc>
          <w:tcPr>
            <w:tcW w:type="dxa" w:w="2050"/>
            <w:tcMar>
              <w:top w:type="dxa" w:w="80"/>
              <w:left w:type="dxa" w:w="100"/>
              <w:bottom w:type="dxa" w:w="80"/>
              <w:right w:type="dxa" w:w="100"/>
            </w:tcMar>
          </w:tcPr>
          <w:p>
            <w:r>
              <w:rPr>
                <w:b w:val="false"/>
                <w:bCs w:val="false"/>
                <w:color w:val="1A1A1A"/>
                <w:sz w:val="19"/>
                <w:szCs w:val="19"/>
              </w:rPr>
              <w:t xml:space="preserve">PostgreSQL (delivery log)</w:t>
            </w:r>
          </w:p>
        </w:tc>
        <w:tc>
          <w:tcPr>
            <w:tcW w:type="dxa" w:w="2100"/>
            <w:tcMar>
              <w:top w:type="dxa" w:w="80"/>
              <w:left w:type="dxa" w:w="100"/>
              <w:bottom w:type="dxa" w:w="80"/>
              <w:right w:type="dxa" w:w="100"/>
            </w:tcMar>
          </w:tcPr>
          <w:p>
            <w:r>
              <w:rPr>
                <w:b w:val="false"/>
                <w:bCs w:val="false"/>
                <w:color w:val="1A1A1A"/>
                <w:sz w:val="19"/>
                <w:szCs w:val="19"/>
              </w:rPr>
              <w:t xml:space="preserve">/notifications/send (internal, event-driven)</w:t>
            </w:r>
          </w:p>
        </w:tc>
      </w:tr>
      <w:tr>
        <w:tc>
          <w:tcPr>
            <w:tcW w:type="dxa" w:w="1900"/>
            <w:shd w:fill="EAF1FA" w:val="clear"/>
            <w:tcMar>
              <w:top w:type="dxa" w:w="80"/>
              <w:left w:type="dxa" w:w="100"/>
              <w:bottom w:type="dxa" w:w="80"/>
              <w:right w:type="dxa" w:w="100"/>
            </w:tcMar>
          </w:tcPr>
          <w:p>
            <w:r>
              <w:rPr>
                <w:b w:val="false"/>
                <w:bCs w:val="false"/>
                <w:color w:val="1A1A1A"/>
                <w:sz w:val="19"/>
                <w:szCs w:val="19"/>
              </w:rPr>
              <w:t xml:space="preserve">Group Service</w:t>
            </w:r>
          </w:p>
        </w:tc>
        <w:tc>
          <w:tcPr>
            <w:tcW w:type="dxa" w:w="3300"/>
            <w:shd w:fill="EAF1FA" w:val="clear"/>
            <w:tcMar>
              <w:top w:type="dxa" w:w="80"/>
              <w:left w:type="dxa" w:w="100"/>
              <w:bottom w:type="dxa" w:w="80"/>
              <w:right w:type="dxa" w:w="100"/>
            </w:tcMar>
          </w:tcPr>
          <w:p>
            <w:r>
              <w:rPr>
                <w:b w:val="false"/>
                <w:bCs w:val="false"/>
                <w:color w:val="1A1A1A"/>
                <w:sz w:val="19"/>
                <w:szCs w:val="19"/>
              </w:rPr>
              <w:t xml:space="preserve">Group CRUD, membership, roles/permissions</w:t>
            </w:r>
          </w:p>
        </w:tc>
        <w:tc>
          <w:tcPr>
            <w:tcW w:type="dxa" w:w="2050"/>
            <w:shd w:fill="EAF1FA" w:val="clear"/>
            <w:tcMar>
              <w:top w:type="dxa" w:w="80"/>
              <w:left w:type="dxa" w:w="100"/>
              <w:bottom w:type="dxa" w:w="80"/>
              <w:right w:type="dxa" w:w="100"/>
            </w:tcMar>
          </w:tcPr>
          <w:p>
            <w:r>
              <w:rPr>
                <w:b w:val="false"/>
                <w:bCs w:val="false"/>
                <w:color w:val="1A1A1A"/>
                <w:sz w:val="19"/>
                <w:szCs w:val="19"/>
              </w:rPr>
              <w:t xml:space="preserve">PostgreSQL (group schema)</w:t>
            </w:r>
          </w:p>
        </w:tc>
        <w:tc>
          <w:tcPr>
            <w:tcW w:type="dxa" w:w="2100"/>
            <w:shd w:fill="EAF1FA" w:val="clear"/>
            <w:tcMar>
              <w:top w:type="dxa" w:w="80"/>
              <w:left w:type="dxa" w:w="100"/>
              <w:bottom w:type="dxa" w:w="80"/>
              <w:right w:type="dxa" w:w="100"/>
            </w:tcMar>
          </w:tcPr>
          <w:p>
            <w:r>
              <w:rPr>
                <w:b w:val="false"/>
                <w:bCs w:val="false"/>
                <w:color w:val="1A1A1A"/>
                <w:sz w:val="19"/>
                <w:szCs w:val="19"/>
              </w:rPr>
              <w:t xml:space="preserve">/groups, /groups/{id}/members</w:t>
            </w:r>
          </w:p>
        </w:tc>
      </w:tr>
      <w:tr>
        <w:tc>
          <w:tcPr>
            <w:tcW w:type="dxa" w:w="1900"/>
            <w:tcMar>
              <w:top w:type="dxa" w:w="80"/>
              <w:left w:type="dxa" w:w="100"/>
              <w:bottom w:type="dxa" w:w="80"/>
              <w:right w:type="dxa" w:w="100"/>
            </w:tcMar>
          </w:tcPr>
          <w:p>
            <w:r>
              <w:rPr>
                <w:b w:val="false"/>
                <w:bCs w:val="false"/>
                <w:color w:val="1A1A1A"/>
                <w:sz w:val="19"/>
                <w:szCs w:val="19"/>
              </w:rPr>
              <w:t xml:space="preserve">Status Service</w:t>
            </w:r>
          </w:p>
        </w:tc>
        <w:tc>
          <w:tcPr>
            <w:tcW w:type="dxa" w:w="3300"/>
            <w:tcMar>
              <w:top w:type="dxa" w:w="80"/>
              <w:left w:type="dxa" w:w="100"/>
              <w:bottom w:type="dxa" w:w="80"/>
              <w:right w:type="dxa" w:w="100"/>
            </w:tcMar>
          </w:tcPr>
          <w:p>
            <w:r>
              <w:rPr>
                <w:b w:val="false"/>
                <w:bCs w:val="false"/>
                <w:color w:val="1A1A1A"/>
                <w:sz w:val="19"/>
                <w:szCs w:val="19"/>
              </w:rPr>
              <w:t xml:space="preserve">24-hour stories/status content and viewer lists</w:t>
            </w:r>
          </w:p>
        </w:tc>
        <w:tc>
          <w:tcPr>
            <w:tcW w:type="dxa" w:w="2050"/>
            <w:tcMar>
              <w:top w:type="dxa" w:w="80"/>
              <w:left w:type="dxa" w:w="100"/>
              <w:bottom w:type="dxa" w:w="80"/>
              <w:right w:type="dxa" w:w="100"/>
            </w:tcMar>
          </w:tcPr>
          <w:p>
            <w:r>
              <w:rPr>
                <w:b w:val="false"/>
                <w:bCs w:val="false"/>
                <w:color w:val="1A1A1A"/>
                <w:sz w:val="19"/>
                <w:szCs w:val="19"/>
              </w:rPr>
              <w:t xml:space="preserve">PostgreSQL + S3</w:t>
            </w:r>
          </w:p>
        </w:tc>
        <w:tc>
          <w:tcPr>
            <w:tcW w:type="dxa" w:w="2100"/>
            <w:tcMar>
              <w:top w:type="dxa" w:w="80"/>
              <w:left w:type="dxa" w:w="100"/>
              <w:bottom w:type="dxa" w:w="80"/>
              <w:right w:type="dxa" w:w="100"/>
            </w:tcMar>
          </w:tcPr>
          <w:p>
            <w:r>
              <w:rPr>
                <w:b w:val="false"/>
                <w:bCs w:val="false"/>
                <w:color w:val="1A1A1A"/>
                <w:sz w:val="19"/>
                <w:szCs w:val="19"/>
              </w:rPr>
              <w:t xml:space="preserve">/status, /status/{id}/views</w:t>
            </w:r>
          </w:p>
        </w:tc>
      </w:tr>
      <w:tr>
        <w:tc>
          <w:tcPr>
            <w:tcW w:type="dxa" w:w="1900"/>
            <w:shd w:fill="EAF1FA" w:val="clear"/>
            <w:tcMar>
              <w:top w:type="dxa" w:w="80"/>
              <w:left w:type="dxa" w:w="100"/>
              <w:bottom w:type="dxa" w:w="80"/>
              <w:right w:type="dxa" w:w="100"/>
            </w:tcMar>
          </w:tcPr>
          <w:p>
            <w:r>
              <w:rPr>
                <w:b w:val="false"/>
                <w:bCs w:val="false"/>
                <w:color w:val="1A1A1A"/>
                <w:sz w:val="19"/>
                <w:szCs w:val="19"/>
              </w:rPr>
              <w:t xml:space="preserve">Admin Service</w:t>
            </w:r>
          </w:p>
        </w:tc>
        <w:tc>
          <w:tcPr>
            <w:tcW w:type="dxa" w:w="3300"/>
            <w:shd w:fill="EAF1FA" w:val="clear"/>
            <w:tcMar>
              <w:top w:type="dxa" w:w="80"/>
              <w:left w:type="dxa" w:w="100"/>
              <w:bottom w:type="dxa" w:w="80"/>
              <w:right w:type="dxa" w:w="100"/>
            </w:tcMar>
          </w:tcPr>
          <w:p>
            <w:r>
              <w:rPr>
                <w:b w:val="false"/>
                <w:bCs w:val="false"/>
                <w:color w:val="1A1A1A"/>
                <w:sz w:val="19"/>
                <w:szCs w:val="19"/>
              </w:rPr>
              <w:t xml:space="preserve">Moderation, reports, abuse detection, analytics dashboards</w:t>
            </w:r>
          </w:p>
        </w:tc>
        <w:tc>
          <w:tcPr>
            <w:tcW w:type="dxa" w:w="2050"/>
            <w:shd w:fill="EAF1FA" w:val="clear"/>
            <w:tcMar>
              <w:top w:type="dxa" w:w="80"/>
              <w:left w:type="dxa" w:w="100"/>
              <w:bottom w:type="dxa" w:w="80"/>
              <w:right w:type="dxa" w:w="100"/>
            </w:tcMar>
          </w:tcPr>
          <w:p>
            <w:r>
              <w:rPr>
                <w:b w:val="false"/>
                <w:bCs w:val="false"/>
                <w:color w:val="1A1A1A"/>
                <w:sz w:val="19"/>
                <w:szCs w:val="19"/>
              </w:rPr>
              <w:t xml:space="preserve">PostgreSQL (read replicas) + analytics store</w:t>
            </w:r>
          </w:p>
        </w:tc>
        <w:tc>
          <w:tcPr>
            <w:tcW w:type="dxa" w:w="2100"/>
            <w:shd w:fill="EAF1FA" w:val="clear"/>
            <w:tcMar>
              <w:top w:type="dxa" w:w="80"/>
              <w:left w:type="dxa" w:w="100"/>
              <w:bottom w:type="dxa" w:w="80"/>
              <w:right w:type="dxa" w:w="100"/>
            </w:tcMar>
          </w:tcPr>
          <w:p>
            <w:r>
              <w:rPr>
                <w:b w:val="false"/>
                <w:bCs w:val="false"/>
                <w:color w:val="1A1A1A"/>
                <w:sz w:val="19"/>
                <w:szCs w:val="19"/>
              </w:rPr>
              <w:t xml:space="preserve">/admin/reports, /admin/users/{id}/action</w:t>
            </w:r>
          </w:p>
        </w:tc>
      </w:tr>
    </w:tbl>
    <w:p>
      <w:pPr>
        <w:pStyle w:val="Heading3"/>
        <w:spacing w:after="100" w:before="220"/>
      </w:pPr>
      <w:r>
        <w:rPr>
          <w:b/>
          <w:bCs/>
          <w:color w:val="2E75B6"/>
          <w:sz w:val="21"/>
          <w:szCs w:val="21"/>
        </w:rPr>
        <w:t xml:space="preserve">6.1 Inter-Service Communication</w:t>
      </w:r>
    </w:p>
    <w:p>
      <w:pPr>
        <w:pStyle w:val="ListParagraph"/>
        <w:numPr>
          <w:ilvl w:val="0"/>
          <w:numId w:val="2"/>
        </w:numPr>
        <w:spacing w:after="60"/>
      </w:pPr>
      <w:r>
        <w:rPr>
          <w:color w:val="1A1A1A"/>
          <w:sz w:val="21"/>
          <w:szCs w:val="21"/>
        </w:rPr>
        <w:t xml:space="preserve">Synchronous: REST over HTTPS between gateway and services, and service-to-service for lookups that need an immediate answer (e.g., Call Service → User Service for contact info).</w:t>
      </w:r>
    </w:p>
    <w:p>
      <w:pPr>
        <w:pStyle w:val="ListParagraph"/>
        <w:numPr>
          <w:ilvl w:val="0"/>
          <w:numId w:val="2"/>
        </w:numPr>
        <w:spacing w:after="60"/>
      </w:pPr>
      <w:r>
        <w:rPr>
          <w:color w:val="1A1A1A"/>
          <w:sz w:val="21"/>
          <w:szCs w:val="21"/>
        </w:rPr>
        <w:t xml:space="preserve">Asynchronous: Kafka topics for message.sent, call.started, call.terminated.low_battery, status.published, notification.requested — this is what lets Notification Service and Admin/Analytics stay decoupled from the write path.</w:t>
      </w:r>
    </w:p>
    <w:p>
      <w:pPr>
        <w:pStyle w:val="ListParagraph"/>
        <w:numPr>
          <w:ilvl w:val="0"/>
          <w:numId w:val="2"/>
        </w:numPr>
        <w:spacing w:after="60"/>
      </w:pPr>
      <w:r>
        <w:rPr>
          <w:color w:val="1A1A1A"/>
          <w:sz w:val="21"/>
          <w:szCs w:val="21"/>
        </w:rPr>
        <w:t xml:space="preserve">Real-time: WebSocket (STOMP) for chat delivery and presence; a dedicated WebSocket signaling channel for WebRTC call setup (offer/answer/ICE candidates).</w:t>
      </w:r>
    </w:p>
    <w:p>
      <w:pPr>
        <w:pStyle w:val="Heading1"/>
        <w:pBdr>
          <w:bottom w:val="single" w:color="2E75B6" w:sz="8" w:space="4"/>
        </w:pBdr>
        <w:spacing w:after="200" w:before="480"/>
      </w:pPr>
      <w:r>
        <w:rPr>
          <w:b/>
          <w:bCs/>
          <w:color w:val="1F3864"/>
          <w:sz w:val="30"/>
          <w:szCs w:val="30"/>
        </w:rPr>
        <w:t xml:space="preserve">7. Real-Time Communication &amp; Calling Architecture</w:t>
      </w:r>
    </w:p>
    <w:p>
      <w:pPr>
        <w:spacing w:after="160" w:line="300"/>
      </w:pPr>
      <w:r>
        <w:rPr>
          <w:color w:val="1A1A1A"/>
          <w:sz w:val="21"/>
          <w:szCs w:val="21"/>
        </w:rPr>
        <w:t xml:space="preserve">Voice and video calls use WebRTC for peer-to-peer media, with the Call Service acting purely as a signaling broker — it never touches raw audio/video.</w:t>
      </w:r>
    </w:p>
    <w:p>
      <w:pPr>
        <w:pBdr>
          <w:top w:val="single" w:color="CCCCCC" w:sz="4" w:space="4"/>
          <w:bottom w:val="single" w:color="CCCCCC" w:sz="4" w:space="4"/>
          <w:left w:val="single" w:color="CCCCCC" w:sz="4" w:space="4"/>
          <w:right w:val="single" w:color="CCCCCC" w:sz="4" w:space="4"/>
        </w:pBdr>
        <w:shd w:fill="F2F2F2" w:val="clear"/>
        <w:spacing w:after="200"/>
      </w:pPr>
      <w:r>
        <w:rPr>
          <w:rFonts w:ascii="Consolas" w:cs="Consolas" w:eastAsia="Consolas" w:hAnsi="Consolas"/>
          <w:color w:val="333333"/>
          <w:sz w:val="18"/>
          <w:szCs w:val="18"/>
        </w:rPr>
        <w:t xml:space="preserve">Caller                          Call Service (Signaling)                    Callee</w:t>
      </w:r>
      <w:r>
        <w:rPr>
          <w:rFonts w:ascii="Consolas" w:cs="Consolas" w:eastAsia="Consolas" w:hAnsi="Consolas"/>
          <w:color w:val="333333"/>
          <w:sz w:val="18"/>
          <w:szCs w:val="18"/>
        </w:rPr>
        <w:br/>
        <w:t xml:space="preserve">  │  WS: offer(sdp)  ─────────────────▶ │                                      │</w:t>
      </w:r>
      <w:r>
        <w:rPr>
          <w:rFonts w:ascii="Consolas" w:cs="Consolas" w:eastAsia="Consolas" w:hAnsi="Consolas"/>
          <w:color w:val="333333"/>
          <w:sz w:val="18"/>
          <w:szCs w:val="18"/>
        </w:rPr>
        <w:br/>
        <w:t xml:space="preserve">  │                                     │ ── WS: offer(sdp) ─────────────────▶ │</w:t>
      </w:r>
      <w:r>
        <w:rPr>
          <w:rFonts w:ascii="Consolas" w:cs="Consolas" w:eastAsia="Consolas" w:hAnsi="Consolas"/>
          <w:color w:val="333333"/>
          <w:sz w:val="18"/>
          <w:szCs w:val="18"/>
        </w:rPr>
        <w:br/>
        <w:t xml:space="preserve">  │                                     │ ◀──────────── WS: answer(sdp) ────── │</w:t>
      </w:r>
      <w:r>
        <w:rPr>
          <w:rFonts w:ascii="Consolas" w:cs="Consolas" w:eastAsia="Consolas" w:hAnsi="Consolas"/>
          <w:color w:val="333333"/>
          <w:sz w:val="18"/>
          <w:szCs w:val="18"/>
        </w:rPr>
        <w:br/>
        <w:t xml:space="preserve">  │ ◀──────────── WS: answer(sdp) ────── │                                      │</w:t>
      </w:r>
      <w:r>
        <w:rPr>
          <w:rFonts w:ascii="Consolas" w:cs="Consolas" w:eastAsia="Consolas" w:hAnsi="Consolas"/>
          <w:color w:val="333333"/>
          <w:sz w:val="18"/>
          <w:szCs w:val="18"/>
        </w:rPr>
        <w:br/>
        <w:t xml:space="preserve">  │ ⇄ ICE candidates via signaling ⇄     │      ⇄ ICE candidates via signaling ⇄ │</w:t>
      </w:r>
      <w:r>
        <w:rPr>
          <w:rFonts w:ascii="Consolas" w:cs="Consolas" w:eastAsia="Consolas" w:hAnsi="Consolas"/>
          <w:color w:val="333333"/>
          <w:sz w:val="18"/>
          <w:szCs w:val="18"/>
        </w:rPr>
        <w:br/>
        <w:t xml:space="preserve">  │                                                                             │</w:t>
      </w:r>
      <w:r>
        <w:rPr>
          <w:rFonts w:ascii="Consolas" w:cs="Consolas" w:eastAsia="Consolas" w:hAnsi="Consolas"/>
          <w:color w:val="333333"/>
          <w:sz w:val="18"/>
          <w:szCs w:val="18"/>
        </w:rPr>
        <w:br/>
        <w:t xml:space="preserve">  │ ═══════════════ WebRTC media (SRTP), direct P2P when possible ═══════════▶ │</w:t>
      </w:r>
      <w:r>
        <w:rPr>
          <w:rFonts w:ascii="Consolas" w:cs="Consolas" w:eastAsia="Consolas" w:hAnsi="Consolas"/>
          <w:color w:val="333333"/>
          <w:sz w:val="18"/>
          <w:szCs w:val="18"/>
        </w:rPr>
        <w:br/>
        <w:t xml:space="preserve">  │ ═══ if P2P fails (NAT/firewall): relayed through TURN server ═══════════▶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3864" w:val="clear"/>
            <w:tcMar>
              <w:top w:type="dxa" w:w="80"/>
              <w:left w:type="dxa" w:w="100"/>
              <w:bottom w:type="dxa" w:w="80"/>
              <w:right w:type="dxa" w:w="100"/>
            </w:tcMar>
          </w:tcPr>
          <w:p>
            <w:r>
              <w:rPr>
                <w:b/>
                <w:bCs/>
                <w:color w:val="FFFFFF"/>
                <w:sz w:val="19"/>
                <w:szCs w:val="19"/>
              </w:rPr>
              <w:t xml:space="preserve">Infra Component</w:t>
            </w:r>
          </w:p>
        </w:tc>
        <w:tc>
          <w:tcPr>
            <w:tcW w:type="dxa" w:w="6350"/>
            <w:shd w:fill="1F3864" w:val="clear"/>
            <w:tcMar>
              <w:top w:type="dxa" w:w="80"/>
              <w:left w:type="dxa" w:w="100"/>
              <w:bottom w:type="dxa" w:w="80"/>
              <w:right w:type="dxa" w:w="100"/>
            </w:tcMar>
          </w:tcPr>
          <w:p>
            <w:r>
              <w:rPr>
                <w:b/>
                <w:bCs/>
                <w:color w:val="FFFFFF"/>
                <w:sz w:val="19"/>
                <w:szCs w:val="19"/>
              </w:rPr>
              <w:t xml:space="preserve">Role</w:t>
            </w:r>
          </w:p>
        </w:tc>
      </w:tr>
      <w:tr>
        <w:tc>
          <w:tcPr>
            <w:tcW w:type="dxa" w:w="3000"/>
            <w:tcMar>
              <w:top w:type="dxa" w:w="80"/>
              <w:left w:type="dxa" w:w="100"/>
              <w:bottom w:type="dxa" w:w="80"/>
              <w:right w:type="dxa" w:w="100"/>
            </w:tcMar>
          </w:tcPr>
          <w:p>
            <w:r>
              <w:rPr>
                <w:b w:val="false"/>
                <w:bCs w:val="false"/>
                <w:color w:val="1A1A1A"/>
                <w:sz w:val="19"/>
                <w:szCs w:val="19"/>
              </w:rPr>
              <w:t xml:space="preserve">Signaling Server (Call Service)</w:t>
            </w:r>
          </w:p>
        </w:tc>
        <w:tc>
          <w:tcPr>
            <w:tcW w:type="dxa" w:w="6350"/>
            <w:tcMar>
              <w:top w:type="dxa" w:w="80"/>
              <w:left w:type="dxa" w:w="100"/>
              <w:bottom w:type="dxa" w:w="80"/>
              <w:right w:type="dxa" w:w="100"/>
            </w:tcMar>
          </w:tcPr>
          <w:p>
            <w:r>
              <w:rPr>
                <w:b w:val="false"/>
                <w:bCs w:val="false"/>
                <w:color w:val="1A1A1A"/>
                <w:sz w:val="19"/>
                <w:szCs w:val="19"/>
              </w:rPr>
              <w:t xml:space="preserve">Exchanges SDP offer/answer and ICE candidates over WebSocket; tracks call state (ringing, active, ended, ended_low_battery).</w:t>
            </w:r>
          </w:p>
        </w:tc>
      </w:tr>
      <w:tr>
        <w:tc>
          <w:tcPr>
            <w:tcW w:type="dxa" w:w="3000"/>
            <w:shd w:fill="EAF1FA" w:val="clear"/>
            <w:tcMar>
              <w:top w:type="dxa" w:w="80"/>
              <w:left w:type="dxa" w:w="100"/>
              <w:bottom w:type="dxa" w:w="80"/>
              <w:right w:type="dxa" w:w="100"/>
            </w:tcMar>
          </w:tcPr>
          <w:p>
            <w:r>
              <w:rPr>
                <w:b w:val="false"/>
                <w:bCs w:val="false"/>
                <w:color w:val="1A1A1A"/>
                <w:sz w:val="19"/>
                <w:szCs w:val="19"/>
              </w:rPr>
              <w:t xml:space="preserve">STUN Server</w:t>
            </w:r>
          </w:p>
        </w:tc>
        <w:tc>
          <w:tcPr>
            <w:tcW w:type="dxa" w:w="6350"/>
            <w:shd w:fill="EAF1FA" w:val="clear"/>
            <w:tcMar>
              <w:top w:type="dxa" w:w="80"/>
              <w:left w:type="dxa" w:w="100"/>
              <w:bottom w:type="dxa" w:w="80"/>
              <w:right w:type="dxa" w:w="100"/>
            </w:tcMar>
          </w:tcPr>
          <w:p>
            <w:r>
              <w:rPr>
                <w:b w:val="false"/>
                <w:bCs w:val="false"/>
                <w:color w:val="1A1A1A"/>
                <w:sz w:val="19"/>
                <w:szCs w:val="19"/>
              </w:rPr>
              <w:t xml:space="preserve">Helps each peer discover its public IP/port for direct P2P connectivity.</w:t>
            </w:r>
          </w:p>
        </w:tc>
      </w:tr>
      <w:tr>
        <w:tc>
          <w:tcPr>
            <w:tcW w:type="dxa" w:w="3000"/>
            <w:tcMar>
              <w:top w:type="dxa" w:w="80"/>
              <w:left w:type="dxa" w:w="100"/>
              <w:bottom w:type="dxa" w:w="80"/>
              <w:right w:type="dxa" w:w="100"/>
            </w:tcMar>
          </w:tcPr>
          <w:p>
            <w:r>
              <w:rPr>
                <w:b w:val="false"/>
                <w:bCs w:val="false"/>
                <w:color w:val="1A1A1A"/>
                <w:sz w:val="19"/>
                <w:szCs w:val="19"/>
              </w:rPr>
              <w:t xml:space="preserve">TURN Server</w:t>
            </w:r>
          </w:p>
        </w:tc>
        <w:tc>
          <w:tcPr>
            <w:tcW w:type="dxa" w:w="6350"/>
            <w:tcMar>
              <w:top w:type="dxa" w:w="80"/>
              <w:left w:type="dxa" w:w="100"/>
              <w:bottom w:type="dxa" w:w="80"/>
              <w:right w:type="dxa" w:w="100"/>
            </w:tcMar>
          </w:tcPr>
          <w:p>
            <w:r>
              <w:rPr>
                <w:b w:val="false"/>
                <w:bCs w:val="false"/>
                <w:color w:val="1A1A1A"/>
                <w:sz w:val="19"/>
                <w:szCs w:val="19"/>
              </w:rPr>
              <w:t xml:space="preserve">Relays encrypted media when a direct P2P path is not possible (symmetric NATs, restrictive firewalls).</w:t>
            </w:r>
          </w:p>
        </w:tc>
      </w:tr>
      <w:tr>
        <w:tc>
          <w:tcPr>
            <w:tcW w:type="dxa" w:w="3000"/>
            <w:shd w:fill="EAF1FA" w:val="clear"/>
            <w:tcMar>
              <w:top w:type="dxa" w:w="80"/>
              <w:left w:type="dxa" w:w="100"/>
              <w:bottom w:type="dxa" w:w="80"/>
              <w:right w:type="dxa" w:w="100"/>
            </w:tcMar>
          </w:tcPr>
          <w:p>
            <w:r>
              <w:rPr>
                <w:b w:val="false"/>
                <w:bCs w:val="false"/>
                <w:color w:val="1A1A1A"/>
                <w:sz w:val="19"/>
                <w:szCs w:val="19"/>
              </w:rPr>
              <w:t xml:space="preserve">Group Calls</w:t>
            </w:r>
          </w:p>
        </w:tc>
        <w:tc>
          <w:tcPr>
            <w:tcW w:type="dxa" w:w="6350"/>
            <w:shd w:fill="EAF1FA" w:val="clear"/>
            <w:tcMar>
              <w:top w:type="dxa" w:w="80"/>
              <w:left w:type="dxa" w:w="100"/>
              <w:bottom w:type="dxa" w:w="80"/>
              <w:right w:type="dxa" w:w="100"/>
            </w:tcMar>
          </w:tcPr>
          <w:p>
            <w:r>
              <w:rPr>
                <w:b w:val="false"/>
                <w:bCs w:val="false"/>
                <w:color w:val="1A1A1A"/>
                <w:sz w:val="19"/>
                <w:szCs w:val="19"/>
              </w:rPr>
              <w:t xml:space="preserve">SFU (Selective Forwarding Unit) recommended once group video calling moves past MVP, to avoid full-mesh bandwidth cost.</w:t>
            </w:r>
          </w:p>
        </w:tc>
      </w:tr>
    </w:tbl>
    <w:p>
      <w:pPr>
        <w:pStyle w:val="Heading1"/>
        <w:pBdr>
          <w:bottom w:val="single" w:color="2E75B6" w:sz="8" w:space="4"/>
        </w:pBdr>
        <w:spacing w:after="200" w:before="480"/>
      </w:pPr>
      <w:r>
        <w:rPr>
          <w:b/>
          <w:bCs/>
          <w:color w:val="1F3864"/>
          <w:sz w:val="30"/>
          <w:szCs w:val="30"/>
        </w:rPr>
        <w:t xml:space="preserve">8. Data Architecture</w:t>
      </w:r>
    </w:p>
    <w:p>
      <w:pPr>
        <w:pStyle w:val="Heading3"/>
        <w:spacing w:after="100" w:before="220"/>
      </w:pPr>
      <w:r>
        <w:rPr>
          <w:b/>
          <w:bCs/>
          <w:color w:val="2E75B6"/>
          <w:sz w:val="21"/>
          <w:szCs w:val="21"/>
        </w:rPr>
        <w:t xml:space="preserve">8.1 Storage Strategy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80"/>
              <w:left w:type="dxa" w:w="100"/>
              <w:bottom w:type="dxa" w:w="80"/>
              <w:right w:type="dxa" w:w="100"/>
            </w:tcMar>
          </w:tcPr>
          <w:p>
            <w:r>
              <w:rPr>
                <w:b/>
                <w:bCs/>
                <w:color w:val="FFFFFF"/>
                <w:sz w:val="19"/>
                <w:szCs w:val="19"/>
              </w:rPr>
              <w:t xml:space="preserve">Store</w:t>
            </w:r>
          </w:p>
        </w:tc>
        <w:tc>
          <w:tcPr>
            <w:tcW w:type="dxa" w:w="6750"/>
            <w:shd w:fill="1F3864" w:val="clear"/>
            <w:tcMar>
              <w:top w:type="dxa" w:w="80"/>
              <w:left w:type="dxa" w:w="100"/>
              <w:bottom w:type="dxa" w:w="80"/>
              <w:right w:type="dxa" w:w="100"/>
            </w:tcMar>
          </w:tcPr>
          <w:p>
            <w:r>
              <w:rPr>
                <w:b/>
                <w:bCs/>
                <w:color w:val="FFFFFF"/>
                <w:sz w:val="19"/>
                <w:szCs w:val="19"/>
              </w:rPr>
              <w:t xml:space="preserve">Used For</w:t>
            </w:r>
          </w:p>
        </w:tc>
      </w:tr>
      <w:tr>
        <w:tc>
          <w:tcPr>
            <w:tcW w:type="dxa" w:w="2600"/>
            <w:tcMar>
              <w:top w:type="dxa" w:w="80"/>
              <w:left w:type="dxa" w:w="100"/>
              <w:bottom w:type="dxa" w:w="80"/>
              <w:right w:type="dxa" w:w="100"/>
            </w:tcMar>
          </w:tcPr>
          <w:p>
            <w:r>
              <w:rPr>
                <w:b w:val="false"/>
                <w:bCs w:val="false"/>
                <w:color w:val="1A1A1A"/>
                <w:sz w:val="19"/>
                <w:szCs w:val="19"/>
              </w:rPr>
              <w:t xml:space="preserve">PostgreSQL (per-service schema)</w:t>
            </w:r>
          </w:p>
        </w:tc>
        <w:tc>
          <w:tcPr>
            <w:tcW w:type="dxa" w:w="6750"/>
            <w:tcMar>
              <w:top w:type="dxa" w:w="80"/>
              <w:left w:type="dxa" w:w="100"/>
              <w:bottom w:type="dxa" w:w="80"/>
              <w:right w:type="dxa" w:w="100"/>
            </w:tcMar>
          </w:tcPr>
          <w:p>
            <w:r>
              <w:rPr>
                <w:b w:val="false"/>
                <w:bCs w:val="false"/>
                <w:color w:val="1A1A1A"/>
                <w:sz w:val="19"/>
                <w:szCs w:val="19"/>
              </w:rPr>
              <w:t xml:space="preserve">System of record: users, auth, messages metadata, calls, groups, status metadata, reports.</w:t>
            </w:r>
          </w:p>
        </w:tc>
      </w:tr>
      <w:tr>
        <w:tc>
          <w:tcPr>
            <w:tcW w:type="dxa" w:w="2600"/>
            <w:shd w:fill="EAF1FA" w:val="clear"/>
            <w:tcMar>
              <w:top w:type="dxa" w:w="80"/>
              <w:left w:type="dxa" w:w="100"/>
              <w:bottom w:type="dxa" w:w="80"/>
              <w:right w:type="dxa" w:w="100"/>
            </w:tcMar>
          </w:tcPr>
          <w:p>
            <w:r>
              <w:rPr>
                <w:b w:val="false"/>
                <w:bCs w:val="false"/>
                <w:color w:val="1A1A1A"/>
                <w:sz w:val="19"/>
                <w:szCs w:val="19"/>
              </w:rPr>
              <w:t xml:space="preserve">Redis</w:t>
            </w:r>
          </w:p>
        </w:tc>
        <w:tc>
          <w:tcPr>
            <w:tcW w:type="dxa" w:w="6750"/>
            <w:shd w:fill="EAF1FA" w:val="clear"/>
            <w:tcMar>
              <w:top w:type="dxa" w:w="80"/>
              <w:left w:type="dxa" w:w="100"/>
              <w:bottom w:type="dxa" w:w="80"/>
              <w:right w:type="dxa" w:w="100"/>
            </w:tcMar>
          </w:tcPr>
          <w:p>
            <w:r>
              <w:rPr>
                <w:b w:val="false"/>
                <w:bCs w:val="false"/>
                <w:color w:val="1A1A1A"/>
                <w:sz w:val="19"/>
                <w:szCs w:val="19"/>
              </w:rPr>
              <w:t xml:space="preserve">Online presence, WebSocket session routing, live call state, rate-limit counters, OTP short-lived codes.</w:t>
            </w:r>
          </w:p>
        </w:tc>
      </w:tr>
      <w:tr>
        <w:tc>
          <w:tcPr>
            <w:tcW w:type="dxa" w:w="2600"/>
            <w:tcMar>
              <w:top w:type="dxa" w:w="80"/>
              <w:left w:type="dxa" w:w="100"/>
              <w:bottom w:type="dxa" w:w="80"/>
              <w:right w:type="dxa" w:w="100"/>
            </w:tcMar>
          </w:tcPr>
          <w:p>
            <w:r>
              <w:rPr>
                <w:b w:val="false"/>
                <w:bCs w:val="false"/>
                <w:color w:val="1A1A1A"/>
                <w:sz w:val="19"/>
                <w:szCs w:val="19"/>
              </w:rPr>
              <w:t xml:space="preserve">Amazon S3</w:t>
            </w:r>
          </w:p>
        </w:tc>
        <w:tc>
          <w:tcPr>
            <w:tcW w:type="dxa" w:w="6750"/>
            <w:tcMar>
              <w:top w:type="dxa" w:w="80"/>
              <w:left w:type="dxa" w:w="100"/>
              <w:bottom w:type="dxa" w:w="80"/>
              <w:right w:type="dxa" w:w="100"/>
            </w:tcMar>
          </w:tcPr>
          <w:p>
            <w:r>
              <w:rPr>
                <w:b w:val="false"/>
                <w:bCs w:val="false"/>
                <w:color w:val="1A1A1A"/>
                <w:sz w:val="19"/>
                <w:szCs w:val="19"/>
              </w:rPr>
              <w:t xml:space="preserve">Images, videos, documents, voice messages, profile pictures, status media — accessed via signed URLs, never public.</w:t>
            </w:r>
          </w:p>
        </w:tc>
      </w:tr>
      <w:tr>
        <w:tc>
          <w:tcPr>
            <w:tcW w:type="dxa" w:w="2600"/>
            <w:shd w:fill="EAF1FA" w:val="clear"/>
            <w:tcMar>
              <w:top w:type="dxa" w:w="80"/>
              <w:left w:type="dxa" w:w="100"/>
              <w:bottom w:type="dxa" w:w="80"/>
              <w:right w:type="dxa" w:w="100"/>
            </w:tcMar>
          </w:tcPr>
          <w:p>
            <w:r>
              <w:rPr>
                <w:b w:val="false"/>
                <w:bCs w:val="false"/>
                <w:color w:val="1A1A1A"/>
                <w:sz w:val="19"/>
                <w:szCs w:val="19"/>
              </w:rPr>
              <w:t xml:space="preserve">Kafka</w:t>
            </w:r>
          </w:p>
        </w:tc>
        <w:tc>
          <w:tcPr>
            <w:tcW w:type="dxa" w:w="6750"/>
            <w:shd w:fill="EAF1FA" w:val="clear"/>
            <w:tcMar>
              <w:top w:type="dxa" w:w="80"/>
              <w:left w:type="dxa" w:w="100"/>
              <w:bottom w:type="dxa" w:w="80"/>
              <w:right w:type="dxa" w:w="100"/>
            </w:tcMar>
          </w:tcPr>
          <w:p>
            <w:r>
              <w:rPr>
                <w:b w:val="false"/>
                <w:bCs w:val="false"/>
                <w:color w:val="1A1A1A"/>
                <w:sz w:val="19"/>
                <w:szCs w:val="19"/>
              </w:rPr>
              <w:t xml:space="preserve">Durable event log for message delivery guarantees, call lifecycle events (including low-battery terminations), and analytics ingestion.</w:t>
            </w:r>
          </w:p>
        </w:tc>
      </w:tr>
    </w:tbl>
    <w:p>
      <w:pPr>
        <w:pStyle w:val="Heading3"/>
        <w:spacing w:after="100" w:before="220"/>
      </w:pPr>
      <w:r>
        <w:rPr>
          <w:b/>
          <w:bCs/>
          <w:color w:val="2E75B6"/>
          <w:sz w:val="21"/>
          <w:szCs w:val="21"/>
        </w:rPr>
        <w:t xml:space="preserve">8.2 Core Entities (indicative)</w:t>
      </w:r>
    </w:p>
    <w:p>
      <w:pPr>
        <w:pBdr>
          <w:top w:val="single" w:color="CCCCCC" w:sz="4" w:space="4"/>
          <w:bottom w:val="single" w:color="CCCCCC" w:sz="4" w:space="4"/>
          <w:left w:val="single" w:color="CCCCCC" w:sz="4" w:space="4"/>
          <w:right w:val="single" w:color="CCCCCC" w:sz="4" w:space="4"/>
        </w:pBdr>
        <w:shd w:fill="F2F2F2" w:val="clear"/>
        <w:spacing w:after="200"/>
      </w:pPr>
      <w:r>
        <w:rPr>
          <w:rFonts w:ascii="Consolas" w:cs="Consolas" w:eastAsia="Consolas" w:hAnsi="Consolas"/>
          <w:color w:val="333333"/>
          <w:sz w:val="18"/>
          <w:szCs w:val="18"/>
        </w:rPr>
        <w:t xml:space="preserve">users(id, phone, email, username, password_hash, created_at, ...)</w:t>
      </w:r>
      <w:r>
        <w:rPr>
          <w:rFonts w:ascii="Consolas" w:cs="Consolas" w:eastAsia="Consolas" w:hAnsi="Consolas"/>
          <w:color w:val="333333"/>
          <w:sz w:val="18"/>
          <w:szCs w:val="18"/>
        </w:rPr>
        <w:br/>
        <w:t xml:space="preserve">contacts(user_id, contact_user_id, status, blocked)</w:t>
      </w:r>
      <w:r>
        <w:rPr>
          <w:rFonts w:ascii="Consolas" w:cs="Consolas" w:eastAsia="Consolas" w:hAnsi="Consolas"/>
          <w:color w:val="333333"/>
          <w:sz w:val="18"/>
          <w:szCs w:val="18"/>
        </w:rPr>
        <w:br/>
        <w:t xml:space="preserve">conversations(id, type[1:1|group], created_at)</w:t>
      </w:r>
      <w:r>
        <w:rPr>
          <w:rFonts w:ascii="Consolas" w:cs="Consolas" w:eastAsia="Consolas" w:hAnsi="Consolas"/>
          <w:color w:val="333333"/>
          <w:sz w:val="18"/>
          <w:szCs w:val="18"/>
        </w:rPr>
        <w:br/>
        <w:t xml:space="preserve">messages(id, conversation_id, sender_id, type, content_ref, status, sent_at)</w:t>
      </w:r>
      <w:r>
        <w:rPr>
          <w:rFonts w:ascii="Consolas" w:cs="Consolas" w:eastAsia="Consolas" w:hAnsi="Consolas"/>
          <w:color w:val="333333"/>
          <w:sz w:val="18"/>
          <w:szCs w:val="18"/>
        </w:rPr>
        <w:br/>
        <w:t xml:space="preserve">calls(id, conversation_id, type[voice|video], started_at, ended_at, end_reason)</w:t>
      </w:r>
      <w:r>
        <w:rPr>
          <w:rFonts w:ascii="Consolas" w:cs="Consolas" w:eastAsia="Consolas" w:hAnsi="Consolas"/>
          <w:color w:val="333333"/>
          <w:sz w:val="18"/>
          <w:szCs w:val="18"/>
        </w:rPr>
        <w:br/>
        <w:t xml:space="preserve">battery_events(id, call_id, battery_level, event_type[warning|critical], occurred_at)</w:t>
      </w:r>
      <w:r>
        <w:rPr>
          <w:rFonts w:ascii="Consolas" w:cs="Consolas" w:eastAsia="Consolas" w:hAnsi="Consolas"/>
          <w:color w:val="333333"/>
          <w:sz w:val="18"/>
          <w:szCs w:val="18"/>
        </w:rPr>
        <w:br/>
        <w:t xml:space="preserve">groups(id, name, icon_ref, created_by), group_members(group_id, user_id, role)</w:t>
      </w:r>
      <w:r>
        <w:rPr>
          <w:rFonts w:ascii="Consolas" w:cs="Consolas" w:eastAsia="Consolas" w:hAnsi="Consolas"/>
          <w:color w:val="333333"/>
          <w:sz w:val="18"/>
          <w:szCs w:val="18"/>
        </w:rPr>
        <w:br/>
        <w:t xml:space="preserve">status_posts(id, user_id, content_ref, expires_at), status_views(status_id, viewer_id)</w:t>
      </w:r>
    </w:p>
    <w:p>
      <w:pPr>
        <w:spacing w:after="160" w:line="300"/>
      </w:pPr>
      <w:r>
        <w:rPr>
          <w:color w:val="1A1A1A"/>
          <w:sz w:val="21"/>
          <w:szCs w:val="21"/>
        </w:rPr>
        <w:t xml:space="preserve">battery_events is the table that makes the core USP measurable: every warning shown and every automatic termination is logged with the exact battery percentage and call context, feeding the analytics needed to validate the feature (Section 66 of the PRD's success criteria).</w:t>
      </w:r>
    </w:p>
    <w:p>
      <w:pPr>
        <w:pStyle w:val="Heading1"/>
        <w:pBdr>
          <w:bottom w:val="single" w:color="2E75B6" w:sz="8" w:space="4"/>
        </w:pBdr>
        <w:spacing w:after="200" w:before="480"/>
      </w:pPr>
      <w:r>
        <w:rPr>
          <w:b/>
          <w:bCs/>
          <w:color w:val="1F3864"/>
          <w:sz w:val="30"/>
          <w:szCs w:val="30"/>
        </w:rPr>
        <w:t xml:space="preserve">9. Security Architecture</w:t>
      </w:r>
    </w:p>
    <w:p>
      <w:pPr>
        <w:pStyle w:val="ListParagraph"/>
        <w:numPr>
          <w:ilvl w:val="0"/>
          <w:numId w:val="2"/>
        </w:numPr>
        <w:spacing w:after="60"/>
      </w:pPr>
      <w:r>
        <w:rPr>
          <w:color w:val="1A1A1A"/>
          <w:sz w:val="21"/>
          <w:szCs w:val="21"/>
        </w:rPr>
        <w:t xml:space="preserve">Transport: TLS 1.3 everywhere (client↔gateway, service↔service, service↔datastore).</w:t>
      </w:r>
    </w:p>
    <w:p>
      <w:pPr>
        <w:pStyle w:val="ListParagraph"/>
        <w:numPr>
          <w:ilvl w:val="0"/>
          <w:numId w:val="2"/>
        </w:numPr>
        <w:spacing w:after="60"/>
      </w:pPr>
      <w:r>
        <w:rPr>
          <w:color w:val="1A1A1A"/>
          <w:sz w:val="21"/>
          <w:szCs w:val="21"/>
        </w:rPr>
        <w:t xml:space="preserve">AuthN: OTP + password with JWT access/refresh tokens; refresh tokens rotated and stored hashed.</w:t>
      </w:r>
    </w:p>
    <w:p>
      <w:pPr>
        <w:pStyle w:val="ListParagraph"/>
        <w:numPr>
          <w:ilvl w:val="0"/>
          <w:numId w:val="2"/>
        </w:numPr>
        <w:spacing w:after="60"/>
      </w:pPr>
      <w:r>
        <w:rPr>
          <w:color w:val="1A1A1A"/>
          <w:sz w:val="21"/>
          <w:szCs w:val="21"/>
        </w:rPr>
        <w:t xml:space="preserve">AuthZ: per-service scope checks at the gateway plus method-level checks in each service.</w:t>
      </w:r>
    </w:p>
    <w:p>
      <w:pPr>
        <w:pStyle w:val="ListParagraph"/>
        <w:numPr>
          <w:ilvl w:val="0"/>
          <w:numId w:val="2"/>
        </w:numPr>
        <w:spacing w:after="60"/>
      </w:pPr>
      <w:r>
        <w:rPr>
          <w:color w:val="1A1A1A"/>
          <w:sz w:val="21"/>
          <w:szCs w:val="21"/>
        </w:rPr>
        <w:t xml:space="preserve">Encryption at rest: PostgreSQL volume encryption, S3 server-side encryption (SSE-KMS).</w:t>
      </w:r>
    </w:p>
    <w:p>
      <w:pPr>
        <w:pStyle w:val="ListParagraph"/>
        <w:numPr>
          <w:ilvl w:val="0"/>
          <w:numId w:val="2"/>
        </w:numPr>
        <w:spacing w:after="60"/>
      </w:pPr>
      <w:r>
        <w:rPr>
          <w:color w:val="1A1A1A"/>
          <w:sz w:val="21"/>
          <w:szCs w:val="21"/>
        </w:rPr>
        <w:t xml:space="preserve">End-to-end encryption: 1:1 chat payloads encrypted client-side using a well-reviewed protocol (Signal-style Double Ratchet) so the Chat Service only ever stores ciphertext.</w:t>
      </w:r>
    </w:p>
    <w:p>
      <w:pPr>
        <w:pStyle w:val="ListParagraph"/>
        <w:numPr>
          <w:ilvl w:val="0"/>
          <w:numId w:val="2"/>
        </w:numPr>
        <w:spacing w:after="60"/>
      </w:pPr>
      <w:r>
        <w:rPr>
          <w:color w:val="1A1A1A"/>
          <w:sz w:val="21"/>
          <w:szCs w:val="21"/>
        </w:rPr>
        <w:t xml:space="preserve">Abuse prevention: rate limiting at the gateway (Redis token bucket), report/block pipeline into Admin Service, automated content flags for media uploads.</w:t>
      </w:r>
    </w:p>
    <w:p>
      <w:pPr>
        <w:pStyle w:val="ListParagraph"/>
        <w:numPr>
          <w:ilvl w:val="0"/>
          <w:numId w:val="2"/>
        </w:numPr>
        <w:spacing w:after="60"/>
      </w:pPr>
      <w:r>
        <w:rPr>
          <w:color w:val="1A1A1A"/>
          <w:sz w:val="21"/>
          <w:szCs w:val="21"/>
        </w:rPr>
        <w:t xml:space="preserve">Session &amp; device management: multi-device login with per-device session revocation.</w:t>
      </w:r>
    </w:p>
    <w:p>
      <w:pPr>
        <w:pStyle w:val="Heading1"/>
        <w:pBdr>
          <w:bottom w:val="single" w:color="2E75B6" w:sz="8" w:space="4"/>
        </w:pBdr>
        <w:spacing w:after="200" w:before="480"/>
      </w:pPr>
      <w:r>
        <w:rPr>
          <w:b/>
          <w:bCs/>
          <w:color w:val="1F3864"/>
          <w:sz w:val="30"/>
          <w:szCs w:val="30"/>
        </w:rPr>
        <w:t xml:space="preserve">10. Infrastructure &amp; Deployment Architecture</w:t>
      </w:r>
    </w:p>
    <w:p>
      <w:pPr>
        <w:pBdr>
          <w:top w:val="single" w:color="CCCCCC" w:sz="4" w:space="4"/>
          <w:bottom w:val="single" w:color="CCCCCC" w:sz="4" w:space="4"/>
          <w:left w:val="single" w:color="CCCCCC" w:sz="4" w:space="4"/>
          <w:right w:val="single" w:color="CCCCCC" w:sz="4" w:space="4"/>
        </w:pBdr>
        <w:shd w:fill="F2F2F2" w:val="clear"/>
        <w:spacing w:after="200"/>
      </w:pPr>
      <w:r>
        <w:rPr>
          <w:rFonts w:ascii="Consolas" w:cs="Consolas" w:eastAsia="Consolas" w:hAnsi="Consolas"/>
          <w:color w:val="333333"/>
          <w:sz w:val="18"/>
          <w:szCs w:val="18"/>
        </w:rPr>
        <w:t xml:space="preserve">                         ┌───────────────────────────┐</w:t>
      </w:r>
      <w:r>
        <w:rPr>
          <w:rFonts w:ascii="Consolas" w:cs="Consolas" w:eastAsia="Consolas" w:hAnsi="Consolas"/>
          <w:color w:val="333333"/>
          <w:sz w:val="18"/>
          <w:szCs w:val="18"/>
        </w:rPr>
        <w:br/>
        <w:t xml:space="preserve">                         │        Cloudflare (DNS/WAF) │</w:t>
      </w:r>
      <w:r>
        <w:rPr>
          <w:rFonts w:ascii="Consolas" w:cs="Consolas" w:eastAsia="Consolas" w:hAnsi="Consolas"/>
          <w:color w:val="333333"/>
          <w:sz w:val="18"/>
          <w:szCs w:val="18"/>
        </w:rPr>
        <w:br/>
        <w:t xml:space="preserve">                         └──────────────┬──────────────┘</w:t>
      </w:r>
      <w:r>
        <w:rPr>
          <w:rFonts w:ascii="Consolas" w:cs="Consolas" w:eastAsia="Consolas" w:hAnsi="Consolas"/>
          <w:color w:val="333333"/>
          <w:sz w:val="18"/>
          <w:szCs w:val="18"/>
        </w:rPr>
        <w:br/>
        <w:t xml:space="preserve">                                        ▼</w:t>
      </w:r>
      <w:r>
        <w:rPr>
          <w:rFonts w:ascii="Consolas" w:cs="Consolas" w:eastAsia="Consolas" w:hAnsi="Consolas"/>
          <w:color w:val="333333"/>
          <w:sz w:val="18"/>
          <w:szCs w:val="18"/>
        </w:rPr>
        <w:br/>
        <w:t xml:space="preserve">                         ┌───────────────────────────┐</w:t>
      </w:r>
      <w:r>
        <w:rPr>
          <w:rFonts w:ascii="Consolas" w:cs="Consolas" w:eastAsia="Consolas" w:hAnsi="Consolas"/>
          <w:color w:val="333333"/>
          <w:sz w:val="18"/>
          <w:szCs w:val="18"/>
        </w:rPr>
        <w:br/>
        <w:t xml:space="preserve">                         │        CloudFront (CDN)     │</w:t>
      </w:r>
      <w:r>
        <w:rPr>
          <w:rFonts w:ascii="Consolas" w:cs="Consolas" w:eastAsia="Consolas" w:hAnsi="Consolas"/>
          <w:color w:val="333333"/>
          <w:sz w:val="18"/>
          <w:szCs w:val="18"/>
        </w:rPr>
        <w:br/>
        <w:t xml:space="preserve">                         └──────────────┬──────────────┘</w:t>
      </w:r>
      <w:r>
        <w:rPr>
          <w:rFonts w:ascii="Consolas" w:cs="Consolas" w:eastAsia="Consolas" w:hAnsi="Consolas"/>
          <w:color w:val="333333"/>
          <w:sz w:val="18"/>
          <w:szCs w:val="18"/>
        </w:rPr>
        <w:br/>
        <w:t xml:space="preserve">                                        ▼</w:t>
      </w:r>
      <w:r>
        <w:rPr>
          <w:rFonts w:ascii="Consolas" w:cs="Consolas" w:eastAsia="Consolas" w:hAnsi="Consolas"/>
          <w:color w:val="333333"/>
          <w:sz w:val="18"/>
          <w:szCs w:val="18"/>
        </w:rPr>
        <w:br/>
        <w:t xml:space="preserve">                    ┌────────────────────────────────────┐</w:t>
      </w:r>
      <w:r>
        <w:rPr>
          <w:rFonts w:ascii="Consolas" w:cs="Consolas" w:eastAsia="Consolas" w:hAnsi="Consolas"/>
          <w:color w:val="333333"/>
          <w:sz w:val="18"/>
          <w:szCs w:val="18"/>
        </w:rPr>
        <w:br/>
        <w:t xml:space="preserve">                    │   AWS ECS/EKS — containerised svcs   │</w:t>
      </w:r>
      <w:r>
        <w:rPr>
          <w:rFonts w:ascii="Consolas" w:cs="Consolas" w:eastAsia="Consolas" w:hAnsi="Consolas"/>
          <w:color w:val="333333"/>
          <w:sz w:val="18"/>
          <w:szCs w:val="18"/>
        </w:rPr>
        <w:br/>
        <w:t xml:space="preserve">                    │   (Docker images per microservice)  │</w:t>
      </w:r>
      <w:r>
        <w:rPr>
          <w:rFonts w:ascii="Consolas" w:cs="Consolas" w:eastAsia="Consolas" w:hAnsi="Consolas"/>
          <w:color w:val="333333"/>
          <w:sz w:val="18"/>
          <w:szCs w:val="18"/>
        </w:rPr>
        <w:br/>
        <w:t xml:space="preserve">                    └───────┬──────────────────┬─────────┘</w:t>
      </w:r>
      <w:r>
        <w:rPr>
          <w:rFonts w:ascii="Consolas" w:cs="Consolas" w:eastAsia="Consolas" w:hAnsi="Consolas"/>
          <w:color w:val="333333"/>
          <w:sz w:val="18"/>
          <w:szCs w:val="18"/>
        </w:rPr>
        <w:br/>
        <w:t xml:space="preserve">                            ▼                  ▼</w:t>
      </w:r>
      <w:r>
        <w:rPr>
          <w:rFonts w:ascii="Consolas" w:cs="Consolas" w:eastAsia="Consolas" w:hAnsi="Consolas"/>
          <w:color w:val="333333"/>
          <w:sz w:val="18"/>
          <w:szCs w:val="18"/>
        </w:rPr>
        <w:br/>
        <w:t xml:space="preserve">                    RDS (PostgreSQL)     ElastiCache (Redis)</w:t>
      </w:r>
      <w:r>
        <w:rPr>
          <w:rFonts w:ascii="Consolas" w:cs="Consolas" w:eastAsia="Consolas" w:hAnsi="Consolas"/>
          <w:color w:val="333333"/>
          <w:sz w:val="18"/>
          <w:szCs w:val="18"/>
        </w:rPr>
        <w:br/>
        <w:t xml:space="preserve">                            │</w:t>
      </w:r>
      <w:r>
        <w:rPr>
          <w:rFonts w:ascii="Consolas" w:cs="Consolas" w:eastAsia="Consolas" w:hAnsi="Consolas"/>
          <w:color w:val="333333"/>
          <w:sz w:val="18"/>
          <w:szCs w:val="18"/>
        </w:rPr>
        <w:br/>
        <w:t xml:space="preserve">                            ▼</w:t>
      </w:r>
      <w:r>
        <w:rPr>
          <w:rFonts w:ascii="Consolas" w:cs="Consolas" w:eastAsia="Consolas" w:hAnsi="Consolas"/>
          <w:color w:val="333333"/>
          <w:sz w:val="18"/>
          <w:szCs w:val="18"/>
        </w:rPr>
        <w:br/>
        <w:t xml:space="preserve">                          S3 buckets (media, docs, backups)</w:t>
      </w:r>
      <w:r>
        <w:rPr>
          <w:rFonts w:ascii="Consolas" w:cs="Consolas" w:eastAsia="Consolas" w:hAnsi="Consolas"/>
          <w:color w:val="333333"/>
          <w:sz w:val="18"/>
          <w:szCs w:val="18"/>
        </w:rPr>
        <w:br/>
        <w:t xml:space="preserve">                            │</w:t>
      </w:r>
      <w:r>
        <w:rPr>
          <w:rFonts w:ascii="Consolas" w:cs="Consolas" w:eastAsia="Consolas" w:hAnsi="Consolas"/>
          <w:color w:val="333333"/>
          <w:sz w:val="18"/>
          <w:szCs w:val="18"/>
        </w:rPr>
        <w:br/>
        <w:t xml:space="preserve">                    CloudWatch + Grafana/Prometheus (observability)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80"/>
              <w:left w:type="dxa" w:w="100"/>
              <w:bottom w:type="dxa" w:w="80"/>
              <w:right w:type="dxa" w:w="100"/>
            </w:tcMar>
          </w:tcPr>
          <w:p>
            <w:r>
              <w:rPr>
                <w:b/>
                <w:bCs/>
                <w:color w:val="FFFFFF"/>
                <w:sz w:val="19"/>
                <w:szCs w:val="19"/>
              </w:rPr>
              <w:t xml:space="preserve">Layer</w:t>
            </w:r>
          </w:p>
        </w:tc>
        <w:tc>
          <w:tcPr>
            <w:tcW w:type="dxa" w:w="6750"/>
            <w:shd w:fill="1F3864" w:val="clear"/>
            <w:tcMar>
              <w:top w:type="dxa" w:w="80"/>
              <w:left w:type="dxa" w:w="100"/>
              <w:bottom w:type="dxa" w:w="80"/>
              <w:right w:type="dxa" w:w="100"/>
            </w:tcMar>
          </w:tcPr>
          <w:p>
            <w:r>
              <w:rPr>
                <w:b/>
                <w:bCs/>
                <w:color w:val="FFFFFF"/>
                <w:sz w:val="19"/>
                <w:szCs w:val="19"/>
              </w:rPr>
              <w:t xml:space="preserve">Technology</w:t>
            </w:r>
          </w:p>
        </w:tc>
      </w:tr>
      <w:tr>
        <w:tc>
          <w:tcPr>
            <w:tcW w:type="dxa" w:w="2600"/>
            <w:tcMar>
              <w:top w:type="dxa" w:w="80"/>
              <w:left w:type="dxa" w:w="100"/>
              <w:bottom w:type="dxa" w:w="80"/>
              <w:right w:type="dxa" w:w="100"/>
            </w:tcMar>
          </w:tcPr>
          <w:p>
            <w:r>
              <w:rPr>
                <w:b w:val="false"/>
                <w:bCs w:val="false"/>
                <w:color w:val="1A1A1A"/>
                <w:sz w:val="19"/>
                <w:szCs w:val="19"/>
              </w:rPr>
              <w:t xml:space="preserve">Containerisation</w:t>
            </w:r>
          </w:p>
        </w:tc>
        <w:tc>
          <w:tcPr>
            <w:tcW w:type="dxa" w:w="6750"/>
            <w:tcMar>
              <w:top w:type="dxa" w:w="80"/>
              <w:left w:type="dxa" w:w="100"/>
              <w:bottom w:type="dxa" w:w="80"/>
              <w:right w:type="dxa" w:w="100"/>
            </w:tcMar>
          </w:tcPr>
          <w:p>
            <w:r>
              <w:rPr>
                <w:b w:val="false"/>
                <w:bCs w:val="false"/>
                <w:color w:val="1A1A1A"/>
                <w:sz w:val="19"/>
                <w:szCs w:val="19"/>
              </w:rPr>
              <w:t xml:space="preserve">Docker; one image per microservice, multi-stage builds</w:t>
            </w:r>
          </w:p>
        </w:tc>
      </w:tr>
      <w:tr>
        <w:tc>
          <w:tcPr>
            <w:tcW w:type="dxa" w:w="2600"/>
            <w:shd w:fill="EAF1FA" w:val="clear"/>
            <w:tcMar>
              <w:top w:type="dxa" w:w="80"/>
              <w:left w:type="dxa" w:w="100"/>
              <w:bottom w:type="dxa" w:w="80"/>
              <w:right w:type="dxa" w:w="100"/>
            </w:tcMar>
          </w:tcPr>
          <w:p>
            <w:r>
              <w:rPr>
                <w:b w:val="false"/>
                <w:bCs w:val="false"/>
                <w:color w:val="1A1A1A"/>
                <w:sz w:val="19"/>
                <w:szCs w:val="19"/>
              </w:rPr>
              <w:t xml:space="preserve">Orchestration</w:t>
            </w:r>
          </w:p>
        </w:tc>
        <w:tc>
          <w:tcPr>
            <w:tcW w:type="dxa" w:w="6750"/>
            <w:shd w:fill="EAF1FA" w:val="clear"/>
            <w:tcMar>
              <w:top w:type="dxa" w:w="80"/>
              <w:left w:type="dxa" w:w="100"/>
              <w:bottom w:type="dxa" w:w="80"/>
              <w:right w:type="dxa" w:w="100"/>
            </w:tcMar>
          </w:tcPr>
          <w:p>
            <w:r>
              <w:rPr>
                <w:b w:val="false"/>
                <w:bCs w:val="false"/>
                <w:color w:val="1A1A1A"/>
                <w:sz w:val="19"/>
                <w:szCs w:val="19"/>
              </w:rPr>
              <w:t xml:space="preserve">Amazon ECS (MVP) → EKS (Kubernetes) at scale</w:t>
            </w:r>
          </w:p>
        </w:tc>
      </w:tr>
      <w:tr>
        <w:tc>
          <w:tcPr>
            <w:tcW w:type="dxa" w:w="2600"/>
            <w:tcMar>
              <w:top w:type="dxa" w:w="80"/>
              <w:left w:type="dxa" w:w="100"/>
              <w:bottom w:type="dxa" w:w="80"/>
              <w:right w:type="dxa" w:w="100"/>
            </w:tcMar>
          </w:tcPr>
          <w:p>
            <w:r>
              <w:rPr>
                <w:b w:val="false"/>
                <w:bCs w:val="false"/>
                <w:color w:val="1A1A1A"/>
                <w:sz w:val="19"/>
                <w:szCs w:val="19"/>
              </w:rPr>
              <w:t xml:space="preserve">CI/CD</w:t>
            </w:r>
          </w:p>
        </w:tc>
        <w:tc>
          <w:tcPr>
            <w:tcW w:type="dxa" w:w="6750"/>
            <w:tcMar>
              <w:top w:type="dxa" w:w="80"/>
              <w:left w:type="dxa" w:w="100"/>
              <w:bottom w:type="dxa" w:w="80"/>
              <w:right w:type="dxa" w:w="100"/>
            </w:tcMar>
          </w:tcPr>
          <w:p>
            <w:r>
              <w:rPr>
                <w:b w:val="false"/>
                <w:bCs w:val="false"/>
                <w:color w:val="1A1A1A"/>
                <w:sz w:val="19"/>
                <w:szCs w:val="19"/>
              </w:rPr>
              <w:t xml:space="preserve">GitHub Actions — build, test, scan, push image, deploy</w:t>
            </w:r>
          </w:p>
        </w:tc>
      </w:tr>
      <w:tr>
        <w:tc>
          <w:tcPr>
            <w:tcW w:type="dxa" w:w="2600"/>
            <w:shd w:fill="EAF1FA" w:val="clear"/>
            <w:tcMar>
              <w:top w:type="dxa" w:w="80"/>
              <w:left w:type="dxa" w:w="100"/>
              <w:bottom w:type="dxa" w:w="80"/>
              <w:right w:type="dxa" w:w="100"/>
            </w:tcMar>
          </w:tcPr>
          <w:p>
            <w:r>
              <w:rPr>
                <w:b w:val="false"/>
                <w:bCs w:val="false"/>
                <w:color w:val="1A1A1A"/>
                <w:sz w:val="19"/>
                <w:szCs w:val="19"/>
              </w:rPr>
              <w:t xml:space="preserve">IaC</w:t>
            </w:r>
          </w:p>
        </w:tc>
        <w:tc>
          <w:tcPr>
            <w:tcW w:type="dxa" w:w="6750"/>
            <w:shd w:fill="EAF1FA" w:val="clear"/>
            <w:tcMar>
              <w:top w:type="dxa" w:w="80"/>
              <w:left w:type="dxa" w:w="100"/>
              <w:bottom w:type="dxa" w:w="80"/>
              <w:right w:type="dxa" w:w="100"/>
            </w:tcMar>
          </w:tcPr>
          <w:p>
            <w:r>
              <w:rPr>
                <w:b w:val="false"/>
                <w:bCs w:val="false"/>
                <w:color w:val="1A1A1A"/>
                <w:sz w:val="19"/>
                <w:szCs w:val="19"/>
              </w:rPr>
              <w:t xml:space="preserve">Terraform for VPC, RDS, ECS/EKS, S3, IAM</w:t>
            </w:r>
          </w:p>
        </w:tc>
      </w:tr>
      <w:tr>
        <w:tc>
          <w:tcPr>
            <w:tcW w:type="dxa" w:w="2600"/>
            <w:tcMar>
              <w:top w:type="dxa" w:w="80"/>
              <w:left w:type="dxa" w:w="100"/>
              <w:bottom w:type="dxa" w:w="80"/>
              <w:right w:type="dxa" w:w="100"/>
            </w:tcMar>
          </w:tcPr>
          <w:p>
            <w:r>
              <w:rPr>
                <w:b w:val="false"/>
                <w:bCs w:val="false"/>
                <w:color w:val="1A1A1A"/>
                <w:sz w:val="19"/>
                <w:szCs w:val="19"/>
              </w:rPr>
              <w:t xml:space="preserve">Observability</w:t>
            </w:r>
          </w:p>
        </w:tc>
        <w:tc>
          <w:tcPr>
            <w:tcW w:type="dxa" w:w="6750"/>
            <w:tcMar>
              <w:top w:type="dxa" w:w="80"/>
              <w:left w:type="dxa" w:w="100"/>
              <w:bottom w:type="dxa" w:w="80"/>
              <w:right w:type="dxa" w:w="100"/>
            </w:tcMar>
          </w:tcPr>
          <w:p>
            <w:r>
              <w:rPr>
                <w:b w:val="false"/>
                <w:bCs w:val="false"/>
                <w:color w:val="1A1A1A"/>
                <w:sz w:val="19"/>
                <w:szCs w:val="19"/>
              </w:rPr>
              <w:t xml:space="preserve">CloudWatch (logs/metrics), Prometheus + Grafana (dashboards), Sentry/Crashlytics (mobile crash reporting)</w:t>
            </w:r>
          </w:p>
        </w:tc>
      </w:tr>
    </w:tbl>
    <w:p>
      <w:pPr>
        <w:pStyle w:val="Heading1"/>
        <w:pBdr>
          <w:bottom w:val="single" w:color="2E75B6" w:sz="8" w:space="4"/>
        </w:pBdr>
        <w:spacing w:after="200" w:before="480"/>
      </w:pPr>
      <w:r>
        <w:rPr>
          <w:b/>
          <w:bCs/>
          <w:color w:val="1F3864"/>
          <w:sz w:val="30"/>
          <w:szCs w:val="30"/>
        </w:rPr>
        <w:t xml:space="preserve">11. Building This Architecture Using Google Antigravity</w:t>
      </w:r>
    </w:p>
    <w:p>
      <w:pPr>
        <w:spacing w:after="160" w:line="300"/>
      </w:pPr>
      <w:r>
        <w:rPr>
          <w:color w:val="1A1A1A"/>
          <w:sz w:val="21"/>
          <w:szCs w:val="21"/>
        </w:rPr>
        <w:t xml:space="preserve">Google Antigravity is Google's agent-first development platform (a heavily modified VS Code fork) in which AI agents — running on Gemini 3 Pro, Claude Sonnet, or GPT-OSS — plan, write, test, and verify code directly against the Editor, a Terminal, and a Browser, producing reviewable Artifacts (task lists, plans, screenshots, browser recordings) instead of opaque diffs. This section maps the architecture above onto an Antigravity build plan.</w:t>
      </w:r>
    </w:p>
    <w:p>
      <w:pPr>
        <w:pStyle w:val="Heading2"/>
        <w:spacing w:after="140" w:before="320"/>
      </w:pPr>
      <w:r>
        <w:rPr>
          <w:b/>
          <w:bCs/>
          <w:color w:val="1F3864"/>
          <w:sz w:val="24"/>
          <w:szCs w:val="24"/>
        </w:rPr>
        <w:t xml:space="preserve">11.1 Antigravity Workspace Layout</w:t>
      </w:r>
    </w:p>
    <w:p>
      <w:pPr>
        <w:spacing w:after="160" w:line="300"/>
      </w:pPr>
      <w:r>
        <w:rPr>
          <w:color w:val="1A1A1A"/>
          <w:sz w:val="21"/>
          <w:szCs w:val="21"/>
        </w:rPr>
        <w:t xml:space="preserve">Open a single Antigravity workspace at the repository root so the Agent Manager can see all services and the mobile client together, and cross-reference contracts (e.g., Call Service API ↔ Android CallRepositoryImpl).</w:t>
      </w:r>
    </w:p>
    <w:p>
      <w:pPr>
        <w:pBdr>
          <w:top w:val="single" w:color="CCCCCC" w:sz="4" w:space="4"/>
          <w:bottom w:val="single" w:color="CCCCCC" w:sz="4" w:space="4"/>
          <w:left w:val="single" w:color="CCCCCC" w:sz="4" w:space="4"/>
          <w:right w:val="single" w:color="CCCCCC" w:sz="4" w:space="4"/>
        </w:pBdr>
        <w:shd w:fill="F2F2F2" w:val="clear"/>
        <w:spacing w:after="200"/>
      </w:pPr>
      <w:r>
        <w:rPr>
          <w:rFonts w:ascii="Consolas" w:cs="Consolas" w:eastAsia="Consolas" w:hAnsi="Consolas"/>
          <w:color w:val="333333"/>
          <w:sz w:val="18"/>
          <w:szCs w:val="18"/>
        </w:rPr>
        <w:t xml:space="preserve">battery-aware-app/                     ← Antigravity workspace root</w:t>
      </w:r>
      <w:r>
        <w:rPr>
          <w:rFonts w:ascii="Consolas" w:cs="Consolas" w:eastAsia="Consolas" w:hAnsi="Consolas"/>
          <w:color w:val="333333"/>
          <w:sz w:val="18"/>
          <w:szCs w:val="18"/>
        </w:rPr>
        <w:br/>
        <w:t xml:space="preserve">├── .antigravity/</w:t>
      </w:r>
      <w:r>
        <w:rPr>
          <w:rFonts w:ascii="Consolas" w:cs="Consolas" w:eastAsia="Consolas" w:hAnsi="Consolas"/>
          <w:color w:val="333333"/>
          <w:sz w:val="18"/>
          <w:szCs w:val="18"/>
        </w:rPr>
        <w:br/>
        <w:t xml:space="preserve">│   ├── knowledge/                     ← agent-persisted context &amp; code snippets</w:t>
      </w:r>
      <w:r>
        <w:rPr>
          <w:rFonts w:ascii="Consolas" w:cs="Consolas" w:eastAsia="Consolas" w:hAnsi="Consolas"/>
          <w:color w:val="333333"/>
          <w:sz w:val="18"/>
          <w:szCs w:val="18"/>
        </w:rPr>
        <w:br/>
        <w:t xml:space="preserve">│   └── skills/                        ← reusable SKILL.md playbooks (see 11.3)</w:t>
      </w:r>
      <w:r>
        <w:rPr>
          <w:rFonts w:ascii="Consolas" w:cs="Consolas" w:eastAsia="Consolas" w:hAnsi="Consolas"/>
          <w:color w:val="333333"/>
          <w:sz w:val="18"/>
          <w:szCs w:val="18"/>
        </w:rPr>
        <w:br/>
        <w:t xml:space="preserve">├── docs/</w:t>
      </w:r>
      <w:r>
        <w:rPr>
          <w:rFonts w:ascii="Consolas" w:cs="Consolas" w:eastAsia="Consolas" w:hAnsi="Consolas"/>
          <w:color w:val="333333"/>
          <w:sz w:val="18"/>
          <w:szCs w:val="18"/>
        </w:rPr>
        <w:br/>
        <w:t xml:space="preserve">│   ├── architecture/ARCHITECTURE.md   ← this document, source of truth for agents</w:t>
      </w:r>
      <w:r>
        <w:rPr>
          <w:rFonts w:ascii="Consolas" w:cs="Consolas" w:eastAsia="Consolas" w:hAnsi="Consolas"/>
          <w:color w:val="333333"/>
          <w:sz w:val="18"/>
          <w:szCs w:val="18"/>
        </w:rPr>
        <w:br/>
        <w:t xml:space="preserve">│   ├── api/                           ← OpenAPI specs per service</w:t>
      </w:r>
      <w:r>
        <w:rPr>
          <w:rFonts w:ascii="Consolas" w:cs="Consolas" w:eastAsia="Consolas" w:hAnsi="Consolas"/>
          <w:color w:val="333333"/>
          <w:sz w:val="18"/>
          <w:szCs w:val="18"/>
        </w:rPr>
        <w:br/>
        <w:t xml:space="preserve">│   └── adr/                           ← Architecture Decision Records</w:t>
      </w:r>
      <w:r>
        <w:rPr>
          <w:rFonts w:ascii="Consolas" w:cs="Consolas" w:eastAsia="Consolas" w:hAnsi="Consolas"/>
          <w:color w:val="333333"/>
          <w:sz w:val="18"/>
          <w:szCs w:val="18"/>
        </w:rPr>
        <w:br/>
        <w:t xml:space="preserve">├── mobile/android/</w:t>
      </w:r>
      <w:r>
        <w:rPr>
          <w:rFonts w:ascii="Consolas" w:cs="Consolas" w:eastAsia="Consolas" w:hAnsi="Consolas"/>
          <w:color w:val="333333"/>
          <w:sz w:val="18"/>
          <w:szCs w:val="18"/>
        </w:rPr>
        <w:br/>
        <w:t xml:space="preserve">├── backend/</w:t>
      </w:r>
      <w:r>
        <w:rPr>
          <w:rFonts w:ascii="Consolas" w:cs="Consolas" w:eastAsia="Consolas" w:hAnsi="Consolas"/>
          <w:color w:val="333333"/>
          <w:sz w:val="18"/>
          <w:szCs w:val="18"/>
        </w:rPr>
        <w:br/>
        <w:t xml:space="preserve">│   ├── api-gateway/ · auth-service/ · user-service/ · chat-service/</w:t>
      </w:r>
      <w:r>
        <w:rPr>
          <w:rFonts w:ascii="Consolas" w:cs="Consolas" w:eastAsia="Consolas" w:hAnsi="Consolas"/>
          <w:color w:val="333333"/>
          <w:sz w:val="18"/>
          <w:szCs w:val="18"/>
        </w:rPr>
        <w:br/>
        <w:t xml:space="preserve">│   ├── media-service/ · call-service/ · notification-service/</w:t>
      </w:r>
      <w:r>
        <w:rPr>
          <w:rFonts w:ascii="Consolas" w:cs="Consolas" w:eastAsia="Consolas" w:hAnsi="Consolas"/>
          <w:color w:val="333333"/>
          <w:sz w:val="18"/>
          <w:szCs w:val="18"/>
        </w:rPr>
        <w:br/>
        <w:t xml:space="preserve">│   └── group-service/ · status-service/ · admin-service/</w:t>
      </w:r>
      <w:r>
        <w:rPr>
          <w:rFonts w:ascii="Consolas" w:cs="Consolas" w:eastAsia="Consolas" w:hAnsi="Consolas"/>
          <w:color w:val="333333"/>
          <w:sz w:val="18"/>
          <w:szCs w:val="18"/>
        </w:rPr>
        <w:br/>
        <w:t xml:space="preserve">├── infrastructure/{docker,terraform,k8s}/</w:t>
      </w:r>
      <w:r>
        <w:rPr>
          <w:rFonts w:ascii="Consolas" w:cs="Consolas" w:eastAsia="Consolas" w:hAnsi="Consolas"/>
          <w:color w:val="333333"/>
          <w:sz w:val="18"/>
          <w:szCs w:val="18"/>
        </w:rPr>
        <w:br/>
        <w:t xml:space="preserve">└── documentation/{requirements,architecture,api,testing}/</w:t>
      </w:r>
    </w:p>
    <w:p>
      <w:pPr>
        <w:spacing w:after="160" w:line="300"/>
      </w:pPr>
      <w:r>
        <w:rPr>
          <w:color w:val="1A1A1A"/>
          <w:sz w:val="21"/>
          <w:szCs w:val="21"/>
        </w:rPr>
        <w:t xml:space="preserve">Placing docs/architecture/ARCHITECTURE.md at a fixed path lets every agent task reference "the architecture doc" as a stable planning input, and lets Antigravity's knowledge base index it once and reuse it across tasks.</w:t>
      </w:r>
    </w:p>
    <w:p>
      <w:pPr>
        <w:pStyle w:val="Heading2"/>
        <w:spacing w:after="140" w:before="320"/>
      </w:pPr>
      <w:r>
        <w:rPr>
          <w:b/>
          <w:bCs/>
          <w:color w:val="1F3864"/>
          <w:sz w:val="24"/>
          <w:szCs w:val="24"/>
        </w:rPr>
        <w:t xml:space="preserve">11.2 Agent Manager: Task Decomposition</w:t>
      </w:r>
    </w:p>
    <w:p>
      <w:pPr>
        <w:spacing w:after="160" w:line="300"/>
      </w:pPr>
      <w:r>
        <w:rPr>
          <w:color w:val="1A1A1A"/>
          <w:sz w:val="21"/>
          <w:szCs w:val="21"/>
        </w:rPr>
        <w:t xml:space="preserve">Use Antigravity's Manager surface (asynchronous, multi-agent orchestration) rather than the single-threaded Editor view for this build, because the services in Section 6 are independent enough to be developed in parallel by separate agent runs. Each row below is one Manager task with its own branch/workspace.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5300"/>
        <w:gridCol w:w="2450"/>
      </w:tblGrid>
      <w:tr>
        <w:trPr>
          <w:tblHeader/>
        </w:trPr>
        <w:tc>
          <w:tcPr>
            <w:tcW w:type="dxa" w:w="1600"/>
            <w:shd w:fill="1F3864" w:val="clear"/>
            <w:tcMar>
              <w:top w:type="dxa" w:w="80"/>
              <w:left w:type="dxa" w:w="100"/>
              <w:bottom w:type="dxa" w:w="80"/>
              <w:right w:type="dxa" w:w="100"/>
            </w:tcMar>
          </w:tcPr>
          <w:p>
            <w:r>
              <w:rPr>
                <w:b/>
                <w:bCs/>
                <w:color w:val="FFFFFF"/>
                <w:sz w:val="19"/>
                <w:szCs w:val="19"/>
              </w:rPr>
              <w:t xml:space="preserve">Wave</w:t>
            </w:r>
          </w:p>
        </w:tc>
        <w:tc>
          <w:tcPr>
            <w:tcW w:type="dxa" w:w="5300"/>
            <w:shd w:fill="1F3864" w:val="clear"/>
            <w:tcMar>
              <w:top w:type="dxa" w:w="80"/>
              <w:left w:type="dxa" w:w="100"/>
              <w:bottom w:type="dxa" w:w="80"/>
              <w:right w:type="dxa" w:w="100"/>
            </w:tcMar>
          </w:tcPr>
          <w:p>
            <w:r>
              <w:rPr>
                <w:b/>
                <w:bCs/>
                <w:color w:val="FFFFFF"/>
                <w:sz w:val="19"/>
                <w:szCs w:val="19"/>
              </w:rPr>
              <w:t xml:space="preserve">Parallel Agent Tasks</w:t>
            </w:r>
          </w:p>
        </w:tc>
        <w:tc>
          <w:tcPr>
            <w:tcW w:type="dxa" w:w="2450"/>
            <w:shd w:fill="1F3864" w:val="clear"/>
            <w:tcMar>
              <w:top w:type="dxa" w:w="80"/>
              <w:left w:type="dxa" w:w="100"/>
              <w:bottom w:type="dxa" w:w="80"/>
              <w:right w:type="dxa" w:w="100"/>
            </w:tcMar>
          </w:tcPr>
          <w:p>
            <w:r>
              <w:rPr>
                <w:b/>
                <w:bCs/>
                <w:color w:val="FFFFFF"/>
                <w:sz w:val="19"/>
                <w:szCs w:val="19"/>
              </w:rPr>
              <w:t xml:space="preserve">Depends On</w:t>
            </w:r>
          </w:p>
        </w:tc>
      </w:tr>
      <w:tr>
        <w:tc>
          <w:tcPr>
            <w:tcW w:type="dxa" w:w="1600"/>
            <w:tcMar>
              <w:top w:type="dxa" w:w="80"/>
              <w:left w:type="dxa" w:w="100"/>
              <w:bottom w:type="dxa" w:w="80"/>
              <w:right w:type="dxa" w:w="100"/>
            </w:tcMar>
          </w:tcPr>
          <w:p>
            <w:r>
              <w:rPr>
                <w:b w:val="false"/>
                <w:bCs w:val="false"/>
                <w:color w:val="1A1A1A"/>
                <w:sz w:val="19"/>
                <w:szCs w:val="19"/>
              </w:rPr>
              <w:t xml:space="preserve">0 — Foundations</w:t>
            </w:r>
          </w:p>
        </w:tc>
        <w:tc>
          <w:tcPr>
            <w:tcW w:type="dxa" w:w="5300"/>
            <w:tcMar>
              <w:top w:type="dxa" w:w="80"/>
              <w:left w:type="dxa" w:w="100"/>
              <w:bottom w:type="dxa" w:w="80"/>
              <w:right w:type="dxa" w:w="100"/>
            </w:tcMar>
          </w:tcPr>
          <w:p>
            <w:r>
              <w:rPr>
                <w:b w:val="false"/>
                <w:bCs w:val="false"/>
                <w:color w:val="1A1A1A"/>
                <w:sz w:val="19"/>
                <w:szCs w:val="19"/>
              </w:rPr>
              <w:t xml:space="preserve">Repo scaffolding · Terraform base VPC/RDS/S3 · CI pipeline skeleton · shared OpenAPI contracts</w:t>
            </w:r>
          </w:p>
        </w:tc>
        <w:tc>
          <w:tcPr>
            <w:tcW w:type="dxa" w:w="2450"/>
            <w:tcMar>
              <w:top w:type="dxa" w:w="80"/>
              <w:left w:type="dxa" w:w="100"/>
              <w:bottom w:type="dxa" w:w="80"/>
              <w:right w:type="dxa" w:w="100"/>
            </w:tcMar>
          </w:tcPr>
          <w:p>
            <w:r>
              <w:rPr>
                <w:b w:val="false"/>
                <w:bCs w:val="false"/>
                <w:color w:val="1A1A1A"/>
                <w:sz w:val="19"/>
                <w:szCs w:val="19"/>
              </w:rPr>
              <w:t xml:space="preserve">—</w:t>
            </w:r>
          </w:p>
        </w:tc>
      </w:tr>
      <w:tr>
        <w:tc>
          <w:tcPr>
            <w:tcW w:type="dxa" w:w="1600"/>
            <w:shd w:fill="EAF1FA" w:val="clear"/>
            <w:tcMar>
              <w:top w:type="dxa" w:w="80"/>
              <w:left w:type="dxa" w:w="100"/>
              <w:bottom w:type="dxa" w:w="80"/>
              <w:right w:type="dxa" w:w="100"/>
            </w:tcMar>
          </w:tcPr>
          <w:p>
            <w:r>
              <w:rPr>
                <w:b w:val="false"/>
                <w:bCs w:val="false"/>
                <w:color w:val="1A1A1A"/>
                <w:sz w:val="19"/>
                <w:szCs w:val="19"/>
              </w:rPr>
              <w:t xml:space="preserve">1 — Platform services</w:t>
            </w:r>
          </w:p>
        </w:tc>
        <w:tc>
          <w:tcPr>
            <w:tcW w:type="dxa" w:w="5300"/>
            <w:shd w:fill="EAF1FA" w:val="clear"/>
            <w:tcMar>
              <w:top w:type="dxa" w:w="80"/>
              <w:left w:type="dxa" w:w="100"/>
              <w:bottom w:type="dxa" w:w="80"/>
              <w:right w:type="dxa" w:w="100"/>
            </w:tcMar>
          </w:tcPr>
          <w:p>
            <w:r>
              <w:rPr>
                <w:b w:val="false"/>
                <w:bCs w:val="false"/>
                <w:color w:val="1A1A1A"/>
                <w:sz w:val="19"/>
                <w:szCs w:val="19"/>
              </w:rPr>
              <w:t xml:space="preserve">Auth Service · User Service · API Gateway</w:t>
            </w:r>
          </w:p>
        </w:tc>
        <w:tc>
          <w:tcPr>
            <w:tcW w:type="dxa" w:w="2450"/>
            <w:shd w:fill="EAF1FA" w:val="clear"/>
            <w:tcMar>
              <w:top w:type="dxa" w:w="80"/>
              <w:left w:type="dxa" w:w="100"/>
              <w:bottom w:type="dxa" w:w="80"/>
              <w:right w:type="dxa" w:w="100"/>
            </w:tcMar>
          </w:tcPr>
          <w:p>
            <w:r>
              <w:rPr>
                <w:b w:val="false"/>
                <w:bCs w:val="false"/>
                <w:color w:val="1A1A1A"/>
                <w:sz w:val="19"/>
                <w:szCs w:val="19"/>
              </w:rPr>
              <w:t xml:space="preserve">Wave 0</w:t>
            </w:r>
          </w:p>
        </w:tc>
      </w:tr>
      <w:tr>
        <w:tc>
          <w:tcPr>
            <w:tcW w:type="dxa" w:w="1600"/>
            <w:tcMar>
              <w:top w:type="dxa" w:w="80"/>
              <w:left w:type="dxa" w:w="100"/>
              <w:bottom w:type="dxa" w:w="80"/>
              <w:right w:type="dxa" w:w="100"/>
            </w:tcMar>
          </w:tcPr>
          <w:p>
            <w:r>
              <w:rPr>
                <w:b w:val="false"/>
                <w:bCs w:val="false"/>
                <w:color w:val="1A1A1A"/>
                <w:sz w:val="19"/>
                <w:szCs w:val="19"/>
              </w:rPr>
              <w:t xml:space="preserve">2 — Communication core</w:t>
            </w:r>
          </w:p>
        </w:tc>
        <w:tc>
          <w:tcPr>
            <w:tcW w:type="dxa" w:w="5300"/>
            <w:tcMar>
              <w:top w:type="dxa" w:w="80"/>
              <w:left w:type="dxa" w:w="100"/>
              <w:bottom w:type="dxa" w:w="80"/>
              <w:right w:type="dxa" w:w="100"/>
            </w:tcMar>
          </w:tcPr>
          <w:p>
            <w:r>
              <w:rPr>
                <w:b w:val="false"/>
                <w:bCs w:val="false"/>
                <w:color w:val="1A1A1A"/>
                <w:sz w:val="19"/>
                <w:szCs w:val="19"/>
              </w:rPr>
              <w:t xml:space="preserve">Chat Service · Media Service · Call Service (signaling) · Notification Service</w:t>
            </w:r>
          </w:p>
        </w:tc>
        <w:tc>
          <w:tcPr>
            <w:tcW w:type="dxa" w:w="2450"/>
            <w:tcMar>
              <w:top w:type="dxa" w:w="80"/>
              <w:left w:type="dxa" w:w="100"/>
              <w:bottom w:type="dxa" w:w="80"/>
              <w:right w:type="dxa" w:w="100"/>
            </w:tcMar>
          </w:tcPr>
          <w:p>
            <w:r>
              <w:rPr>
                <w:b w:val="false"/>
                <w:bCs w:val="false"/>
                <w:color w:val="1A1A1A"/>
                <w:sz w:val="19"/>
                <w:szCs w:val="19"/>
              </w:rPr>
              <w:t xml:space="preserve">Wave 1 (auth contracts)</w:t>
            </w:r>
          </w:p>
        </w:tc>
      </w:tr>
      <w:tr>
        <w:tc>
          <w:tcPr>
            <w:tcW w:type="dxa" w:w="1600"/>
            <w:shd w:fill="EAF1FA" w:val="clear"/>
            <w:tcMar>
              <w:top w:type="dxa" w:w="80"/>
              <w:left w:type="dxa" w:w="100"/>
              <w:bottom w:type="dxa" w:w="80"/>
              <w:right w:type="dxa" w:w="100"/>
            </w:tcMar>
          </w:tcPr>
          <w:p>
            <w:r>
              <w:rPr>
                <w:b w:val="false"/>
                <w:bCs w:val="false"/>
                <w:color w:val="1A1A1A"/>
                <w:sz w:val="19"/>
                <w:szCs w:val="19"/>
              </w:rPr>
              <w:t xml:space="preserve">3 — Battery-Aware System</w:t>
            </w:r>
          </w:p>
        </w:tc>
        <w:tc>
          <w:tcPr>
            <w:tcW w:type="dxa" w:w="5300"/>
            <w:shd w:fill="EAF1FA" w:val="clear"/>
            <w:tcMar>
              <w:top w:type="dxa" w:w="80"/>
              <w:left w:type="dxa" w:w="100"/>
              <w:bottom w:type="dxa" w:w="80"/>
              <w:right w:type="dxa" w:w="100"/>
            </w:tcMar>
          </w:tcPr>
          <w:p>
            <w:r>
              <w:rPr>
                <w:b w:val="false"/>
                <w:bCs w:val="false"/>
                <w:color w:val="1A1A1A"/>
                <w:sz w:val="19"/>
                <w:szCs w:val="19"/>
              </w:rPr>
              <w:t xml:space="preserve">Android Battery Monitor Module · battery_events schema &amp; Call Service integration · client state machine (Section 5)</w:t>
            </w:r>
          </w:p>
        </w:tc>
        <w:tc>
          <w:tcPr>
            <w:tcW w:type="dxa" w:w="2450"/>
            <w:shd w:fill="EAF1FA" w:val="clear"/>
            <w:tcMar>
              <w:top w:type="dxa" w:w="80"/>
              <w:left w:type="dxa" w:w="100"/>
              <w:bottom w:type="dxa" w:w="80"/>
              <w:right w:type="dxa" w:w="100"/>
            </w:tcMar>
          </w:tcPr>
          <w:p>
            <w:r>
              <w:rPr>
                <w:b w:val="false"/>
                <w:bCs w:val="false"/>
                <w:color w:val="1A1A1A"/>
                <w:sz w:val="19"/>
                <w:szCs w:val="19"/>
              </w:rPr>
              <w:t xml:space="preserve">Wave 2 (Call Service)</w:t>
            </w:r>
          </w:p>
        </w:tc>
      </w:tr>
      <w:tr>
        <w:tc>
          <w:tcPr>
            <w:tcW w:type="dxa" w:w="1600"/>
            <w:tcMar>
              <w:top w:type="dxa" w:w="80"/>
              <w:left w:type="dxa" w:w="100"/>
              <w:bottom w:type="dxa" w:w="80"/>
              <w:right w:type="dxa" w:w="100"/>
            </w:tcMar>
          </w:tcPr>
          <w:p>
            <w:r>
              <w:rPr>
                <w:b w:val="false"/>
                <w:bCs w:val="false"/>
                <w:color w:val="1A1A1A"/>
                <w:sz w:val="19"/>
                <w:szCs w:val="19"/>
              </w:rPr>
              <w:t xml:space="preserve">4 — Social features</w:t>
            </w:r>
          </w:p>
        </w:tc>
        <w:tc>
          <w:tcPr>
            <w:tcW w:type="dxa" w:w="5300"/>
            <w:tcMar>
              <w:top w:type="dxa" w:w="80"/>
              <w:left w:type="dxa" w:w="100"/>
              <w:bottom w:type="dxa" w:w="80"/>
              <w:right w:type="dxa" w:w="100"/>
            </w:tcMar>
          </w:tcPr>
          <w:p>
            <w:r>
              <w:rPr>
                <w:b w:val="false"/>
                <w:bCs w:val="false"/>
                <w:color w:val="1A1A1A"/>
                <w:sz w:val="19"/>
                <w:szCs w:val="19"/>
              </w:rPr>
              <w:t xml:space="preserve">Group Service · Status Service · Android chat/UI screens</w:t>
            </w:r>
          </w:p>
        </w:tc>
        <w:tc>
          <w:tcPr>
            <w:tcW w:type="dxa" w:w="2450"/>
            <w:tcMar>
              <w:top w:type="dxa" w:w="80"/>
              <w:left w:type="dxa" w:w="100"/>
              <w:bottom w:type="dxa" w:w="80"/>
              <w:right w:type="dxa" w:w="100"/>
            </w:tcMar>
          </w:tcPr>
          <w:p>
            <w:r>
              <w:rPr>
                <w:b w:val="false"/>
                <w:bCs w:val="false"/>
                <w:color w:val="1A1A1A"/>
                <w:sz w:val="19"/>
                <w:szCs w:val="19"/>
              </w:rPr>
              <w:t xml:space="preserve">Wave 2</w:t>
            </w:r>
          </w:p>
        </w:tc>
      </w:tr>
      <w:tr>
        <w:tc>
          <w:tcPr>
            <w:tcW w:type="dxa" w:w="1600"/>
            <w:shd w:fill="EAF1FA" w:val="clear"/>
            <w:tcMar>
              <w:top w:type="dxa" w:w="80"/>
              <w:left w:type="dxa" w:w="100"/>
              <w:bottom w:type="dxa" w:w="80"/>
              <w:right w:type="dxa" w:w="100"/>
            </w:tcMar>
          </w:tcPr>
          <w:p>
            <w:r>
              <w:rPr>
                <w:b w:val="false"/>
                <w:bCs w:val="false"/>
                <w:color w:val="1A1A1A"/>
                <w:sz w:val="19"/>
                <w:szCs w:val="19"/>
              </w:rPr>
              <w:t xml:space="preserve">5 — Admin &amp; hardening</w:t>
            </w:r>
          </w:p>
        </w:tc>
        <w:tc>
          <w:tcPr>
            <w:tcW w:type="dxa" w:w="5300"/>
            <w:shd w:fill="EAF1FA" w:val="clear"/>
            <w:tcMar>
              <w:top w:type="dxa" w:w="80"/>
              <w:left w:type="dxa" w:w="100"/>
              <w:bottom w:type="dxa" w:w="80"/>
              <w:right w:type="dxa" w:w="100"/>
            </w:tcMar>
          </w:tcPr>
          <w:p>
            <w:r>
              <w:rPr>
                <w:b w:val="false"/>
                <w:bCs w:val="false"/>
                <w:color w:val="1A1A1A"/>
                <w:sz w:val="19"/>
                <w:szCs w:val="19"/>
              </w:rPr>
              <w:t xml:space="preserve">Admin Service · abuse pipeline · E2EE for chat · security review agent pass</w:t>
            </w:r>
          </w:p>
        </w:tc>
        <w:tc>
          <w:tcPr>
            <w:tcW w:type="dxa" w:w="2450"/>
            <w:shd w:fill="EAF1FA" w:val="clear"/>
            <w:tcMar>
              <w:top w:type="dxa" w:w="80"/>
              <w:left w:type="dxa" w:w="100"/>
              <w:bottom w:type="dxa" w:w="80"/>
              <w:right w:type="dxa" w:w="100"/>
            </w:tcMar>
          </w:tcPr>
          <w:p>
            <w:r>
              <w:rPr>
                <w:b w:val="false"/>
                <w:bCs w:val="false"/>
                <w:color w:val="1A1A1A"/>
                <w:sz w:val="19"/>
                <w:szCs w:val="19"/>
              </w:rPr>
              <w:t xml:space="preserve">Wave 2–4</w:t>
            </w:r>
          </w:p>
        </w:tc>
      </w:tr>
      <w:tr>
        <w:tc>
          <w:tcPr>
            <w:tcW w:type="dxa" w:w="1600"/>
            <w:tcMar>
              <w:top w:type="dxa" w:w="80"/>
              <w:left w:type="dxa" w:w="100"/>
              <w:bottom w:type="dxa" w:w="80"/>
              <w:right w:type="dxa" w:w="100"/>
            </w:tcMar>
          </w:tcPr>
          <w:p>
            <w:r>
              <w:rPr>
                <w:b w:val="false"/>
                <w:bCs w:val="false"/>
                <w:color w:val="1A1A1A"/>
                <w:sz w:val="19"/>
                <w:szCs w:val="19"/>
              </w:rPr>
              <w:t xml:space="preserve">6 — Verification &amp; release</w:t>
            </w:r>
          </w:p>
        </w:tc>
        <w:tc>
          <w:tcPr>
            <w:tcW w:type="dxa" w:w="5300"/>
            <w:tcMar>
              <w:top w:type="dxa" w:w="80"/>
              <w:left w:type="dxa" w:w="100"/>
              <w:bottom w:type="dxa" w:w="80"/>
              <w:right w:type="dxa" w:w="100"/>
            </w:tcMar>
          </w:tcPr>
          <w:p>
            <w:r>
              <w:rPr>
                <w:b w:val="false"/>
                <w:bCs w:val="false"/>
                <w:color w:val="1A1A1A"/>
                <w:sz w:val="19"/>
                <w:szCs w:val="19"/>
              </w:rPr>
              <w:t xml:space="preserve">End-to-end test agent · battery test scenarios (Section 62 of PRD) · Play Store packaging</w:t>
            </w:r>
          </w:p>
        </w:tc>
        <w:tc>
          <w:tcPr>
            <w:tcW w:type="dxa" w:w="2450"/>
            <w:tcMar>
              <w:top w:type="dxa" w:w="80"/>
              <w:left w:type="dxa" w:w="100"/>
              <w:bottom w:type="dxa" w:w="80"/>
              <w:right w:type="dxa" w:w="100"/>
            </w:tcMar>
          </w:tcPr>
          <w:p>
            <w:r>
              <w:rPr>
                <w:b w:val="false"/>
                <w:bCs w:val="false"/>
                <w:color w:val="1A1A1A"/>
                <w:sz w:val="19"/>
                <w:szCs w:val="19"/>
              </w:rPr>
              <w:t xml:space="preserve">All prior waves</w:t>
            </w:r>
          </w:p>
        </w:tc>
      </w:tr>
    </w:tbl>
    <w:p>
      <w:pPr>
        <w:spacing w:after="160" w:line="300"/>
      </w:pPr>
      <w:r>
        <w:rPr>
          <w:color w:val="1A1A1A"/>
          <w:sz w:val="21"/>
          <w:szCs w:val="21"/>
        </w:rPr>
        <w:t xml:space="preserve">Because Wave 3 (Battery-Aware System) is the product's differentiator, give it its own dedicated agent run even though it is small — this keeps its Artifacts (test reports, threshold-behaviour screen recordings) isolated and easy for a human reviewer to audit in one pass.</w:t>
      </w:r>
    </w:p>
    <w:p>
      <w:pPr>
        <w:pStyle w:val="Heading2"/>
        <w:spacing w:after="140" w:before="320"/>
      </w:pPr>
      <w:r>
        <w:rPr>
          <w:b/>
          <w:bCs/>
          <w:color w:val="1F3864"/>
          <w:sz w:val="24"/>
          <w:szCs w:val="24"/>
        </w:rPr>
        <w:t xml:space="preserve">11.3 SKILL.md Playbooks for Agents</w:t>
      </w:r>
    </w:p>
    <w:p>
      <w:pPr>
        <w:spacing w:after="160" w:line="300"/>
      </w:pPr>
      <w:r>
        <w:rPr>
          <w:color w:val="1A1A1A"/>
          <w:sz w:val="21"/>
          <w:szCs w:val="21"/>
        </w:rPr>
        <w:t xml:space="preserve">Antigravity treats learning as a first-class primitive: agents can load a SKILL.md before starting a task to pick up house rules. Author one skill file per recurring workflow so every agent produces consistent output.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900"/>
        <w:gridCol w:w="5450"/>
      </w:tblGrid>
      <w:tr>
        <w:trPr>
          <w:tblHeader/>
        </w:trPr>
        <w:tc>
          <w:tcPr>
            <w:tcW w:type="dxa" w:w="3900"/>
            <w:shd w:fill="1F3864" w:val="clear"/>
            <w:tcMar>
              <w:top w:type="dxa" w:w="80"/>
              <w:left w:type="dxa" w:w="100"/>
              <w:bottom w:type="dxa" w:w="80"/>
              <w:right w:type="dxa" w:w="100"/>
            </w:tcMar>
          </w:tcPr>
          <w:p>
            <w:r>
              <w:rPr>
                <w:b/>
                <w:bCs/>
                <w:color w:val="FFFFFF"/>
                <w:sz w:val="19"/>
                <w:szCs w:val="19"/>
              </w:rPr>
              <w:t xml:space="preserve">Skill file</w:t>
            </w:r>
          </w:p>
        </w:tc>
        <w:tc>
          <w:tcPr>
            <w:tcW w:type="dxa" w:w="5450"/>
            <w:shd w:fill="1F3864" w:val="clear"/>
            <w:tcMar>
              <w:top w:type="dxa" w:w="80"/>
              <w:left w:type="dxa" w:w="100"/>
              <w:bottom w:type="dxa" w:w="80"/>
              <w:right w:type="dxa" w:w="100"/>
            </w:tcMar>
          </w:tcPr>
          <w:p>
            <w:r>
              <w:rPr>
                <w:b/>
                <w:bCs/>
                <w:color w:val="FFFFFF"/>
                <w:sz w:val="19"/>
                <w:szCs w:val="19"/>
              </w:rPr>
              <w:t xml:space="preserve">Purpose</w:t>
            </w:r>
          </w:p>
        </w:tc>
      </w:tr>
      <w:tr>
        <w:tc>
          <w:tcPr>
            <w:tcW w:type="dxa" w:w="3900"/>
            <w:tcMar>
              <w:top w:type="dxa" w:w="80"/>
              <w:left w:type="dxa" w:w="100"/>
              <w:bottom w:type="dxa" w:w="80"/>
              <w:right w:type="dxa" w:w="100"/>
            </w:tcMar>
          </w:tcPr>
          <w:p>
            <w:r>
              <w:rPr>
                <w:b w:val="false"/>
                <w:bCs w:val="false"/>
                <w:color w:val="1A1A1A"/>
                <w:sz w:val="19"/>
                <w:szCs w:val="19"/>
              </w:rPr>
              <w:t xml:space="preserve">.antigravity/skills/spring-service/SKILL.md</w:t>
            </w:r>
          </w:p>
        </w:tc>
        <w:tc>
          <w:tcPr>
            <w:tcW w:type="dxa" w:w="5450"/>
            <w:tcMar>
              <w:top w:type="dxa" w:w="80"/>
              <w:left w:type="dxa" w:w="100"/>
              <w:bottom w:type="dxa" w:w="80"/>
              <w:right w:type="dxa" w:w="100"/>
            </w:tcMar>
          </w:tcPr>
          <w:p>
            <w:r>
              <w:rPr>
                <w:b w:val="false"/>
                <w:bCs w:val="false"/>
                <w:color w:val="1A1A1A"/>
                <w:sz w:val="19"/>
                <w:szCs w:val="19"/>
              </w:rPr>
              <w:t xml:space="preserve">Standard structure for a new Spring Boot microservice: package layout, error-handling convention, health endpoint, Dockerfile, test conventions.</w:t>
            </w:r>
          </w:p>
        </w:tc>
      </w:tr>
      <w:tr>
        <w:tc>
          <w:tcPr>
            <w:tcW w:type="dxa" w:w="3900"/>
            <w:shd w:fill="EAF1FA" w:val="clear"/>
            <w:tcMar>
              <w:top w:type="dxa" w:w="80"/>
              <w:left w:type="dxa" w:w="100"/>
              <w:bottom w:type="dxa" w:w="80"/>
              <w:right w:type="dxa" w:w="100"/>
            </w:tcMar>
          </w:tcPr>
          <w:p>
            <w:r>
              <w:rPr>
                <w:b w:val="false"/>
                <w:bCs w:val="false"/>
                <w:color w:val="1A1A1A"/>
                <w:sz w:val="19"/>
                <w:szCs w:val="19"/>
              </w:rPr>
              <w:t xml:space="preserve">.antigravity/skills/battery-state-machine/SKILL.md</w:t>
            </w:r>
          </w:p>
        </w:tc>
        <w:tc>
          <w:tcPr>
            <w:tcW w:type="dxa" w:w="5450"/>
            <w:shd w:fill="EAF1FA" w:val="clear"/>
            <w:tcMar>
              <w:top w:type="dxa" w:w="80"/>
              <w:left w:type="dxa" w:w="100"/>
              <w:bottom w:type="dxa" w:w="80"/>
              <w:right w:type="dxa" w:w="100"/>
            </w:tcMar>
          </w:tcPr>
          <w:p>
            <w:r>
              <w:rPr>
                <w:b w:val="false"/>
                <w:bCs w:val="false"/>
                <w:color w:val="1A1A1A"/>
                <w:sz w:val="19"/>
                <w:szCs w:val="19"/>
              </w:rPr>
              <w:t xml:space="preserve">The exact state machine and thresholds from Section 5 — prevents an agent from 're-inventing' battery logic differently in the client vs. the backend log.</w:t>
            </w:r>
          </w:p>
        </w:tc>
      </w:tr>
      <w:tr>
        <w:tc>
          <w:tcPr>
            <w:tcW w:type="dxa" w:w="3900"/>
            <w:tcMar>
              <w:top w:type="dxa" w:w="80"/>
              <w:left w:type="dxa" w:w="100"/>
              <w:bottom w:type="dxa" w:w="80"/>
              <w:right w:type="dxa" w:w="100"/>
            </w:tcMar>
          </w:tcPr>
          <w:p>
            <w:r>
              <w:rPr>
                <w:b w:val="false"/>
                <w:bCs w:val="false"/>
                <w:color w:val="1A1A1A"/>
                <w:sz w:val="19"/>
                <w:szCs w:val="19"/>
              </w:rPr>
              <w:t xml:space="preserve">.antigravity/skills/webrtc-signaling/SKILL.md</w:t>
            </w:r>
          </w:p>
        </w:tc>
        <w:tc>
          <w:tcPr>
            <w:tcW w:type="dxa" w:w="5450"/>
            <w:tcMar>
              <w:top w:type="dxa" w:w="80"/>
              <w:left w:type="dxa" w:w="100"/>
              <w:bottom w:type="dxa" w:w="80"/>
              <w:right w:type="dxa" w:w="100"/>
            </w:tcMar>
          </w:tcPr>
          <w:p>
            <w:r>
              <w:rPr>
                <w:b w:val="false"/>
                <w:bCs w:val="false"/>
                <w:color w:val="1A1A1A"/>
                <w:sz w:val="19"/>
                <w:szCs w:val="19"/>
              </w:rPr>
              <w:t xml:space="preserve">Signaling message schema (offer/answer/ICE), call-state enum, and required event emissions to Kafka.</w:t>
            </w:r>
          </w:p>
        </w:tc>
      </w:tr>
      <w:tr>
        <w:tc>
          <w:tcPr>
            <w:tcW w:type="dxa" w:w="3900"/>
            <w:shd w:fill="EAF1FA" w:val="clear"/>
            <w:tcMar>
              <w:top w:type="dxa" w:w="80"/>
              <w:left w:type="dxa" w:w="100"/>
              <w:bottom w:type="dxa" w:w="80"/>
              <w:right w:type="dxa" w:w="100"/>
            </w:tcMar>
          </w:tcPr>
          <w:p>
            <w:r>
              <w:rPr>
                <w:b w:val="false"/>
                <w:bCs w:val="false"/>
                <w:color w:val="1A1A1A"/>
                <w:sz w:val="19"/>
                <w:szCs w:val="19"/>
              </w:rPr>
              <w:t xml:space="preserve">.antigravity/skills/api-contract/SKILL.md</w:t>
            </w:r>
          </w:p>
        </w:tc>
        <w:tc>
          <w:tcPr>
            <w:tcW w:type="dxa" w:w="5450"/>
            <w:shd w:fill="EAF1FA" w:val="clear"/>
            <w:tcMar>
              <w:top w:type="dxa" w:w="80"/>
              <w:left w:type="dxa" w:w="100"/>
              <w:bottom w:type="dxa" w:w="80"/>
              <w:right w:type="dxa" w:w="100"/>
            </w:tcMar>
          </w:tcPr>
          <w:p>
            <w:r>
              <w:rPr>
                <w:b w:val="false"/>
                <w:bCs w:val="false"/>
                <w:color w:val="1A1A1A"/>
                <w:sz w:val="19"/>
                <w:szCs w:val="19"/>
              </w:rPr>
              <w:t xml:space="preserve">Rule: every new endpoint must update its service's OpenAPI spec under docs/api/ before implementation is considered done.</w:t>
            </w:r>
          </w:p>
        </w:tc>
      </w:tr>
      <w:tr>
        <w:tc>
          <w:tcPr>
            <w:tcW w:type="dxa" w:w="3900"/>
            <w:tcMar>
              <w:top w:type="dxa" w:w="80"/>
              <w:left w:type="dxa" w:w="100"/>
              <w:bottom w:type="dxa" w:w="80"/>
              <w:right w:type="dxa" w:w="100"/>
            </w:tcMar>
          </w:tcPr>
          <w:p>
            <w:r>
              <w:rPr>
                <w:b w:val="false"/>
                <w:bCs w:val="false"/>
                <w:color w:val="1A1A1A"/>
                <w:sz w:val="19"/>
                <w:szCs w:val="19"/>
              </w:rPr>
              <w:t xml:space="preserve">.antigravity/skills/code-review/SKILL.md</w:t>
            </w:r>
          </w:p>
        </w:tc>
        <w:tc>
          <w:tcPr>
            <w:tcW w:type="dxa" w:w="5450"/>
            <w:tcMar>
              <w:top w:type="dxa" w:w="80"/>
              <w:left w:type="dxa" w:w="100"/>
              <w:bottom w:type="dxa" w:w="80"/>
              <w:right w:type="dxa" w:w="100"/>
            </w:tcMar>
          </w:tcPr>
          <w:p>
            <w:r>
              <w:rPr>
                <w:b w:val="false"/>
                <w:bCs w:val="false"/>
                <w:color w:val="1A1A1A"/>
                <w:sz w:val="19"/>
                <w:szCs w:val="19"/>
              </w:rPr>
              <w:t xml:space="preserve">Checklist an agent runs against its own diff before marking a task complete (see 11.5).</w:t>
            </w:r>
          </w:p>
        </w:tc>
      </w:tr>
    </w:tbl>
    <w:p>
      <w:pPr>
        <w:pStyle w:val="Heading2"/>
        <w:spacing w:after="140" w:before="320"/>
      </w:pPr>
      <w:r>
        <w:rPr>
          <w:b/>
          <w:bCs/>
          <w:color w:val="1F3864"/>
          <w:sz w:val="24"/>
          <w:szCs w:val="24"/>
        </w:rPr>
        <w:t xml:space="preserve">11.4 Example Agent Task Prompt (Manager surface)</w:t>
      </w:r>
    </w:p>
    <w:p>
      <w:pPr>
        <w:spacing w:after="160" w:line="300"/>
      </w:pPr>
      <w:r>
        <w:rPr>
          <w:color w:val="1A1A1A"/>
          <w:sz w:val="21"/>
          <w:szCs w:val="21"/>
        </w:rPr>
        <w:t xml:space="preserve">A concrete task handed to an agent in the Manager, referencing this document directly:</w:t>
      </w:r>
    </w:p>
    <w:p>
      <w:pPr>
        <w:pBdr>
          <w:top w:val="single" w:color="CCCCCC" w:sz="4" w:space="4"/>
          <w:bottom w:val="single" w:color="CCCCCC" w:sz="4" w:space="4"/>
          <w:left w:val="single" w:color="CCCCCC" w:sz="4" w:space="4"/>
          <w:right w:val="single" w:color="CCCCCC" w:sz="4" w:space="4"/>
        </w:pBdr>
        <w:shd w:fill="F2F2F2" w:val="clear"/>
        <w:spacing w:after="200"/>
      </w:pPr>
      <w:r>
        <w:rPr>
          <w:rFonts w:ascii="Consolas" w:cs="Consolas" w:eastAsia="Consolas" w:hAnsi="Consolas"/>
          <w:color w:val="333333"/>
          <w:sz w:val="18"/>
          <w:szCs w:val="18"/>
        </w:rPr>
        <w:t xml:space="preserve">Task: Implement Call Service battery-event logging</w:t>
      </w:r>
      <w:r>
        <w:rPr>
          <w:rFonts w:ascii="Consolas" w:cs="Consolas" w:eastAsia="Consolas" w:hAnsi="Consolas"/>
          <w:color w:val="333333"/>
          <w:sz w:val="18"/>
          <w:szCs w:val="18"/>
        </w:rPr>
        <w:br/>
        <w:t xml:space="preserve">Context: docs/architecture/ARCHITECTURE.md, Section 5 &amp; 6</w:t>
      </w:r>
      <w:r>
        <w:rPr>
          <w:rFonts w:ascii="Consolas" w:cs="Consolas" w:eastAsia="Consolas" w:hAnsi="Consolas"/>
          <w:color w:val="333333"/>
          <w:sz w:val="18"/>
          <w:szCs w:val="18"/>
        </w:rPr>
        <w:br/>
        <w:t xml:space="preserve">Skill: .antigravity/skills/spring-service/SKILL.md</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1. Add POST /calls/{id}/battery-events endpoint per the contract in</w:t>
      </w:r>
      <w:r>
        <w:rPr>
          <w:rFonts w:ascii="Consolas" w:cs="Consolas" w:eastAsia="Consolas" w:hAnsi="Consolas"/>
          <w:color w:val="333333"/>
          <w:sz w:val="18"/>
          <w:szCs w:val="18"/>
        </w:rPr>
        <w:br/>
        <w:t xml:space="preserve">   docs/api/call-service.yaml (create if missing, per api-contract skill).</w:t>
      </w:r>
      <w:r>
        <w:rPr>
          <w:rFonts w:ascii="Consolas" w:cs="Consolas" w:eastAsia="Consolas" w:hAnsi="Consolas"/>
          <w:color w:val="333333"/>
          <w:sz w:val="18"/>
          <w:szCs w:val="18"/>
        </w:rPr>
        <w:br/>
        <w:t xml:space="preserve">2. Persist to battery_events table (see Section 8.2 schema).</w:t>
      </w:r>
      <w:r>
        <w:rPr>
          <w:rFonts w:ascii="Consolas" w:cs="Consolas" w:eastAsia="Consolas" w:hAnsi="Consolas"/>
          <w:color w:val="333333"/>
          <w:sz w:val="18"/>
          <w:szCs w:val="18"/>
        </w:rPr>
        <w:br/>
        <w:t xml:space="preserve">3. Emit call.terminated.low_battery to Kafka when event_type=critical.</w:t>
      </w:r>
      <w:r>
        <w:rPr>
          <w:rFonts w:ascii="Consolas" w:cs="Consolas" w:eastAsia="Consolas" w:hAnsi="Consolas"/>
          <w:color w:val="333333"/>
          <w:sz w:val="18"/>
          <w:szCs w:val="18"/>
        </w:rPr>
        <w:br/>
        <w:t xml:space="preserve">4. Unit tests for all 6 scenarios in PRD Section 62 (Battery Testing).</w:t>
      </w:r>
      <w:r>
        <w:rPr>
          <w:rFonts w:ascii="Consolas" w:cs="Consolas" w:eastAsia="Consolas" w:hAnsi="Consolas"/>
          <w:color w:val="333333"/>
          <w:sz w:val="18"/>
          <w:szCs w:val="18"/>
        </w:rPr>
        <w:br/>
        <w:t xml:space="preserve">5. Produce an Artifact: test report + sequence diagram matching</w:t>
      </w:r>
      <w:r>
        <w:rPr>
          <w:rFonts w:ascii="Consolas" w:cs="Consolas" w:eastAsia="Consolas" w:hAnsi="Consolas"/>
          <w:color w:val="333333"/>
          <w:sz w:val="18"/>
          <w:szCs w:val="18"/>
        </w:rPr>
        <w:br/>
        <w:t xml:space="preserve">   Section 5.2 of the architecture doc.</w:t>
      </w:r>
      <w:r>
        <w:rPr>
          <w:rFonts w:ascii="Consolas" w:cs="Consolas" w:eastAsia="Consolas" w:hAnsi="Consolas"/>
          <w:color w:val="333333"/>
          <w:sz w:val="18"/>
          <w:szCs w:val="18"/>
        </w:rPr>
        <w:br/>
        <w:t xml:space="preserve">6. Do not modify Auth Service or Chat Service.</w:t>
      </w:r>
    </w:p>
    <w:p>
      <w:pPr>
        <w:pStyle w:val="Heading2"/>
        <w:spacing w:after="140" w:before="320"/>
      </w:pPr>
      <w:r>
        <w:rPr>
          <w:b/>
          <w:bCs/>
          <w:color w:val="1F3864"/>
          <w:sz w:val="24"/>
          <w:szCs w:val="24"/>
        </w:rPr>
        <w:t xml:space="preserve">11.5 Verification Loop (Artifacts)</w:t>
      </w:r>
    </w:p>
    <w:p>
      <w:pPr>
        <w:spacing w:after="160" w:line="300"/>
      </w:pPr>
      <w:r>
        <w:rPr>
          <w:color w:val="1A1A1A"/>
          <w:sz w:val="21"/>
          <w:szCs w:val="21"/>
        </w:rPr>
        <w:t xml:space="preserve">Antigravity's core trust mechanism is the Artifact — a human-reviewable summary of what an agent did. For this project, require every completed task to produce:</w:t>
      </w:r>
    </w:p>
    <w:p>
      <w:pPr>
        <w:pStyle w:val="ListParagraph"/>
        <w:numPr>
          <w:ilvl w:val="0"/>
          <w:numId w:val="2"/>
        </w:numPr>
        <w:spacing w:after="60"/>
      </w:pPr>
      <w:r>
        <w:rPr>
          <w:color w:val="1A1A1A"/>
          <w:sz w:val="21"/>
          <w:szCs w:val="21"/>
        </w:rPr>
        <w:t xml:space="preserve">A task list / implementation plan Artifact, generated before code is written, checked against Section 6/7/8 of this document.</w:t>
      </w:r>
    </w:p>
    <w:p>
      <w:pPr>
        <w:pStyle w:val="ListParagraph"/>
        <w:numPr>
          <w:ilvl w:val="0"/>
          <w:numId w:val="2"/>
        </w:numPr>
        <w:spacing w:after="60"/>
      </w:pPr>
      <w:r>
        <w:rPr>
          <w:color w:val="1A1A1A"/>
          <w:sz w:val="21"/>
          <w:szCs w:val="21"/>
        </w:rPr>
        <w:t xml:space="preserve">An automated test report Artifact (unit + integration), including the six battery scenarios from PRD Section 62.</w:t>
      </w:r>
    </w:p>
    <w:p>
      <w:pPr>
        <w:pStyle w:val="ListParagraph"/>
        <w:numPr>
          <w:ilvl w:val="0"/>
          <w:numId w:val="2"/>
        </w:numPr>
        <w:spacing w:after="60"/>
      </w:pPr>
      <w:r>
        <w:rPr>
          <w:color w:val="1A1A1A"/>
          <w:sz w:val="21"/>
          <w:szCs w:val="21"/>
        </w:rPr>
        <w:t xml:space="preserve">For UI-facing work: a browser/emulator screen-recording Artifact showing the low-battery warning banner and automatic call termination end to end.</w:t>
      </w:r>
    </w:p>
    <w:p>
      <w:pPr>
        <w:pStyle w:val="ListParagraph"/>
        <w:numPr>
          <w:ilvl w:val="0"/>
          <w:numId w:val="2"/>
        </w:numPr>
        <w:spacing w:after="60"/>
      </w:pPr>
      <w:r>
        <w:rPr>
          <w:color w:val="1A1A1A"/>
          <w:sz w:val="21"/>
          <w:szCs w:val="21"/>
        </w:rPr>
        <w:t xml:space="preserve">A short architecture-conformance note: which service boundaries, tables, and API contracts from this document were touched.</w:t>
      </w:r>
    </w:p>
    <w:p>
      <w:pPr>
        <w:spacing w:after="160" w:line="300"/>
      </w:pPr>
      <w:r>
        <w:rPr>
          <w:color w:val="1A1A1A"/>
          <w:sz w:val="21"/>
          <w:szCs w:val="21"/>
        </w:rPr>
        <w:t xml:space="preserve">Human reviewers should read Artifacts, not raw diffs, as the primary review surface — this is the workflow Antigravity is designed around, and it scales far better than line-by-line diff review once 8–10 microservices are being built in parallel.</w:t>
      </w:r>
    </w:p>
    <w:p>
      <w:pPr>
        <w:pStyle w:val="Heading2"/>
        <w:spacing w:after="140" w:before="320"/>
      </w:pPr>
      <w:r>
        <w:rPr>
          <w:b/>
          <w:bCs/>
          <w:color w:val="1F3864"/>
          <w:sz w:val="24"/>
          <w:szCs w:val="24"/>
        </w:rPr>
        <w:t xml:space="preserve">11.6 Model Selection Guidance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300"/>
        <w:gridCol w:w="5050"/>
      </w:tblGrid>
      <w:tr>
        <w:trPr>
          <w:tblHeader/>
        </w:trPr>
        <w:tc>
          <w:tcPr>
            <w:tcW w:type="dxa" w:w="4300"/>
            <w:shd w:fill="1F3864" w:val="clear"/>
            <w:tcMar>
              <w:top w:type="dxa" w:w="80"/>
              <w:left w:type="dxa" w:w="100"/>
              <w:bottom w:type="dxa" w:w="80"/>
              <w:right w:type="dxa" w:w="100"/>
            </w:tcMar>
          </w:tcPr>
          <w:p>
            <w:r>
              <w:rPr>
                <w:b/>
                <w:bCs/>
                <w:color w:val="FFFFFF"/>
                <w:sz w:val="19"/>
                <w:szCs w:val="19"/>
              </w:rPr>
              <w:t xml:space="preserve">Task type</w:t>
            </w:r>
          </w:p>
        </w:tc>
        <w:tc>
          <w:tcPr>
            <w:tcW w:type="dxa" w:w="5050"/>
            <w:shd w:fill="1F3864" w:val="clear"/>
            <w:tcMar>
              <w:top w:type="dxa" w:w="80"/>
              <w:left w:type="dxa" w:w="100"/>
              <w:bottom w:type="dxa" w:w="80"/>
              <w:right w:type="dxa" w:w="100"/>
            </w:tcMar>
          </w:tcPr>
          <w:p>
            <w:r>
              <w:rPr>
                <w:b/>
                <w:bCs/>
                <w:color w:val="FFFFFF"/>
                <w:sz w:val="19"/>
                <w:szCs w:val="19"/>
              </w:rPr>
              <w:t xml:space="preserve">Recommended agent model</w:t>
            </w:r>
          </w:p>
        </w:tc>
      </w:tr>
      <w:tr>
        <w:tc>
          <w:tcPr>
            <w:tcW w:type="dxa" w:w="4300"/>
            <w:tcMar>
              <w:top w:type="dxa" w:w="80"/>
              <w:left w:type="dxa" w:w="100"/>
              <w:bottom w:type="dxa" w:w="80"/>
              <w:right w:type="dxa" w:w="100"/>
            </w:tcMar>
          </w:tcPr>
          <w:p>
            <w:r>
              <w:rPr>
                <w:b w:val="false"/>
                <w:bCs w:val="false"/>
                <w:color w:val="1A1A1A"/>
                <w:sz w:val="19"/>
                <w:szCs w:val="19"/>
              </w:rPr>
              <w:t xml:space="preserve">Boilerplate service scaffolding, CRUD endpoints, Terraform modules</w:t>
            </w:r>
          </w:p>
        </w:tc>
        <w:tc>
          <w:tcPr>
            <w:tcW w:type="dxa" w:w="5050"/>
            <w:tcMar>
              <w:top w:type="dxa" w:w="80"/>
              <w:left w:type="dxa" w:w="100"/>
              <w:bottom w:type="dxa" w:w="80"/>
              <w:right w:type="dxa" w:w="100"/>
            </w:tcMar>
          </w:tcPr>
          <w:p>
            <w:r>
              <w:rPr>
                <w:b w:val="false"/>
                <w:bCs w:val="false"/>
                <w:color w:val="1A1A1A"/>
                <w:sz w:val="19"/>
                <w:szCs w:val="19"/>
              </w:rPr>
              <w:t xml:space="preserve">Gemini 3 Flash — fast, cheap, high volume</w:t>
            </w:r>
          </w:p>
        </w:tc>
      </w:tr>
      <w:tr>
        <w:tc>
          <w:tcPr>
            <w:tcW w:type="dxa" w:w="4300"/>
            <w:shd w:fill="EAF1FA" w:val="clear"/>
            <w:tcMar>
              <w:top w:type="dxa" w:w="80"/>
              <w:left w:type="dxa" w:w="100"/>
              <w:bottom w:type="dxa" w:w="80"/>
              <w:right w:type="dxa" w:w="100"/>
            </w:tcMar>
          </w:tcPr>
          <w:p>
            <w:r>
              <w:rPr>
                <w:b w:val="false"/>
                <w:bCs w:val="false"/>
                <w:color w:val="1A1A1A"/>
                <w:sz w:val="19"/>
                <w:szCs w:val="19"/>
              </w:rPr>
              <w:t xml:space="preserve">Battery state machine, WebRTC signaling, security-sensitive code, architecture-conformance review</w:t>
            </w:r>
          </w:p>
        </w:tc>
        <w:tc>
          <w:tcPr>
            <w:tcW w:type="dxa" w:w="5050"/>
            <w:shd w:fill="EAF1FA" w:val="clear"/>
            <w:tcMar>
              <w:top w:type="dxa" w:w="80"/>
              <w:left w:type="dxa" w:w="100"/>
              <w:bottom w:type="dxa" w:w="80"/>
              <w:right w:type="dxa" w:w="100"/>
            </w:tcMar>
          </w:tcPr>
          <w:p>
            <w:r>
              <w:rPr>
                <w:b w:val="false"/>
                <w:bCs w:val="false"/>
                <w:color w:val="1A1A1A"/>
                <w:sz w:val="19"/>
                <w:szCs w:val="19"/>
              </w:rPr>
              <w:t xml:space="preserve">Gemini 3 Pro or Claude Sonnet — higher reasoning depth</w:t>
            </w:r>
          </w:p>
        </w:tc>
      </w:tr>
      <w:tr>
        <w:tc>
          <w:tcPr>
            <w:tcW w:type="dxa" w:w="4300"/>
            <w:tcMar>
              <w:top w:type="dxa" w:w="80"/>
              <w:left w:type="dxa" w:w="100"/>
              <w:bottom w:type="dxa" w:w="80"/>
              <w:right w:type="dxa" w:w="100"/>
            </w:tcMar>
          </w:tcPr>
          <w:p>
            <w:r>
              <w:rPr>
                <w:b w:val="false"/>
                <w:bCs w:val="false"/>
                <w:color w:val="1A1A1A"/>
                <w:sz w:val="19"/>
                <w:szCs w:val="19"/>
              </w:rPr>
              <w:t xml:space="preserve">Cross-service integration debugging, ambiguous PRD interpretation</w:t>
            </w:r>
          </w:p>
        </w:tc>
        <w:tc>
          <w:tcPr>
            <w:tcW w:type="dxa" w:w="5050"/>
            <w:tcMar>
              <w:top w:type="dxa" w:w="80"/>
              <w:left w:type="dxa" w:w="100"/>
              <w:bottom w:type="dxa" w:w="80"/>
              <w:right w:type="dxa" w:w="100"/>
            </w:tcMar>
          </w:tcPr>
          <w:p>
            <w:r>
              <w:rPr>
                <w:b w:val="false"/>
                <w:bCs w:val="false"/>
                <w:color w:val="1A1A1A"/>
                <w:sz w:val="19"/>
                <w:szCs w:val="19"/>
              </w:rPr>
              <w:t xml:space="preserve">Claude Sonnet — strong at multi-file reasoning and following long structured documents like this one</w:t>
            </w:r>
          </w:p>
        </w:tc>
      </w:tr>
    </w:tbl>
    <w:p>
      <w:pPr>
        <w:pStyle w:val="Heading2"/>
        <w:spacing w:after="140" w:before="320"/>
      </w:pPr>
      <w:r>
        <w:rPr>
          <w:b/>
          <w:bCs/>
          <w:color w:val="1F3864"/>
          <w:sz w:val="24"/>
          <w:szCs w:val="24"/>
        </w:rPr>
        <w:t xml:space="preserve">11.7 Suggested Antigravity Build Sequence</w:t>
      </w:r>
    </w:p>
    <w:p>
      <w:pPr>
        <w:pStyle w:val="ListParagraph"/>
        <w:numPr>
          <w:ilvl w:val="0"/>
          <w:numId w:val="3"/>
        </w:numPr>
        <w:spacing w:after="60"/>
      </w:pPr>
      <w:r>
        <w:rPr>
          <w:color w:val="1A1A1A"/>
          <w:sz w:val="21"/>
          <w:szCs w:val="21"/>
        </w:rPr>
        <w:t xml:space="preserve">Open the repo as an Antigravity workspace; index docs/architecture/ARCHITECTURE.md and the PRD into the knowledge base.</w:t>
      </w:r>
    </w:p>
    <w:p>
      <w:pPr>
        <w:pStyle w:val="ListParagraph"/>
        <w:numPr>
          <w:ilvl w:val="0"/>
          <w:numId w:val="3"/>
        </w:numPr>
        <w:spacing w:after="60"/>
      </w:pPr>
      <w:r>
        <w:rPr>
          <w:color w:val="1A1A1A"/>
          <w:sz w:val="21"/>
          <w:szCs w:val="21"/>
        </w:rPr>
        <w:t xml:space="preserve">Author the SKILL.md files in 11.3 first — they are reused by every later agent.</w:t>
      </w:r>
    </w:p>
    <w:p>
      <w:pPr>
        <w:pStyle w:val="ListParagraph"/>
        <w:numPr>
          <w:ilvl w:val="0"/>
          <w:numId w:val="3"/>
        </w:numPr>
        <w:spacing w:after="60"/>
      </w:pPr>
      <w:r>
        <w:rPr>
          <w:color w:val="1A1A1A"/>
          <w:sz w:val="21"/>
          <w:szCs w:val="21"/>
        </w:rPr>
        <w:t xml:space="preserve">Run Wave 0 (foundations) as a single Editor-view session (synchronous, low risk).</w:t>
      </w:r>
    </w:p>
    <w:p>
      <w:pPr>
        <w:pStyle w:val="ListParagraph"/>
        <w:numPr>
          <w:ilvl w:val="0"/>
          <w:numId w:val="3"/>
        </w:numPr>
        <w:spacing w:after="60"/>
      </w:pPr>
      <w:r>
        <w:rPr>
          <w:color w:val="1A1A1A"/>
          <w:sz w:val="21"/>
          <w:szCs w:val="21"/>
        </w:rPr>
        <w:t xml:space="preserve">Switch to the Manager surface for Waves 1–5, launching one agent per service/module in parallel, each scoped by a task prompt like 11.4.</w:t>
      </w:r>
    </w:p>
    <w:p>
      <w:pPr>
        <w:pStyle w:val="ListParagraph"/>
        <w:numPr>
          <w:ilvl w:val="0"/>
          <w:numId w:val="3"/>
        </w:numPr>
        <w:spacing w:after="60"/>
      </w:pPr>
      <w:r>
        <w:rPr>
          <w:color w:val="1A1A1A"/>
          <w:sz w:val="21"/>
          <w:szCs w:val="21"/>
        </w:rPr>
        <w:t xml:space="preserve">Gate every wave on Artifact review before starting the next wave's dependents.</w:t>
      </w:r>
    </w:p>
    <w:p>
      <w:pPr>
        <w:pStyle w:val="ListParagraph"/>
        <w:numPr>
          <w:ilvl w:val="0"/>
          <w:numId w:val="3"/>
        </w:numPr>
        <w:spacing w:after="60"/>
      </w:pPr>
      <w:r>
        <w:rPr>
          <w:color w:val="1A1A1A"/>
          <w:sz w:val="21"/>
          <w:szCs w:val="21"/>
        </w:rPr>
        <w:t xml:space="preserve">Run Wave 6 as a dedicated verification agent that executes the full battery test matrix (PRD Section 62) and the Success Criteria checklist (PRD Section 66) before Play Store packaging.</w:t>
      </w:r>
    </w:p>
    <w:p>
      <w:pPr>
        <w:pStyle w:val="Heading1"/>
        <w:pBdr>
          <w:bottom w:val="single" w:color="2E75B6" w:sz="8" w:space="4"/>
        </w:pBdr>
        <w:spacing w:after="200" w:before="480"/>
      </w:pPr>
      <w:r>
        <w:rPr>
          <w:b/>
          <w:bCs/>
          <w:color w:val="1F3864"/>
          <w:sz w:val="30"/>
          <w:szCs w:val="30"/>
        </w:rPr>
        <w:t xml:space="preserve">12. Roadmap Alignment</w:t>
      </w:r>
    </w:p>
    <w:p>
      <w:pPr>
        <w:spacing w:after="160" w:line="300"/>
      </w:pPr>
      <w:r>
        <w:rPr>
          <w:color w:val="1A1A1A"/>
          <w:sz w:val="21"/>
          <w:szCs w:val="21"/>
        </w:rPr>
        <w:t xml:space="preserve">The Antigravity build waves in Section 11.2 map directly onto the PRD's Development Roadmap (Section 61):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450"/>
      </w:tblGrid>
      <w:tr>
        <w:trPr>
          <w:tblHeader/>
        </w:trPr>
        <w:tc>
          <w:tcPr>
            <w:tcW w:type="dxa" w:w="3000"/>
            <w:shd w:fill="1F3864" w:val="clear"/>
            <w:tcMar>
              <w:top w:type="dxa" w:w="80"/>
              <w:left w:type="dxa" w:w="100"/>
              <w:bottom w:type="dxa" w:w="80"/>
              <w:right w:type="dxa" w:w="100"/>
            </w:tcMar>
          </w:tcPr>
          <w:p>
            <w:r>
              <w:rPr>
                <w:b/>
                <w:bCs/>
                <w:color w:val="FFFFFF"/>
                <w:sz w:val="19"/>
                <w:szCs w:val="19"/>
              </w:rPr>
              <w:t xml:space="preserve">PRD Phase</w:t>
            </w:r>
          </w:p>
        </w:tc>
        <w:tc>
          <w:tcPr>
            <w:tcW w:type="dxa" w:w="1900"/>
            <w:shd w:fill="1F3864" w:val="clear"/>
            <w:tcMar>
              <w:top w:type="dxa" w:w="80"/>
              <w:left w:type="dxa" w:w="100"/>
              <w:bottom w:type="dxa" w:w="80"/>
              <w:right w:type="dxa" w:w="100"/>
            </w:tcMar>
          </w:tcPr>
          <w:p>
            <w:r>
              <w:rPr>
                <w:b/>
                <w:bCs/>
                <w:color w:val="FFFFFF"/>
                <w:sz w:val="19"/>
                <w:szCs w:val="19"/>
              </w:rPr>
              <w:t xml:space="preserve">Duration</w:t>
            </w:r>
          </w:p>
        </w:tc>
        <w:tc>
          <w:tcPr>
            <w:tcW w:type="dxa" w:w="4450"/>
            <w:shd w:fill="1F3864" w:val="clear"/>
            <w:tcMar>
              <w:top w:type="dxa" w:w="80"/>
              <w:left w:type="dxa" w:w="100"/>
              <w:bottom w:type="dxa" w:w="80"/>
              <w:right w:type="dxa" w:w="100"/>
            </w:tcMar>
          </w:tcPr>
          <w:p>
            <w:r>
              <w:rPr>
                <w:b/>
                <w:bCs/>
                <w:color w:val="FFFFFF"/>
                <w:sz w:val="19"/>
                <w:szCs w:val="19"/>
              </w:rPr>
              <w:t xml:space="preserve">Antigravity Wave(s)</w:t>
            </w:r>
          </w:p>
        </w:tc>
      </w:tr>
      <w:tr>
        <w:tc>
          <w:tcPr>
            <w:tcW w:type="dxa" w:w="3000"/>
            <w:tcMar>
              <w:top w:type="dxa" w:w="80"/>
              <w:left w:type="dxa" w:w="100"/>
              <w:bottom w:type="dxa" w:w="80"/>
              <w:right w:type="dxa" w:w="100"/>
            </w:tcMar>
          </w:tcPr>
          <w:p>
            <w:r>
              <w:rPr>
                <w:b w:val="false"/>
                <w:bCs w:val="false"/>
                <w:color w:val="1A1A1A"/>
                <w:sz w:val="19"/>
                <w:szCs w:val="19"/>
              </w:rPr>
              <w:t xml:space="preserve">Phase 1 — Planning</w:t>
            </w:r>
          </w:p>
        </w:tc>
        <w:tc>
          <w:tcPr>
            <w:tcW w:type="dxa" w:w="1900"/>
            <w:tcMar>
              <w:top w:type="dxa" w:w="80"/>
              <w:left w:type="dxa" w:w="100"/>
              <w:bottom w:type="dxa" w:w="80"/>
              <w:right w:type="dxa" w:w="100"/>
            </w:tcMar>
          </w:tcPr>
          <w:p>
            <w:r>
              <w:rPr>
                <w:b w:val="false"/>
                <w:bCs w:val="false"/>
                <w:color w:val="1A1A1A"/>
                <w:sz w:val="19"/>
                <w:szCs w:val="19"/>
              </w:rPr>
              <w:t xml:space="preserve">1–2 weeks</w:t>
            </w:r>
          </w:p>
        </w:tc>
        <w:tc>
          <w:tcPr>
            <w:tcW w:type="dxa" w:w="4450"/>
            <w:tcMar>
              <w:top w:type="dxa" w:w="80"/>
              <w:left w:type="dxa" w:w="100"/>
              <w:bottom w:type="dxa" w:w="80"/>
              <w:right w:type="dxa" w:w="100"/>
            </w:tcMar>
          </w:tcPr>
          <w:p>
            <w:r>
              <w:rPr>
                <w:b w:val="false"/>
                <w:bCs w:val="false"/>
                <w:color w:val="1A1A1A"/>
                <w:sz w:val="19"/>
                <w:szCs w:val="19"/>
              </w:rPr>
              <w:t xml:space="preserve">Pre-work: this document + SKILL.md authoring</w:t>
            </w:r>
          </w:p>
        </w:tc>
      </w:tr>
      <w:tr>
        <w:tc>
          <w:tcPr>
            <w:tcW w:type="dxa" w:w="3000"/>
            <w:shd w:fill="EAF1FA" w:val="clear"/>
            <w:tcMar>
              <w:top w:type="dxa" w:w="80"/>
              <w:left w:type="dxa" w:w="100"/>
              <w:bottom w:type="dxa" w:w="80"/>
              <w:right w:type="dxa" w:w="100"/>
            </w:tcMar>
          </w:tcPr>
          <w:p>
            <w:r>
              <w:rPr>
                <w:b w:val="false"/>
                <w:bCs w:val="false"/>
                <w:color w:val="1A1A1A"/>
                <w:sz w:val="19"/>
                <w:szCs w:val="19"/>
              </w:rPr>
              <w:t xml:space="preserve">Phase 2 — Authentication</w:t>
            </w:r>
          </w:p>
        </w:tc>
        <w:tc>
          <w:tcPr>
            <w:tcW w:type="dxa" w:w="1900"/>
            <w:shd w:fill="EAF1FA" w:val="clear"/>
            <w:tcMar>
              <w:top w:type="dxa" w:w="80"/>
              <w:left w:type="dxa" w:w="100"/>
              <w:bottom w:type="dxa" w:w="80"/>
              <w:right w:type="dxa" w:w="100"/>
            </w:tcMar>
          </w:tcPr>
          <w:p>
            <w:r>
              <w:rPr>
                <w:b w:val="false"/>
                <w:bCs w:val="false"/>
                <w:color w:val="1A1A1A"/>
                <w:sz w:val="19"/>
                <w:szCs w:val="19"/>
              </w:rPr>
              <w:t xml:space="preserve">1–2 weeks</w:t>
            </w:r>
          </w:p>
        </w:tc>
        <w:tc>
          <w:tcPr>
            <w:tcW w:type="dxa" w:w="4450"/>
            <w:shd w:fill="EAF1FA" w:val="clear"/>
            <w:tcMar>
              <w:top w:type="dxa" w:w="80"/>
              <w:left w:type="dxa" w:w="100"/>
              <w:bottom w:type="dxa" w:w="80"/>
              <w:right w:type="dxa" w:w="100"/>
            </w:tcMar>
          </w:tcPr>
          <w:p>
            <w:r>
              <w:rPr>
                <w:b w:val="false"/>
                <w:bCs w:val="false"/>
                <w:color w:val="1A1A1A"/>
                <w:sz w:val="19"/>
                <w:szCs w:val="19"/>
              </w:rPr>
              <w:t xml:space="preserve">Wave 1</w:t>
            </w:r>
          </w:p>
        </w:tc>
      </w:tr>
      <w:tr>
        <w:tc>
          <w:tcPr>
            <w:tcW w:type="dxa" w:w="3000"/>
            <w:tcMar>
              <w:top w:type="dxa" w:w="80"/>
              <w:left w:type="dxa" w:w="100"/>
              <w:bottom w:type="dxa" w:w="80"/>
              <w:right w:type="dxa" w:w="100"/>
            </w:tcMar>
          </w:tcPr>
          <w:p>
            <w:r>
              <w:rPr>
                <w:b w:val="false"/>
                <w:bCs w:val="false"/>
                <w:color w:val="1A1A1A"/>
                <w:sz w:val="19"/>
                <w:szCs w:val="19"/>
              </w:rPr>
              <w:t xml:space="preserve">Phase 3 — Messaging</w:t>
            </w:r>
          </w:p>
        </w:tc>
        <w:tc>
          <w:tcPr>
            <w:tcW w:type="dxa" w:w="1900"/>
            <w:tcMar>
              <w:top w:type="dxa" w:w="80"/>
              <w:left w:type="dxa" w:w="100"/>
              <w:bottom w:type="dxa" w:w="80"/>
              <w:right w:type="dxa" w:w="100"/>
            </w:tcMar>
          </w:tcPr>
          <w:p>
            <w:r>
              <w:rPr>
                <w:b w:val="false"/>
                <w:bCs w:val="false"/>
                <w:color w:val="1A1A1A"/>
                <w:sz w:val="19"/>
                <w:szCs w:val="19"/>
              </w:rPr>
              <w:t xml:space="preserve">3–4 weeks</w:t>
            </w:r>
          </w:p>
        </w:tc>
        <w:tc>
          <w:tcPr>
            <w:tcW w:type="dxa" w:w="4450"/>
            <w:tcMar>
              <w:top w:type="dxa" w:w="80"/>
              <w:left w:type="dxa" w:w="100"/>
              <w:bottom w:type="dxa" w:w="80"/>
              <w:right w:type="dxa" w:w="100"/>
            </w:tcMar>
          </w:tcPr>
          <w:p>
            <w:r>
              <w:rPr>
                <w:b w:val="false"/>
                <w:bCs w:val="false"/>
                <w:color w:val="1A1A1A"/>
                <w:sz w:val="19"/>
                <w:szCs w:val="19"/>
              </w:rPr>
              <w:t xml:space="preserve">Wave 2 (Chat/Media/Notification)</w:t>
            </w:r>
          </w:p>
        </w:tc>
      </w:tr>
      <w:tr>
        <w:tc>
          <w:tcPr>
            <w:tcW w:type="dxa" w:w="3000"/>
            <w:shd w:fill="EAF1FA" w:val="clear"/>
            <w:tcMar>
              <w:top w:type="dxa" w:w="80"/>
              <w:left w:type="dxa" w:w="100"/>
              <w:bottom w:type="dxa" w:w="80"/>
              <w:right w:type="dxa" w:w="100"/>
            </w:tcMar>
          </w:tcPr>
          <w:p>
            <w:r>
              <w:rPr>
                <w:b w:val="false"/>
                <w:bCs w:val="false"/>
                <w:color w:val="1A1A1A"/>
                <w:sz w:val="19"/>
                <w:szCs w:val="19"/>
              </w:rPr>
              <w:t xml:space="preserve">Phase 4 — Voice/Video Calling</w:t>
            </w:r>
          </w:p>
        </w:tc>
        <w:tc>
          <w:tcPr>
            <w:tcW w:type="dxa" w:w="1900"/>
            <w:shd w:fill="EAF1FA" w:val="clear"/>
            <w:tcMar>
              <w:top w:type="dxa" w:w="80"/>
              <w:left w:type="dxa" w:w="100"/>
              <w:bottom w:type="dxa" w:w="80"/>
              <w:right w:type="dxa" w:w="100"/>
            </w:tcMar>
          </w:tcPr>
          <w:p>
            <w:r>
              <w:rPr>
                <w:b w:val="false"/>
                <w:bCs w:val="false"/>
                <w:color w:val="1A1A1A"/>
                <w:sz w:val="19"/>
                <w:szCs w:val="19"/>
              </w:rPr>
              <w:t xml:space="preserve">3–5 weeks</w:t>
            </w:r>
          </w:p>
        </w:tc>
        <w:tc>
          <w:tcPr>
            <w:tcW w:type="dxa" w:w="4450"/>
            <w:shd w:fill="EAF1FA" w:val="clear"/>
            <w:tcMar>
              <w:top w:type="dxa" w:w="80"/>
              <w:left w:type="dxa" w:w="100"/>
              <w:bottom w:type="dxa" w:w="80"/>
              <w:right w:type="dxa" w:w="100"/>
            </w:tcMar>
          </w:tcPr>
          <w:p>
            <w:r>
              <w:rPr>
                <w:b w:val="false"/>
                <w:bCs w:val="false"/>
                <w:color w:val="1A1A1A"/>
                <w:sz w:val="19"/>
                <w:szCs w:val="19"/>
              </w:rPr>
              <w:t xml:space="preserve">Wave 2 (Call Service) + Wave 4 (Android call UI)</w:t>
            </w:r>
          </w:p>
        </w:tc>
      </w:tr>
      <w:tr>
        <w:tc>
          <w:tcPr>
            <w:tcW w:type="dxa" w:w="3000"/>
            <w:tcMar>
              <w:top w:type="dxa" w:w="80"/>
              <w:left w:type="dxa" w:w="100"/>
              <w:bottom w:type="dxa" w:w="80"/>
              <w:right w:type="dxa" w:w="100"/>
            </w:tcMar>
          </w:tcPr>
          <w:p>
            <w:r>
              <w:rPr>
                <w:b w:val="false"/>
                <w:bCs w:val="false"/>
                <w:color w:val="1A1A1A"/>
                <w:sz w:val="19"/>
                <w:szCs w:val="19"/>
              </w:rPr>
              <w:t xml:space="preserve">Phase 5 — Battery Protection</w:t>
            </w:r>
          </w:p>
        </w:tc>
        <w:tc>
          <w:tcPr>
            <w:tcW w:type="dxa" w:w="1900"/>
            <w:tcMar>
              <w:top w:type="dxa" w:w="80"/>
              <w:left w:type="dxa" w:w="100"/>
              <w:bottom w:type="dxa" w:w="80"/>
              <w:right w:type="dxa" w:w="100"/>
            </w:tcMar>
          </w:tcPr>
          <w:p>
            <w:r>
              <w:rPr>
                <w:b w:val="false"/>
                <w:bCs w:val="false"/>
                <w:color w:val="1A1A1A"/>
                <w:sz w:val="19"/>
                <w:szCs w:val="19"/>
              </w:rPr>
              <w:t xml:space="preserve">1–2 weeks</w:t>
            </w:r>
          </w:p>
        </w:tc>
        <w:tc>
          <w:tcPr>
            <w:tcW w:type="dxa" w:w="4450"/>
            <w:tcMar>
              <w:top w:type="dxa" w:w="80"/>
              <w:left w:type="dxa" w:w="100"/>
              <w:bottom w:type="dxa" w:w="80"/>
              <w:right w:type="dxa" w:w="100"/>
            </w:tcMar>
          </w:tcPr>
          <w:p>
            <w:r>
              <w:rPr>
                <w:b w:val="false"/>
                <w:bCs w:val="false"/>
                <w:color w:val="1A1A1A"/>
                <w:sz w:val="19"/>
                <w:szCs w:val="19"/>
              </w:rPr>
              <w:t xml:space="preserve">Wave 3 (dedicated)</w:t>
            </w:r>
          </w:p>
        </w:tc>
      </w:tr>
      <w:tr>
        <w:tc>
          <w:tcPr>
            <w:tcW w:type="dxa" w:w="3000"/>
            <w:shd w:fill="EAF1FA" w:val="clear"/>
            <w:tcMar>
              <w:top w:type="dxa" w:w="80"/>
              <w:left w:type="dxa" w:w="100"/>
              <w:bottom w:type="dxa" w:w="80"/>
              <w:right w:type="dxa" w:w="100"/>
            </w:tcMar>
          </w:tcPr>
          <w:p>
            <w:r>
              <w:rPr>
                <w:b w:val="false"/>
                <w:bCs w:val="false"/>
                <w:color w:val="1A1A1A"/>
                <w:sz w:val="19"/>
                <w:szCs w:val="19"/>
              </w:rPr>
              <w:t xml:space="preserve">Phase 6 — Testing</w:t>
            </w:r>
          </w:p>
        </w:tc>
        <w:tc>
          <w:tcPr>
            <w:tcW w:type="dxa" w:w="1900"/>
            <w:shd w:fill="EAF1FA" w:val="clear"/>
            <w:tcMar>
              <w:top w:type="dxa" w:w="80"/>
              <w:left w:type="dxa" w:w="100"/>
              <w:bottom w:type="dxa" w:w="80"/>
              <w:right w:type="dxa" w:w="100"/>
            </w:tcMar>
          </w:tcPr>
          <w:p>
            <w:r>
              <w:rPr>
                <w:b w:val="false"/>
                <w:bCs w:val="false"/>
                <w:color w:val="1A1A1A"/>
                <w:sz w:val="19"/>
                <w:szCs w:val="19"/>
              </w:rPr>
              <w:t xml:space="preserve">2–3 weeks</w:t>
            </w:r>
          </w:p>
        </w:tc>
        <w:tc>
          <w:tcPr>
            <w:tcW w:type="dxa" w:w="4450"/>
            <w:shd w:fill="EAF1FA" w:val="clear"/>
            <w:tcMar>
              <w:top w:type="dxa" w:w="80"/>
              <w:left w:type="dxa" w:w="100"/>
              <w:bottom w:type="dxa" w:w="80"/>
              <w:right w:type="dxa" w:w="100"/>
            </w:tcMar>
          </w:tcPr>
          <w:p>
            <w:r>
              <w:rPr>
                <w:b w:val="false"/>
                <w:bCs w:val="false"/>
                <w:color w:val="1A1A1A"/>
                <w:sz w:val="19"/>
                <w:szCs w:val="19"/>
              </w:rPr>
              <w:t xml:space="preserve">Wave 6</w:t>
            </w:r>
          </w:p>
        </w:tc>
      </w:tr>
      <w:tr>
        <w:tc>
          <w:tcPr>
            <w:tcW w:type="dxa" w:w="3000"/>
            <w:tcMar>
              <w:top w:type="dxa" w:w="80"/>
              <w:left w:type="dxa" w:w="100"/>
              <w:bottom w:type="dxa" w:w="80"/>
              <w:right w:type="dxa" w:w="100"/>
            </w:tcMar>
          </w:tcPr>
          <w:p>
            <w:r>
              <w:rPr>
                <w:b w:val="false"/>
                <w:bCs w:val="false"/>
                <w:color w:val="1A1A1A"/>
                <w:sz w:val="19"/>
                <w:szCs w:val="19"/>
              </w:rPr>
              <w:t xml:space="preserve">Phase 7 — Production</w:t>
            </w:r>
          </w:p>
        </w:tc>
        <w:tc>
          <w:tcPr>
            <w:tcW w:type="dxa" w:w="1900"/>
            <w:tcMar>
              <w:top w:type="dxa" w:w="80"/>
              <w:left w:type="dxa" w:w="100"/>
              <w:bottom w:type="dxa" w:w="80"/>
              <w:right w:type="dxa" w:w="100"/>
            </w:tcMar>
          </w:tcPr>
          <w:p>
            <w:r>
              <w:rPr>
                <w:b w:val="false"/>
                <w:bCs w:val="false"/>
                <w:color w:val="1A1A1A"/>
                <w:sz w:val="19"/>
                <w:szCs w:val="19"/>
              </w:rPr>
              <w:t xml:space="preserve">ongoing</w:t>
            </w:r>
          </w:p>
        </w:tc>
        <w:tc>
          <w:tcPr>
            <w:tcW w:type="dxa" w:w="4450"/>
            <w:tcMar>
              <w:top w:type="dxa" w:w="80"/>
              <w:left w:type="dxa" w:w="100"/>
              <w:bottom w:type="dxa" w:w="80"/>
              <w:right w:type="dxa" w:w="100"/>
            </w:tcMar>
          </w:tcPr>
          <w:p>
            <w:r>
              <w:rPr>
                <w:b w:val="false"/>
                <w:bCs w:val="false"/>
                <w:color w:val="1A1A1A"/>
                <w:sz w:val="19"/>
                <w:szCs w:val="19"/>
              </w:rPr>
              <w:t xml:space="preserve">Post-Wave 6: infra deploy, monitoring, release</w:t>
            </w:r>
          </w:p>
        </w:tc>
      </w:tr>
    </w:tbl>
    <w:p>
      <w:pPr>
        <w:pStyle w:val="Heading1"/>
        <w:pBdr>
          <w:bottom w:val="single" w:color="2E75B6" w:sz="8" w:space="4"/>
        </w:pBdr>
        <w:spacing w:after="200" w:before="480"/>
      </w:pPr>
      <w:r>
        <w:rPr>
          <w:b/>
          <w:bCs/>
          <w:color w:val="1F3864"/>
          <w:sz w:val="30"/>
          <w:szCs w:val="30"/>
        </w:rPr>
        <w:t xml:space="preserve">13. Appendix — Consolidated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80"/>
              <w:left w:type="dxa" w:w="100"/>
              <w:bottom w:type="dxa" w:w="80"/>
              <w:right w:type="dxa" w:w="100"/>
            </w:tcMar>
          </w:tcPr>
          <w:p>
            <w:r>
              <w:rPr>
                <w:b/>
                <w:bCs/>
                <w:color w:val="FFFFFF"/>
                <w:sz w:val="19"/>
                <w:szCs w:val="19"/>
              </w:rPr>
              <w:t xml:space="preserve">Layer</w:t>
            </w:r>
          </w:p>
        </w:tc>
        <w:tc>
          <w:tcPr>
            <w:tcW w:type="dxa" w:w="6750"/>
            <w:shd w:fill="1F3864" w:val="clear"/>
            <w:tcMar>
              <w:top w:type="dxa" w:w="80"/>
              <w:left w:type="dxa" w:w="100"/>
              <w:bottom w:type="dxa" w:w="80"/>
              <w:right w:type="dxa" w:w="100"/>
            </w:tcMar>
          </w:tcPr>
          <w:p>
            <w:r>
              <w:rPr>
                <w:b/>
                <w:bCs/>
                <w:color w:val="FFFFFF"/>
                <w:sz w:val="19"/>
                <w:szCs w:val="19"/>
              </w:rPr>
              <w:t xml:space="preserve">Choice</w:t>
            </w:r>
          </w:p>
        </w:tc>
      </w:tr>
      <w:tr>
        <w:tc>
          <w:tcPr>
            <w:tcW w:type="dxa" w:w="2600"/>
            <w:tcMar>
              <w:top w:type="dxa" w:w="80"/>
              <w:left w:type="dxa" w:w="100"/>
              <w:bottom w:type="dxa" w:w="80"/>
              <w:right w:type="dxa" w:w="100"/>
            </w:tcMar>
          </w:tcPr>
          <w:p>
            <w:r>
              <w:rPr>
                <w:b w:val="false"/>
                <w:bCs w:val="false"/>
                <w:color w:val="1A1A1A"/>
                <w:sz w:val="19"/>
                <w:szCs w:val="19"/>
              </w:rPr>
              <w:t xml:space="preserve">Mobile</w:t>
            </w:r>
          </w:p>
        </w:tc>
        <w:tc>
          <w:tcPr>
            <w:tcW w:type="dxa" w:w="6750"/>
            <w:tcMar>
              <w:top w:type="dxa" w:w="80"/>
              <w:left w:type="dxa" w:w="100"/>
              <w:bottom w:type="dxa" w:w="80"/>
              <w:right w:type="dxa" w:w="100"/>
            </w:tcMar>
          </w:tcPr>
          <w:p>
            <w:r>
              <w:rPr>
                <w:b w:val="false"/>
                <w:bCs w:val="false"/>
                <w:color w:val="1A1A1A"/>
                <w:sz w:val="19"/>
                <w:szCs w:val="19"/>
              </w:rPr>
              <w:t xml:space="preserve">Kotlin, Jetpack Compose, Clean Architecture/MVVM, Hilt, WebRTC SDK</w:t>
            </w:r>
          </w:p>
        </w:tc>
      </w:tr>
      <w:tr>
        <w:tc>
          <w:tcPr>
            <w:tcW w:type="dxa" w:w="2600"/>
            <w:shd w:fill="EAF1FA" w:val="clear"/>
            <w:tcMar>
              <w:top w:type="dxa" w:w="80"/>
              <w:left w:type="dxa" w:w="100"/>
              <w:bottom w:type="dxa" w:w="80"/>
              <w:right w:type="dxa" w:w="100"/>
            </w:tcMar>
          </w:tcPr>
          <w:p>
            <w:r>
              <w:rPr>
                <w:b w:val="false"/>
                <w:bCs w:val="false"/>
                <w:color w:val="1A1A1A"/>
                <w:sz w:val="19"/>
                <w:szCs w:val="19"/>
              </w:rPr>
              <w:t xml:space="preserve">Backend</w:t>
            </w:r>
          </w:p>
        </w:tc>
        <w:tc>
          <w:tcPr>
            <w:tcW w:type="dxa" w:w="6750"/>
            <w:shd w:fill="EAF1FA" w:val="clear"/>
            <w:tcMar>
              <w:top w:type="dxa" w:w="80"/>
              <w:left w:type="dxa" w:w="100"/>
              <w:bottom w:type="dxa" w:w="80"/>
              <w:right w:type="dxa" w:w="100"/>
            </w:tcMar>
          </w:tcPr>
          <w:p>
            <w:r>
              <w:rPr>
                <w:b w:val="false"/>
                <w:bCs w:val="false"/>
                <w:color w:val="1A1A1A"/>
                <w:sz w:val="19"/>
                <w:szCs w:val="19"/>
              </w:rPr>
              <w:t xml:space="preserve">Java 21, Spring Boot 3, Spring Data JPA, Spring Cloud Gateway</w:t>
            </w:r>
          </w:p>
        </w:tc>
      </w:tr>
      <w:tr>
        <w:tc>
          <w:tcPr>
            <w:tcW w:type="dxa" w:w="2600"/>
            <w:tcMar>
              <w:top w:type="dxa" w:w="80"/>
              <w:left w:type="dxa" w:w="100"/>
              <w:bottom w:type="dxa" w:w="80"/>
              <w:right w:type="dxa" w:w="100"/>
            </w:tcMar>
          </w:tcPr>
          <w:p>
            <w:r>
              <w:rPr>
                <w:b w:val="false"/>
                <w:bCs w:val="false"/>
                <w:color w:val="1A1A1A"/>
                <w:sz w:val="19"/>
                <w:szCs w:val="19"/>
              </w:rPr>
              <w:t xml:space="preserve">Real-time</w:t>
            </w:r>
          </w:p>
        </w:tc>
        <w:tc>
          <w:tcPr>
            <w:tcW w:type="dxa" w:w="6750"/>
            <w:tcMar>
              <w:top w:type="dxa" w:w="80"/>
              <w:left w:type="dxa" w:w="100"/>
              <w:bottom w:type="dxa" w:w="80"/>
              <w:right w:type="dxa" w:w="100"/>
            </w:tcMar>
          </w:tcPr>
          <w:p>
            <w:r>
              <w:rPr>
                <w:b w:val="false"/>
                <w:bCs w:val="false"/>
                <w:color w:val="1A1A1A"/>
                <w:sz w:val="19"/>
                <w:szCs w:val="19"/>
              </w:rPr>
              <w:t xml:space="preserve">WebSocket (STOMP), WebRTC, STUN/TURN</w:t>
            </w:r>
          </w:p>
        </w:tc>
      </w:tr>
      <w:tr>
        <w:tc>
          <w:tcPr>
            <w:tcW w:type="dxa" w:w="2600"/>
            <w:shd w:fill="EAF1FA" w:val="clear"/>
            <w:tcMar>
              <w:top w:type="dxa" w:w="80"/>
              <w:left w:type="dxa" w:w="100"/>
              <w:bottom w:type="dxa" w:w="80"/>
              <w:right w:type="dxa" w:w="100"/>
            </w:tcMar>
          </w:tcPr>
          <w:p>
            <w:r>
              <w:rPr>
                <w:b w:val="false"/>
                <w:bCs w:val="false"/>
                <w:color w:val="1A1A1A"/>
                <w:sz w:val="19"/>
                <w:szCs w:val="19"/>
              </w:rPr>
              <w:t xml:space="preserve">Database</w:t>
            </w:r>
          </w:p>
        </w:tc>
        <w:tc>
          <w:tcPr>
            <w:tcW w:type="dxa" w:w="6750"/>
            <w:shd w:fill="EAF1FA" w:val="clear"/>
            <w:tcMar>
              <w:top w:type="dxa" w:w="80"/>
              <w:left w:type="dxa" w:w="100"/>
              <w:bottom w:type="dxa" w:w="80"/>
              <w:right w:type="dxa" w:w="100"/>
            </w:tcMar>
          </w:tcPr>
          <w:p>
            <w:r>
              <w:rPr>
                <w:b w:val="false"/>
                <w:bCs w:val="false"/>
                <w:color w:val="1A1A1A"/>
                <w:sz w:val="19"/>
                <w:szCs w:val="19"/>
              </w:rPr>
              <w:t xml:space="preserve">PostgreSQL (system of record), Redis (cache/presence/live state)</w:t>
            </w:r>
          </w:p>
        </w:tc>
      </w:tr>
      <w:tr>
        <w:tc>
          <w:tcPr>
            <w:tcW w:type="dxa" w:w="2600"/>
            <w:tcMar>
              <w:top w:type="dxa" w:w="80"/>
              <w:left w:type="dxa" w:w="100"/>
              <w:bottom w:type="dxa" w:w="80"/>
              <w:right w:type="dxa" w:w="100"/>
            </w:tcMar>
          </w:tcPr>
          <w:p>
            <w:r>
              <w:rPr>
                <w:b w:val="false"/>
                <w:bCs w:val="false"/>
                <w:color w:val="1A1A1A"/>
                <w:sz w:val="19"/>
                <w:szCs w:val="19"/>
              </w:rPr>
              <w:t xml:space="preserve">Storage</w:t>
            </w:r>
          </w:p>
        </w:tc>
        <w:tc>
          <w:tcPr>
            <w:tcW w:type="dxa" w:w="6750"/>
            <w:tcMar>
              <w:top w:type="dxa" w:w="80"/>
              <w:left w:type="dxa" w:w="100"/>
              <w:bottom w:type="dxa" w:w="80"/>
              <w:right w:type="dxa" w:w="100"/>
            </w:tcMar>
          </w:tcPr>
          <w:p>
            <w:r>
              <w:rPr>
                <w:b w:val="false"/>
                <w:bCs w:val="false"/>
                <w:color w:val="1A1A1A"/>
                <w:sz w:val="19"/>
                <w:szCs w:val="19"/>
              </w:rPr>
              <w:t xml:space="preserve">Amazon S3 + CloudFront CDN</w:t>
            </w:r>
          </w:p>
        </w:tc>
      </w:tr>
      <w:tr>
        <w:tc>
          <w:tcPr>
            <w:tcW w:type="dxa" w:w="2600"/>
            <w:shd w:fill="EAF1FA" w:val="clear"/>
            <w:tcMar>
              <w:top w:type="dxa" w:w="80"/>
              <w:left w:type="dxa" w:w="100"/>
              <w:bottom w:type="dxa" w:w="80"/>
              <w:right w:type="dxa" w:w="100"/>
            </w:tcMar>
          </w:tcPr>
          <w:p>
            <w:r>
              <w:rPr>
                <w:b w:val="false"/>
                <w:bCs w:val="false"/>
                <w:color w:val="1A1A1A"/>
                <w:sz w:val="19"/>
                <w:szCs w:val="19"/>
              </w:rPr>
              <w:t xml:space="preserve">Messaging/Eventing</w:t>
            </w:r>
          </w:p>
        </w:tc>
        <w:tc>
          <w:tcPr>
            <w:tcW w:type="dxa" w:w="6750"/>
            <w:shd w:fill="EAF1FA" w:val="clear"/>
            <w:tcMar>
              <w:top w:type="dxa" w:w="80"/>
              <w:left w:type="dxa" w:w="100"/>
              <w:bottom w:type="dxa" w:w="80"/>
              <w:right w:type="dxa" w:w="100"/>
            </w:tcMar>
          </w:tcPr>
          <w:p>
            <w:r>
              <w:rPr>
                <w:b w:val="false"/>
                <w:bCs w:val="false"/>
                <w:color w:val="1A1A1A"/>
                <w:sz w:val="19"/>
                <w:szCs w:val="19"/>
              </w:rPr>
              <w:t xml:space="preserve">Apache Kafka</w:t>
            </w:r>
          </w:p>
        </w:tc>
      </w:tr>
      <w:tr>
        <w:tc>
          <w:tcPr>
            <w:tcW w:type="dxa" w:w="2600"/>
            <w:tcMar>
              <w:top w:type="dxa" w:w="80"/>
              <w:left w:type="dxa" w:w="100"/>
              <w:bottom w:type="dxa" w:w="80"/>
              <w:right w:type="dxa" w:w="100"/>
            </w:tcMar>
          </w:tcPr>
          <w:p>
            <w:r>
              <w:rPr>
                <w:b w:val="false"/>
                <w:bCs w:val="false"/>
                <w:color w:val="1A1A1A"/>
                <w:sz w:val="19"/>
                <w:szCs w:val="19"/>
              </w:rPr>
              <w:t xml:space="preserve">Push</w:t>
            </w:r>
          </w:p>
        </w:tc>
        <w:tc>
          <w:tcPr>
            <w:tcW w:type="dxa" w:w="6750"/>
            <w:tcMar>
              <w:top w:type="dxa" w:w="80"/>
              <w:left w:type="dxa" w:w="100"/>
              <w:bottom w:type="dxa" w:w="80"/>
              <w:right w:type="dxa" w:w="100"/>
            </w:tcMar>
          </w:tcPr>
          <w:p>
            <w:r>
              <w:rPr>
                <w:b w:val="false"/>
                <w:bCs w:val="false"/>
                <w:color w:val="1A1A1A"/>
                <w:sz w:val="19"/>
                <w:szCs w:val="19"/>
              </w:rPr>
              <w:t xml:space="preserve">Firebase Cloud Messaging</w:t>
            </w:r>
          </w:p>
        </w:tc>
      </w:tr>
      <w:tr>
        <w:tc>
          <w:tcPr>
            <w:tcW w:type="dxa" w:w="2600"/>
            <w:shd w:fill="EAF1FA" w:val="clear"/>
            <w:tcMar>
              <w:top w:type="dxa" w:w="80"/>
              <w:left w:type="dxa" w:w="100"/>
              <w:bottom w:type="dxa" w:w="80"/>
              <w:right w:type="dxa" w:w="100"/>
            </w:tcMar>
          </w:tcPr>
          <w:p>
            <w:r>
              <w:rPr>
                <w:b w:val="false"/>
                <w:bCs w:val="false"/>
                <w:color w:val="1A1A1A"/>
                <w:sz w:val="19"/>
                <w:szCs w:val="19"/>
              </w:rPr>
              <w:t xml:space="preserve">Auth</w:t>
            </w:r>
          </w:p>
        </w:tc>
        <w:tc>
          <w:tcPr>
            <w:tcW w:type="dxa" w:w="6750"/>
            <w:shd w:fill="EAF1FA" w:val="clear"/>
            <w:tcMar>
              <w:top w:type="dxa" w:w="80"/>
              <w:left w:type="dxa" w:w="100"/>
              <w:bottom w:type="dxa" w:w="80"/>
              <w:right w:type="dxa" w:w="100"/>
            </w:tcMar>
          </w:tcPr>
          <w:p>
            <w:r>
              <w:rPr>
                <w:b w:val="false"/>
                <w:bCs w:val="false"/>
                <w:color w:val="1A1A1A"/>
                <w:sz w:val="19"/>
                <w:szCs w:val="19"/>
              </w:rPr>
              <w:t xml:space="preserve">JWT + OTP, optional 2FA</w:t>
            </w:r>
          </w:p>
        </w:tc>
      </w:tr>
      <w:tr>
        <w:tc>
          <w:tcPr>
            <w:tcW w:type="dxa" w:w="2600"/>
            <w:tcMar>
              <w:top w:type="dxa" w:w="80"/>
              <w:left w:type="dxa" w:w="100"/>
              <w:bottom w:type="dxa" w:w="80"/>
              <w:right w:type="dxa" w:w="100"/>
            </w:tcMar>
          </w:tcPr>
          <w:p>
            <w:r>
              <w:rPr>
                <w:b w:val="false"/>
                <w:bCs w:val="false"/>
                <w:color w:val="1A1A1A"/>
                <w:sz w:val="19"/>
                <w:szCs w:val="19"/>
              </w:rPr>
              <w:t xml:space="preserve">Infra</w:t>
            </w:r>
          </w:p>
        </w:tc>
        <w:tc>
          <w:tcPr>
            <w:tcW w:type="dxa" w:w="6750"/>
            <w:tcMar>
              <w:top w:type="dxa" w:w="80"/>
              <w:left w:type="dxa" w:w="100"/>
              <w:bottom w:type="dxa" w:w="80"/>
              <w:right w:type="dxa" w:w="100"/>
            </w:tcMar>
          </w:tcPr>
          <w:p>
            <w:r>
              <w:rPr>
                <w:b w:val="false"/>
                <w:bCs w:val="false"/>
                <w:color w:val="1A1A1A"/>
                <w:sz w:val="19"/>
                <w:szCs w:val="19"/>
              </w:rPr>
              <w:t xml:space="preserve">Docker, AWS ECS/EKS, Terraform, GitHub Actions</w:t>
            </w:r>
          </w:p>
        </w:tc>
      </w:tr>
      <w:tr>
        <w:tc>
          <w:tcPr>
            <w:tcW w:type="dxa" w:w="2600"/>
            <w:shd w:fill="EAF1FA" w:val="clear"/>
            <w:tcMar>
              <w:top w:type="dxa" w:w="80"/>
              <w:left w:type="dxa" w:w="100"/>
              <w:bottom w:type="dxa" w:w="80"/>
              <w:right w:type="dxa" w:w="100"/>
            </w:tcMar>
          </w:tcPr>
          <w:p>
            <w:r>
              <w:rPr>
                <w:b w:val="false"/>
                <w:bCs w:val="false"/>
                <w:color w:val="1A1A1A"/>
                <w:sz w:val="19"/>
                <w:szCs w:val="19"/>
              </w:rPr>
              <w:t xml:space="preserve">Observability</w:t>
            </w:r>
          </w:p>
        </w:tc>
        <w:tc>
          <w:tcPr>
            <w:tcW w:type="dxa" w:w="6750"/>
            <w:shd w:fill="EAF1FA" w:val="clear"/>
            <w:tcMar>
              <w:top w:type="dxa" w:w="80"/>
              <w:left w:type="dxa" w:w="100"/>
              <w:bottom w:type="dxa" w:w="80"/>
              <w:right w:type="dxa" w:w="100"/>
            </w:tcMar>
          </w:tcPr>
          <w:p>
            <w:r>
              <w:rPr>
                <w:b w:val="false"/>
                <w:bCs w:val="false"/>
                <w:color w:val="1A1A1A"/>
                <w:sz w:val="19"/>
                <w:szCs w:val="19"/>
              </w:rPr>
              <w:t xml:space="preserve">CloudWatch, Prometheus, Grafana, Sentry/Crashlytics</w:t>
            </w:r>
          </w:p>
        </w:tc>
      </w:tr>
      <w:tr>
        <w:tc>
          <w:tcPr>
            <w:tcW w:type="dxa" w:w="2600"/>
            <w:tcMar>
              <w:top w:type="dxa" w:w="80"/>
              <w:left w:type="dxa" w:w="100"/>
              <w:bottom w:type="dxa" w:w="80"/>
              <w:right w:type="dxa" w:w="100"/>
            </w:tcMar>
          </w:tcPr>
          <w:p>
            <w:r>
              <w:rPr>
                <w:b w:val="false"/>
                <w:bCs w:val="false"/>
                <w:color w:val="1A1A1A"/>
                <w:sz w:val="19"/>
                <w:szCs w:val="19"/>
              </w:rPr>
              <w:t xml:space="preserve">Build toolchain</w:t>
            </w:r>
          </w:p>
        </w:tc>
        <w:tc>
          <w:tcPr>
            <w:tcW w:type="dxa" w:w="6750"/>
            <w:tcMar>
              <w:top w:type="dxa" w:w="80"/>
              <w:left w:type="dxa" w:w="100"/>
              <w:bottom w:type="dxa" w:w="80"/>
              <w:right w:type="dxa" w:w="100"/>
            </w:tcMar>
          </w:tcPr>
          <w:p>
            <w:r>
              <w:rPr>
                <w:b w:val="false"/>
                <w:bCs w:val="false"/>
                <w:color w:val="1A1A1A"/>
                <w:sz w:val="19"/>
                <w:szCs w:val="19"/>
              </w:rPr>
              <w:t xml:space="preserve">Google Antigravity (Agent Manager + Editor), Gemini 3 Pro/Flash, Claude Sonnet</w:t>
            </w:r>
          </w:p>
        </w:tc>
      </w:tr>
    </w:tbl>
    <w:p>
      <w:pPr>
        <w:spacing w:after="160" w:line="300"/>
      </w:pPr>
      <w:r>
        <w:rPr>
          <w:color w:val="1A1A1A"/>
          <w:sz w:val="21"/>
          <w:szCs w:val="21"/>
        </w:rPr>
        <w:t xml:space="preserve"/>
      </w:r>
    </w:p>
    <w:p>
      <w:pPr>
        <w:spacing w:after="160" w:line="300"/>
      </w:pPr>
      <w:r>
        <w:rPr>
          <w:i/>
          <w:iCs/>
          <w:color w:val="595959"/>
          <w:sz w:val="21"/>
          <w:szCs w:val="21"/>
        </w:rPr>
        <w:t xml:space="preserve">— End of Document —</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Battery-Aware Communication Platform —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2026-08-12T17:03:41.393Z</dcterms:created>
  <dcterms:modified xsi:type="dcterms:W3CDTF">2026-08-12T17:03:41.406Z</dcterms:modified>
</cp:coreProperties>
</file>

<file path=docProps/custom.xml><?xml version="1.0" encoding="utf-8"?>
<Properties xmlns="http://schemas.openxmlformats.org/officeDocument/2006/custom-properties" xmlns:vt="http://schemas.openxmlformats.org/officeDocument/2006/docPropsVTypes"/>
</file>