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EED811" w14:textId="7CE161BA" w:rsidR="002F7A42" w:rsidRPr="002F7A42" w:rsidRDefault="002F7A42" w:rsidP="002D5CEB">
      <w:pPr>
        <w:pStyle w:val="NormalWeb"/>
        <w:spacing w:before="0" w:beforeAutospacing="0" w:after="0" w:afterAutospacing="0" w:line="480" w:lineRule="auto"/>
      </w:pPr>
      <w:r w:rsidRPr="002F7A42">
        <w:t>&lt;</w:t>
      </w:r>
      <w:proofErr w:type="gramStart"/>
      <w:r w:rsidRPr="002F7A42">
        <w:t>front-open</w:t>
      </w:r>
      <w:proofErr w:type="gramEnd"/>
      <w:r w:rsidRPr="002F7A42">
        <w:t>&gt;</w:t>
      </w:r>
    </w:p>
    <w:p w14:paraId="368F850A" w14:textId="28E3BA5A" w:rsidR="00131B6F" w:rsidRPr="002D5CEB" w:rsidRDefault="00AF40B8" w:rsidP="002D5CEB">
      <w:pPr>
        <w:pStyle w:val="CN"/>
        <w:spacing w:before="0" w:beforeAutospacing="0" w:after="0" w:afterAutospacing="0" w:line="480" w:lineRule="auto"/>
        <w:rPr>
          <w:b/>
          <w:bCs/>
          <w:color w:val="FF0000"/>
        </w:rPr>
      </w:pPr>
      <w:r w:rsidRPr="002D5CEB">
        <w:rPr>
          <w:b/>
          <w:bCs/>
          <w:color w:val="0000FF"/>
        </w:rPr>
        <w:t>&lt;CN&gt;</w:t>
      </w:r>
      <w:r w:rsidR="00131B6F" w:rsidRPr="002D5CEB">
        <w:rPr>
          <w:b/>
          <w:bCs/>
          <w:color w:val="FF0000"/>
        </w:rPr>
        <w:t>Chapter 6.9</w:t>
      </w:r>
    </w:p>
    <w:p w14:paraId="59B5FD5E" w14:textId="068674BC" w:rsidR="007B7017" w:rsidRPr="002D5CEB" w:rsidRDefault="00AF40B8" w:rsidP="002D5CEB">
      <w:pPr>
        <w:pStyle w:val="CT"/>
        <w:spacing w:before="0" w:beforeAutospacing="0" w:after="0" w:afterAutospacing="0" w:line="480" w:lineRule="auto"/>
        <w:rPr>
          <w:b/>
          <w:bCs/>
          <w:color w:val="FF0000"/>
        </w:rPr>
      </w:pPr>
      <w:r w:rsidRPr="002D5CEB">
        <w:rPr>
          <w:b/>
          <w:bCs/>
          <w:color w:val="0000FF"/>
        </w:rPr>
        <w:t>&lt;CT&gt;</w:t>
      </w:r>
      <w:r w:rsidR="00FE68CD" w:rsidRPr="002D5CEB">
        <w:rPr>
          <w:b/>
          <w:bCs/>
          <w:color w:val="FF0000"/>
        </w:rPr>
        <w:t>Critical Care Management of Severe Immune-Related Adverse Events</w:t>
      </w:r>
    </w:p>
    <w:p w14:paraId="00AC05EC" w14:textId="357C5880" w:rsidR="00FE68CD" w:rsidRDefault="0078129C" w:rsidP="002D5CEB">
      <w:pPr>
        <w:pStyle w:val="CAU"/>
        <w:spacing w:before="0" w:beforeAutospacing="0" w:after="0" w:afterAutospacing="0" w:line="480" w:lineRule="auto"/>
      </w:pPr>
      <w:r w:rsidRPr="002D5CEB">
        <w:rPr>
          <w:b/>
          <w:bCs/>
          <w:color w:val="0000FF"/>
        </w:rPr>
        <w:t>&lt;CAU&gt;</w:t>
      </w:r>
      <w:r w:rsidR="00FE68CD" w:rsidRPr="002D5CEB">
        <w:t xml:space="preserve">Chia-Yun Wu, </w:t>
      </w:r>
      <w:proofErr w:type="spellStart"/>
      <w:r w:rsidR="00FE68CD" w:rsidRPr="002D5CEB">
        <w:t>Maysa</w:t>
      </w:r>
      <w:proofErr w:type="spellEnd"/>
      <w:r w:rsidR="00FE68CD" w:rsidRPr="002D5CEB">
        <w:t xml:space="preserve"> </w:t>
      </w:r>
      <w:proofErr w:type="spellStart"/>
      <w:r w:rsidR="00FE68CD" w:rsidRPr="002D5CEB">
        <w:t>Vilbert</w:t>
      </w:r>
      <w:proofErr w:type="spellEnd"/>
      <w:r w:rsidR="00FE68CD" w:rsidRPr="002D5CEB">
        <w:t>, Kerry Reynolds</w:t>
      </w:r>
    </w:p>
    <w:p w14:paraId="4370CEAF" w14:textId="5AB8495D" w:rsidR="002F7A42" w:rsidRPr="002F7A42" w:rsidRDefault="002F7A42" w:rsidP="002D5CEB">
      <w:pPr>
        <w:pStyle w:val="NormalWeb"/>
        <w:spacing w:before="0" w:beforeAutospacing="0" w:after="0" w:afterAutospacing="0" w:line="480" w:lineRule="auto"/>
      </w:pPr>
      <w:r w:rsidRPr="002F7A42">
        <w:t>&lt;</w:t>
      </w:r>
      <w:proofErr w:type="gramStart"/>
      <w:r w:rsidRPr="002F7A42">
        <w:t>front-close</w:t>
      </w:r>
      <w:proofErr w:type="gramEnd"/>
      <w:r w:rsidRPr="002F7A42">
        <w:t>&gt;</w:t>
      </w:r>
    </w:p>
    <w:p w14:paraId="5BEF073E" w14:textId="2D7A1FBB" w:rsidR="002F7A42" w:rsidRPr="002D5CEB" w:rsidRDefault="002F7A42" w:rsidP="002D5CEB">
      <w:pPr>
        <w:pStyle w:val="NormalWeb"/>
        <w:spacing w:before="0" w:beforeAutospacing="0" w:after="0" w:afterAutospacing="0" w:line="480" w:lineRule="auto"/>
      </w:pPr>
      <w:r>
        <w:t>&lt;</w:t>
      </w:r>
      <w:proofErr w:type="gramStart"/>
      <w:r>
        <w:t>body-open</w:t>
      </w:r>
      <w:proofErr w:type="gramEnd"/>
      <w:r>
        <w:t>&gt;</w:t>
      </w:r>
    </w:p>
    <w:p w14:paraId="58ABAC2D" w14:textId="327F16DF" w:rsidR="003450A0" w:rsidRDefault="003450A0" w:rsidP="00D16C1C">
      <w:pPr>
        <w:pStyle w:val="H1"/>
        <w:spacing w:before="0" w:beforeAutospacing="0" w:after="0" w:afterAutospacing="0" w:line="480" w:lineRule="auto"/>
      </w:pPr>
      <w:r>
        <w:t xml:space="preserve">&lt;H1&gt; Overview </w:t>
      </w:r>
    </w:p>
    <w:p w14:paraId="2950E956" w14:textId="42E4A571" w:rsidR="00FE68CD" w:rsidRDefault="00FE68CD" w:rsidP="00D16C1C">
      <w:pPr>
        <w:pStyle w:val="BL-FIRST"/>
        <w:numPr>
          <w:ilvl w:val="0"/>
          <w:numId w:val="46"/>
        </w:numPr>
        <w:spacing w:before="0" w:beforeAutospacing="0" w:after="0" w:afterAutospacing="0" w:line="480" w:lineRule="auto"/>
      </w:pPr>
      <w:r>
        <w:t>In the dynamic landscape of cancer treatment, we are currently witnessing a transformative era because of advancements in immunotherapy. By leveraging the body’s own immune defenses, particularly through immune checkpoint inhibitors, we are achieving significant reductions in tumor burden and, in select cases and cancer types, achieving enduring remissions. This progress is underscored by the FDA's approval of over 90 indications for the twelve approved immune checkpoint inhibitors, with numerous additional agents and combinations advancing through clinical development</w:t>
      </w:r>
      <w:r w:rsidR="67A9668C">
        <w:t xml:space="preserve"> (Table</w:t>
      </w:r>
      <w:r w:rsidR="7E12F2F1">
        <w:t xml:space="preserve"> 6.9-1)</w:t>
      </w:r>
      <w:r>
        <w:t>.</w:t>
      </w:r>
      <w:r w:rsidR="00D94D26">
        <w:t xml:space="preserve"> </w:t>
      </w:r>
    </w:p>
    <w:p w14:paraId="0C8B7FCF" w14:textId="44BA56B5" w:rsidR="0008651E" w:rsidRPr="00D16C1C" w:rsidRDefault="0008651E" w:rsidP="002D5CEB">
      <w:pPr>
        <w:pStyle w:val="T1"/>
        <w:spacing w:before="0" w:beforeAutospacing="0" w:after="0" w:afterAutospacing="0" w:line="480" w:lineRule="auto"/>
        <w:rPr>
          <w:color w:val="0000FF"/>
        </w:rPr>
      </w:pPr>
      <w:r>
        <w:rPr>
          <w:color w:val="0000FF"/>
        </w:rPr>
        <w:t>&lt;TAB 6.9-1&gt;</w:t>
      </w:r>
    </w:p>
    <w:p w14:paraId="1BD683CD" w14:textId="7994B1A0" w:rsidR="00FE68CD" w:rsidRPr="002D5CEB" w:rsidRDefault="003450A0" w:rsidP="00D16C1C">
      <w:pPr>
        <w:pStyle w:val="BL-MID"/>
        <w:numPr>
          <w:ilvl w:val="0"/>
          <w:numId w:val="46"/>
        </w:numPr>
        <w:spacing w:before="0" w:beforeAutospacing="0" w:after="0" w:afterAutospacing="0" w:line="480" w:lineRule="auto"/>
      </w:pPr>
      <w:r>
        <w:t>These</w:t>
      </w:r>
      <w:r w:rsidR="00FE68CD" w:rsidRPr="002D5CEB">
        <w:t xml:space="preserve"> therapeutic gains are often tempered by immune-related adverse events (</w:t>
      </w:r>
      <w:proofErr w:type="spellStart"/>
      <w:r w:rsidR="00FE68CD" w:rsidRPr="002D5CEB">
        <w:t>irAEs</w:t>
      </w:r>
      <w:proofErr w:type="spellEnd"/>
      <w:r w:rsidR="00FE68CD" w:rsidRPr="002D5CEB">
        <w:t>)</w:t>
      </w:r>
      <w:r w:rsidR="009E26BD" w:rsidRPr="002D5CEB">
        <w:t xml:space="preserve">, reflecting </w:t>
      </w:r>
      <w:proofErr w:type="spellStart"/>
      <w:r w:rsidR="009E26BD" w:rsidRPr="002D5CEB">
        <w:t>autoinflammatory</w:t>
      </w:r>
      <w:proofErr w:type="spellEnd"/>
      <w:r w:rsidR="009E26BD" w:rsidRPr="002D5CEB">
        <w:t xml:space="preserve"> </w:t>
      </w:r>
      <w:proofErr w:type="spellStart"/>
      <w:r w:rsidR="009E26BD" w:rsidRPr="002D5CEB">
        <w:t>sequelae</w:t>
      </w:r>
      <w:proofErr w:type="spellEnd"/>
      <w:r w:rsidR="009E26BD" w:rsidRPr="002D5CEB">
        <w:t xml:space="preserve"> of immune activation</w:t>
      </w:r>
      <w:r w:rsidR="00FE68CD" w:rsidRPr="002D5CEB">
        <w:t xml:space="preserve">. From our clinical experience, these toxicities can manifest across nearly every organ system, ranging from mild dermatological symptoms like rash or </w:t>
      </w:r>
      <w:proofErr w:type="spellStart"/>
      <w:r w:rsidR="00FE68CD" w:rsidRPr="002D5CEB">
        <w:t>pruritis</w:t>
      </w:r>
      <w:proofErr w:type="spellEnd"/>
      <w:r w:rsidR="00FE68CD" w:rsidRPr="002D5CEB">
        <w:t xml:space="preserve"> to severe and potentially life-threatening complications affecting the skin, gastrointestinal tract, lungs, heart, nervous system, or endocrine glands to name several. This complexity is further amplified by the unpredictable nature of </w:t>
      </w:r>
      <w:proofErr w:type="spellStart"/>
      <w:r w:rsidR="00FE68CD" w:rsidRPr="002D5CEB">
        <w:t>irAEs</w:t>
      </w:r>
      <w:proofErr w:type="spellEnd"/>
      <w:r w:rsidR="00FE68CD" w:rsidRPr="002D5CEB">
        <w:t xml:space="preserve">. Additionally, multiple organs can be affected </w:t>
      </w:r>
      <w:r w:rsidR="00FE68CD" w:rsidRPr="002D5CEB">
        <w:lastRenderedPageBreak/>
        <w:t>simultaneously, often manifesting in unusual ways (atypical patterns) that can make diagnosis and treatment challenging.</w:t>
      </w:r>
    </w:p>
    <w:p w14:paraId="33AD71D3" w14:textId="7D40983F" w:rsidR="00815BAE" w:rsidRPr="002D5CEB" w:rsidRDefault="00FE68CD" w:rsidP="00D16C1C">
      <w:pPr>
        <w:pStyle w:val="BL-LAST"/>
        <w:numPr>
          <w:ilvl w:val="0"/>
          <w:numId w:val="46"/>
        </w:numPr>
        <w:spacing w:before="0" w:beforeAutospacing="0" w:after="0" w:afterAutospacing="0" w:line="480" w:lineRule="auto"/>
      </w:pPr>
      <w:r w:rsidRPr="002D5CEB">
        <w:t>The increasing use of immunotherapy in cancer treatment comes with a</w:t>
      </w:r>
      <w:r w:rsidR="00D94D26" w:rsidRPr="002D5CEB">
        <w:t xml:space="preserve">n increase </w:t>
      </w:r>
      <w:r w:rsidRPr="002D5CEB">
        <w:t>in side effects, known as immune-related adverse events (</w:t>
      </w:r>
      <w:proofErr w:type="spellStart"/>
      <w:r w:rsidRPr="002D5CEB">
        <w:t>irAEs</w:t>
      </w:r>
      <w:proofErr w:type="spellEnd"/>
      <w:r w:rsidRPr="002D5CEB">
        <w:t xml:space="preserve">). </w:t>
      </w:r>
      <w:r w:rsidR="00D94D26" w:rsidRPr="002D5CEB">
        <w:t>There is a</w:t>
      </w:r>
      <w:r w:rsidRPr="002D5CEB">
        <w:t xml:space="preserve"> critical need for all healthcare providers to be equipped to identify and manage these unique clinical presentations. The severity of </w:t>
      </w:r>
      <w:proofErr w:type="spellStart"/>
      <w:r w:rsidRPr="002D5CEB">
        <w:t>irAEs</w:t>
      </w:r>
      <w:proofErr w:type="spellEnd"/>
      <w:r w:rsidRPr="002D5CEB">
        <w:t xml:space="preserve"> is graded from mild to moderate using the Common Terminology Criteria for Adverse Events (CTCAE)</w:t>
      </w:r>
      <w:proofErr w:type="gramStart"/>
      <w:r w:rsidRPr="002D5CEB">
        <w:t>.</w:t>
      </w:r>
      <w:r w:rsidR="007B7017" w:rsidRPr="002D5CEB">
        <w:t>.</w:t>
      </w:r>
      <w:proofErr w:type="gramEnd"/>
      <w:r w:rsidR="007B7017" w:rsidRPr="002D5CEB">
        <w:t xml:space="preserve"> </w:t>
      </w:r>
      <w:r w:rsidRPr="002D5CEB">
        <w:t xml:space="preserve">In general, grade 3 </w:t>
      </w:r>
      <w:proofErr w:type="spellStart"/>
      <w:r w:rsidRPr="002D5CEB">
        <w:t>irAEs</w:t>
      </w:r>
      <w:proofErr w:type="spellEnd"/>
      <w:r w:rsidRPr="002D5CEB">
        <w:t xml:space="preserve"> require hospitalization, while grade 4 are life-threatening and require intensive care. Some examples of </w:t>
      </w:r>
      <w:proofErr w:type="spellStart"/>
      <w:r w:rsidRPr="002D5CEB">
        <w:t>irAEs</w:t>
      </w:r>
      <w:proofErr w:type="spellEnd"/>
      <w:r w:rsidRPr="002D5CEB">
        <w:t xml:space="preserve"> include:</w:t>
      </w:r>
    </w:p>
    <w:p w14:paraId="251A5D91" w14:textId="15093CDA" w:rsidR="007B7017" w:rsidRPr="002D5CEB" w:rsidRDefault="0078129C" w:rsidP="002D5CEB">
      <w:pPr>
        <w:pStyle w:val="H1"/>
        <w:spacing w:line="480" w:lineRule="auto"/>
        <w:jc w:val="both"/>
        <w:rPr>
          <w:rFonts w:ascii="Times New Roman" w:hAnsi="Times New Roman" w:cs="Times New Roman"/>
          <w:b/>
          <w:bCs/>
          <w:color w:val="FF0000"/>
          <w:sz w:val="24"/>
          <w:szCs w:val="24"/>
        </w:rPr>
      </w:pPr>
      <w:r w:rsidRPr="002D5CEB">
        <w:rPr>
          <w:rFonts w:ascii="Times New Roman" w:hAnsi="Times New Roman" w:cs="Times New Roman"/>
          <w:b/>
          <w:bCs/>
          <w:color w:val="0000FF"/>
          <w:sz w:val="24"/>
          <w:szCs w:val="24"/>
        </w:rPr>
        <w:t>&lt;H1&gt;</w:t>
      </w:r>
      <w:r w:rsidR="003A225F" w:rsidRPr="002D5CEB">
        <w:rPr>
          <w:rFonts w:ascii="Times New Roman" w:hAnsi="Times New Roman" w:cs="Times New Roman"/>
          <w:b/>
          <w:bCs/>
          <w:color w:val="FF0000"/>
          <w:sz w:val="24"/>
          <w:szCs w:val="24"/>
        </w:rPr>
        <w:t xml:space="preserve">ICI </w:t>
      </w:r>
      <w:r w:rsidR="00D94D26" w:rsidRPr="002D5CEB">
        <w:rPr>
          <w:rFonts w:ascii="Times New Roman" w:hAnsi="Times New Roman" w:cs="Times New Roman"/>
          <w:b/>
          <w:bCs/>
          <w:color w:val="FF0000"/>
          <w:sz w:val="24"/>
          <w:szCs w:val="24"/>
        </w:rPr>
        <w:t>Colitis</w:t>
      </w:r>
    </w:p>
    <w:p w14:paraId="4067AC9E" w14:textId="5B81FED7" w:rsidR="00270700" w:rsidRPr="002D5CEB" w:rsidRDefault="00270700" w:rsidP="002D5CEB">
      <w:pPr>
        <w:pStyle w:val="BL-FIRST"/>
        <w:numPr>
          <w:ilvl w:val="0"/>
          <w:numId w:val="2"/>
        </w:numPr>
        <w:spacing w:line="480" w:lineRule="auto"/>
        <w:ind w:left="360"/>
        <w:jc w:val="both"/>
        <w:rPr>
          <w:rFonts w:ascii="Times New Roman" w:hAnsi="Times New Roman" w:cs="Times New Roman"/>
          <w:b/>
          <w:bCs/>
          <w:sz w:val="24"/>
          <w:szCs w:val="24"/>
        </w:rPr>
      </w:pPr>
      <w:bookmarkStart w:id="0" w:name="_Hlk172021857"/>
      <w:r w:rsidRPr="002D5CEB">
        <w:rPr>
          <w:rFonts w:ascii="Times New Roman" w:hAnsi="Times New Roman" w:cs="Times New Roman"/>
          <w:b/>
          <w:bCs/>
          <w:sz w:val="24"/>
          <w:szCs w:val="24"/>
        </w:rPr>
        <w:t>Definitions</w:t>
      </w:r>
    </w:p>
    <w:p w14:paraId="0356D55D" w14:textId="77777777" w:rsidR="00D21CAD" w:rsidRPr="002D5CEB" w:rsidRDefault="00270700" w:rsidP="002D5CEB">
      <w:pPr>
        <w:pStyle w:val="BL-FIRST"/>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Grading diarrhea (CTCAE 5.0)</w:t>
      </w:r>
    </w:p>
    <w:p w14:paraId="23C12959" w14:textId="77777777" w:rsidR="00D21CAD" w:rsidRPr="002D5CEB" w:rsidRDefault="00D21CAD" w:rsidP="002D5CEB">
      <w:pPr>
        <w:pStyle w:val="BL-FIRST"/>
        <w:numPr>
          <w:ilvl w:val="2"/>
          <w:numId w:val="2"/>
        </w:numPr>
        <w:spacing w:line="480" w:lineRule="auto"/>
        <w:rPr>
          <w:rFonts w:ascii="Times New Roman" w:hAnsi="Times New Roman" w:cs="Times New Roman"/>
          <w:sz w:val="24"/>
          <w:szCs w:val="24"/>
        </w:rPr>
      </w:pPr>
      <w:r w:rsidRPr="002D5CEB">
        <w:rPr>
          <w:rFonts w:ascii="Times New Roman" w:hAnsi="Times New Roman" w:cs="Times New Roman"/>
          <w:sz w:val="24"/>
          <w:szCs w:val="24"/>
        </w:rPr>
        <w:t>Grade 1: Increase of &lt;4 stools per day over baseline</w:t>
      </w:r>
    </w:p>
    <w:p w14:paraId="445BF361" w14:textId="77777777" w:rsidR="00D21CAD" w:rsidRPr="002D5CEB" w:rsidRDefault="00D21CAD" w:rsidP="002D5CEB">
      <w:pPr>
        <w:pStyle w:val="BL3-MID"/>
        <w:numPr>
          <w:ilvl w:val="2"/>
          <w:numId w:val="2"/>
        </w:numPr>
        <w:spacing w:line="480" w:lineRule="auto"/>
        <w:rPr>
          <w:rFonts w:ascii="Times New Roman" w:hAnsi="Times New Roman" w:cs="Times New Roman"/>
          <w:sz w:val="24"/>
          <w:szCs w:val="24"/>
        </w:rPr>
      </w:pPr>
      <w:r w:rsidRPr="002D5CEB">
        <w:rPr>
          <w:rFonts w:ascii="Times New Roman" w:hAnsi="Times New Roman" w:cs="Times New Roman"/>
          <w:sz w:val="24"/>
          <w:szCs w:val="24"/>
        </w:rPr>
        <w:t>Grade 2: Increase of four to six stools per day over baseline, limiting activities of daily life</w:t>
      </w:r>
    </w:p>
    <w:p w14:paraId="1694A4FC" w14:textId="77777777" w:rsidR="00D21CAD" w:rsidRPr="002D5CEB" w:rsidRDefault="00D21CAD" w:rsidP="002D5CEB">
      <w:pPr>
        <w:pStyle w:val="BL3-MID"/>
        <w:numPr>
          <w:ilvl w:val="2"/>
          <w:numId w:val="2"/>
        </w:numPr>
        <w:spacing w:line="480" w:lineRule="auto"/>
        <w:rPr>
          <w:rFonts w:ascii="Times New Roman" w:hAnsi="Times New Roman" w:cs="Times New Roman"/>
          <w:sz w:val="24"/>
          <w:szCs w:val="24"/>
        </w:rPr>
      </w:pPr>
      <w:r w:rsidRPr="002D5CEB">
        <w:rPr>
          <w:rFonts w:ascii="Times New Roman" w:hAnsi="Times New Roman" w:cs="Times New Roman"/>
          <w:sz w:val="24"/>
          <w:szCs w:val="24"/>
        </w:rPr>
        <w:t>Grade 3: Increase of seven or more stools per day over baseline, limiting self-care</w:t>
      </w:r>
    </w:p>
    <w:p w14:paraId="5F8A1BBB" w14:textId="77777777" w:rsidR="00D21CAD" w:rsidRPr="002D5CEB" w:rsidRDefault="00D21CAD" w:rsidP="002D5CEB">
      <w:pPr>
        <w:pStyle w:val="BL3-MID"/>
        <w:numPr>
          <w:ilvl w:val="2"/>
          <w:numId w:val="2"/>
        </w:numPr>
        <w:spacing w:line="480" w:lineRule="auto"/>
        <w:rPr>
          <w:rFonts w:ascii="Times New Roman" w:hAnsi="Times New Roman" w:cs="Times New Roman"/>
          <w:sz w:val="24"/>
          <w:szCs w:val="24"/>
        </w:rPr>
      </w:pPr>
      <w:r w:rsidRPr="002D5CEB">
        <w:rPr>
          <w:rFonts w:ascii="Times New Roman" w:hAnsi="Times New Roman" w:cs="Times New Roman"/>
          <w:sz w:val="24"/>
          <w:szCs w:val="24"/>
        </w:rPr>
        <w:t>Grade 4: Life-threatening consequences</w:t>
      </w:r>
    </w:p>
    <w:p w14:paraId="5056BA03" w14:textId="77777777" w:rsidR="00D21CAD" w:rsidRPr="002D5CEB" w:rsidRDefault="00D21CAD" w:rsidP="002D5CEB">
      <w:pPr>
        <w:pStyle w:val="BL-LAST"/>
        <w:numPr>
          <w:ilvl w:val="2"/>
          <w:numId w:val="2"/>
        </w:numPr>
        <w:spacing w:line="480" w:lineRule="auto"/>
        <w:rPr>
          <w:rFonts w:ascii="Times New Roman" w:hAnsi="Times New Roman" w:cs="Times New Roman"/>
          <w:sz w:val="24"/>
          <w:szCs w:val="24"/>
        </w:rPr>
      </w:pPr>
      <w:r w:rsidRPr="002D5CEB">
        <w:rPr>
          <w:rFonts w:ascii="Times New Roman" w:hAnsi="Times New Roman" w:cs="Times New Roman"/>
          <w:sz w:val="24"/>
          <w:szCs w:val="24"/>
        </w:rPr>
        <w:t>Grade 5: Death</w:t>
      </w:r>
    </w:p>
    <w:p w14:paraId="0606349B" w14:textId="66852DA8" w:rsidR="00D21CAD" w:rsidRPr="002D5CEB" w:rsidRDefault="00D21CAD" w:rsidP="002D5CEB">
      <w:pPr>
        <w:pStyle w:val="BL2-MID"/>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Colitis, characterized by inflammation of the colon, most frequently presents with diarrhea. Additional presenting symptoms may include anemia (prevalence of 16.7%), rectal bleeding (6.2%), and abdominal pain (5.2%)</w:t>
      </w:r>
      <w:r w:rsidR="007B7017" w:rsidRPr="002D5CEB">
        <w:rPr>
          <w:rFonts w:ascii="Times New Roman" w:hAnsi="Times New Roman" w:cs="Times New Roman"/>
          <w:sz w:val="24"/>
          <w:szCs w:val="24"/>
        </w:rPr>
        <w:t xml:space="preserve">. </w:t>
      </w:r>
      <w:r w:rsidRPr="002D5CEB">
        <w:rPr>
          <w:rFonts w:ascii="Times New Roman" w:hAnsi="Times New Roman" w:cs="Times New Roman"/>
          <w:sz w:val="24"/>
          <w:szCs w:val="24"/>
        </w:rPr>
        <w:t xml:space="preserve">Atypical presentations, particularly rectal bleeding, warrant endoscopic evaluation to exclude malignancy or other etiologies. </w:t>
      </w:r>
    </w:p>
    <w:p w14:paraId="65E23131" w14:textId="77777777" w:rsidR="00D21CAD" w:rsidRPr="002D5CEB" w:rsidRDefault="00D21CAD" w:rsidP="002D5CEB">
      <w:pPr>
        <w:pStyle w:val="BL2-MID"/>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lastRenderedPageBreak/>
        <w:t>In cases with upper gastrointestinal (GI) involvement, nausea can occur in 12-25% of patients.</w:t>
      </w:r>
    </w:p>
    <w:p w14:paraId="07A6EC5C" w14:textId="675C958D" w:rsidR="00270700" w:rsidRPr="002D5CEB" w:rsidRDefault="00270700" w:rsidP="002D5CEB">
      <w:pPr>
        <w:pStyle w:val="BL-LAST"/>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Intestinal perforation can occur in approximately 1% of cases. </w:t>
      </w:r>
    </w:p>
    <w:p w14:paraId="0C1B5BBE" w14:textId="77777777" w:rsidR="00D21CAD" w:rsidRPr="002D5CEB" w:rsidRDefault="00270700" w:rsidP="002D5CEB">
      <w:pPr>
        <w:pStyle w:val="BL-MID"/>
        <w:numPr>
          <w:ilvl w:val="0"/>
          <w:numId w:val="2"/>
        </w:numPr>
        <w:spacing w:line="480" w:lineRule="auto"/>
        <w:ind w:left="360"/>
        <w:jc w:val="both"/>
        <w:rPr>
          <w:rFonts w:ascii="Times New Roman" w:hAnsi="Times New Roman" w:cs="Times New Roman"/>
          <w:b/>
          <w:bCs/>
          <w:sz w:val="24"/>
          <w:szCs w:val="24"/>
        </w:rPr>
      </w:pPr>
      <w:r w:rsidRPr="002D5CEB">
        <w:rPr>
          <w:rFonts w:ascii="Times New Roman" w:hAnsi="Times New Roman" w:cs="Times New Roman"/>
          <w:b/>
          <w:bCs/>
          <w:sz w:val="24"/>
          <w:szCs w:val="24"/>
        </w:rPr>
        <w:t>Epidemiology</w:t>
      </w:r>
    </w:p>
    <w:p w14:paraId="671C1F9E" w14:textId="77777777" w:rsidR="00D21CAD" w:rsidRPr="002D5CEB" w:rsidRDefault="00D21CAD" w:rsidP="002D5CEB">
      <w:pPr>
        <w:pStyle w:val="BL-FIRST"/>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Combination CTLA-4/PD-1 therapy has the highest risk of colitis at 16% (11% being grade 3 or higher), followed by CTLA-4 inhibitors at 8% (5% being grade 3), and PD-1/PD-L1 inhibitors at 1%.</w:t>
      </w:r>
    </w:p>
    <w:p w14:paraId="3529C8DE" w14:textId="1F516FCD" w:rsidR="00270700" w:rsidRPr="002D5CEB" w:rsidRDefault="00D21CAD" w:rsidP="002D5CEB">
      <w:pPr>
        <w:pStyle w:val="BL2-MID"/>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M</w:t>
      </w:r>
      <w:r w:rsidR="00270700" w:rsidRPr="002D5CEB">
        <w:rPr>
          <w:rFonts w:ascii="Times New Roman" w:hAnsi="Times New Roman" w:cs="Times New Roman"/>
          <w:sz w:val="24"/>
          <w:szCs w:val="24"/>
        </w:rPr>
        <w:t>edian time to onset is 5-10 weeks, although early-onset diarrhea can be seen with combination therapy (ICI-chemo, ICI-</w:t>
      </w:r>
      <w:r w:rsidRPr="002D5CEB">
        <w:rPr>
          <w:rFonts w:ascii="Times New Roman" w:hAnsi="Times New Roman" w:cs="Times New Roman"/>
          <w:sz w:val="24"/>
          <w:szCs w:val="24"/>
        </w:rPr>
        <w:t>tyrosine kinase inhibitor</w:t>
      </w:r>
      <w:r w:rsidR="00270700" w:rsidRPr="002D5CEB">
        <w:rPr>
          <w:rFonts w:ascii="Times New Roman" w:hAnsi="Times New Roman" w:cs="Times New Roman"/>
          <w:sz w:val="24"/>
          <w:szCs w:val="24"/>
        </w:rPr>
        <w:t>, ICI-ICI).</w:t>
      </w:r>
    </w:p>
    <w:p w14:paraId="1F0BBDA6" w14:textId="77777777" w:rsidR="00270700" w:rsidRPr="002D5CEB" w:rsidRDefault="00270700" w:rsidP="002D5CEB">
      <w:pPr>
        <w:pStyle w:val="BL-LAST"/>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Risk factors include non-steroid anti-inflammatory drugs (NSAIDs), gut microbiome enriched with bacteria of the phylum Firmicutes, and history of inflammatory bowel disease.</w:t>
      </w:r>
    </w:p>
    <w:p w14:paraId="1B6BDEEC" w14:textId="77777777" w:rsidR="00270700" w:rsidRPr="002D5CEB" w:rsidRDefault="00270700" w:rsidP="002D5CEB">
      <w:pPr>
        <w:pStyle w:val="BL-MID"/>
        <w:numPr>
          <w:ilvl w:val="0"/>
          <w:numId w:val="2"/>
        </w:numPr>
        <w:spacing w:line="480" w:lineRule="auto"/>
        <w:ind w:left="360"/>
        <w:jc w:val="both"/>
        <w:rPr>
          <w:rFonts w:ascii="Times New Roman" w:hAnsi="Times New Roman" w:cs="Times New Roman"/>
          <w:b/>
          <w:bCs/>
          <w:sz w:val="24"/>
          <w:szCs w:val="24"/>
        </w:rPr>
      </w:pPr>
      <w:r w:rsidRPr="002D5CEB">
        <w:rPr>
          <w:rFonts w:ascii="Times New Roman" w:hAnsi="Times New Roman" w:cs="Times New Roman"/>
          <w:b/>
          <w:bCs/>
          <w:sz w:val="24"/>
          <w:szCs w:val="24"/>
        </w:rPr>
        <w:t>Key Pathophysiology</w:t>
      </w:r>
    </w:p>
    <w:p w14:paraId="1453CC1E" w14:textId="69F84829" w:rsidR="00270700" w:rsidRPr="002D5CEB" w:rsidRDefault="00D21CAD" w:rsidP="002D5CEB">
      <w:pPr>
        <w:pStyle w:val="BL-FIRST"/>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T</w:t>
      </w:r>
      <w:r w:rsidR="00270700" w:rsidRPr="002D5CEB">
        <w:rPr>
          <w:rFonts w:ascii="Times New Roman" w:hAnsi="Times New Roman" w:cs="Times New Roman"/>
          <w:sz w:val="24"/>
          <w:szCs w:val="24"/>
        </w:rPr>
        <w:t>issue-resident CD8+ T cells are present in the healthy colon. Activation of these cells leads to subsequent recruitment of additional CD8 and CD4 T cell populations from the blood.</w:t>
      </w:r>
    </w:p>
    <w:p w14:paraId="6DCA6034" w14:textId="77777777" w:rsidR="00270700" w:rsidRPr="002D5CEB" w:rsidRDefault="00270700" w:rsidP="002D5CEB">
      <w:pPr>
        <w:pStyle w:val="BL2-MID"/>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Colitis is associated with the differentiation of CD8 tissue-resident memory cells to cytotoxic effector cells and the enrichment of CTLA-4+ T regulatory cells.</w:t>
      </w:r>
    </w:p>
    <w:p w14:paraId="08D3FD8A" w14:textId="77777777" w:rsidR="00D21CAD" w:rsidRPr="002D5CEB" w:rsidRDefault="00270700" w:rsidP="002D5CEB">
      <w:pPr>
        <w:pStyle w:val="BL2-MID"/>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 xml:space="preserve">These T cells express high levels of CXCR6 and CXCR3 chemokine receptor genes. </w:t>
      </w:r>
    </w:p>
    <w:p w14:paraId="07D9ABC5" w14:textId="5D346834" w:rsidR="00270700" w:rsidRPr="002D5CEB" w:rsidRDefault="00270700" w:rsidP="002D5CEB">
      <w:pPr>
        <w:pStyle w:val="NL-LAST"/>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 xml:space="preserve">T cell IFN-gamma expression and IFN-gamma-inducible genes </w:t>
      </w:r>
      <w:r w:rsidR="00D21CAD" w:rsidRPr="002D5CEB">
        <w:rPr>
          <w:rFonts w:ascii="Times New Roman" w:hAnsi="Times New Roman" w:cs="Times New Roman"/>
          <w:sz w:val="24"/>
          <w:szCs w:val="24"/>
        </w:rPr>
        <w:t>are</w:t>
      </w:r>
      <w:r w:rsidRPr="002D5CEB">
        <w:rPr>
          <w:rFonts w:ascii="Times New Roman" w:hAnsi="Times New Roman" w:cs="Times New Roman"/>
          <w:sz w:val="24"/>
          <w:szCs w:val="24"/>
        </w:rPr>
        <w:t xml:space="preserve"> strongly increased in ICI colitis</w:t>
      </w:r>
    </w:p>
    <w:p w14:paraId="326E53BC" w14:textId="77777777" w:rsidR="00270700" w:rsidRPr="002D5CEB" w:rsidRDefault="00270700" w:rsidP="002D5CEB">
      <w:pPr>
        <w:pStyle w:val="BL-MID"/>
        <w:numPr>
          <w:ilvl w:val="0"/>
          <w:numId w:val="2"/>
        </w:numPr>
        <w:spacing w:line="480" w:lineRule="auto"/>
        <w:ind w:left="360"/>
        <w:jc w:val="both"/>
        <w:rPr>
          <w:rFonts w:ascii="Times New Roman" w:hAnsi="Times New Roman" w:cs="Times New Roman"/>
          <w:b/>
          <w:bCs/>
          <w:sz w:val="24"/>
          <w:szCs w:val="24"/>
        </w:rPr>
      </w:pPr>
      <w:r w:rsidRPr="002D5CEB">
        <w:rPr>
          <w:rFonts w:ascii="Times New Roman" w:hAnsi="Times New Roman" w:cs="Times New Roman"/>
          <w:b/>
          <w:bCs/>
          <w:sz w:val="24"/>
          <w:szCs w:val="24"/>
        </w:rPr>
        <w:t>Differential Diagnosis</w:t>
      </w:r>
    </w:p>
    <w:p w14:paraId="4D8F24E5" w14:textId="77777777" w:rsidR="00270700" w:rsidRPr="002D5CEB" w:rsidRDefault="00270700" w:rsidP="002D5CEB">
      <w:pPr>
        <w:pStyle w:val="BL-FIRST"/>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lastRenderedPageBreak/>
        <w:t xml:space="preserve">Immune-mediated </w:t>
      </w:r>
      <w:proofErr w:type="spellStart"/>
      <w:r w:rsidRPr="002D5CEB">
        <w:rPr>
          <w:rFonts w:ascii="Times New Roman" w:hAnsi="Times New Roman" w:cs="Times New Roman"/>
          <w:sz w:val="24"/>
          <w:szCs w:val="24"/>
        </w:rPr>
        <w:t>gastroenterocolitis</w:t>
      </w:r>
      <w:proofErr w:type="spellEnd"/>
      <w:r w:rsidRPr="002D5CEB">
        <w:rPr>
          <w:rFonts w:ascii="Times New Roman" w:hAnsi="Times New Roman" w:cs="Times New Roman"/>
          <w:sz w:val="24"/>
          <w:szCs w:val="24"/>
        </w:rPr>
        <w:t>, intestinal infection, inflammatory bowel disease, thyroid dysfunction, and celiac disease.</w:t>
      </w:r>
    </w:p>
    <w:p w14:paraId="0787379E" w14:textId="77777777" w:rsidR="00270700" w:rsidRPr="002D5CEB" w:rsidRDefault="00270700" w:rsidP="002D5CEB">
      <w:pPr>
        <w:pStyle w:val="BL2-MID"/>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Work-up (imaging and clinical assessment):</w:t>
      </w:r>
    </w:p>
    <w:p w14:paraId="696D5461" w14:textId="48F1744D" w:rsidR="00270700" w:rsidRPr="002D5CEB" w:rsidRDefault="00270700" w:rsidP="002D5CEB">
      <w:pPr>
        <w:pStyle w:val="BL2-MID"/>
        <w:numPr>
          <w:ilvl w:val="1"/>
          <w:numId w:val="2"/>
        </w:numPr>
        <w:spacing w:line="480" w:lineRule="auto"/>
        <w:ind w:left="1170"/>
        <w:jc w:val="both"/>
        <w:rPr>
          <w:rFonts w:ascii="Times New Roman" w:hAnsi="Times New Roman" w:cs="Times New Roman"/>
          <w:sz w:val="24"/>
          <w:szCs w:val="24"/>
        </w:rPr>
      </w:pPr>
      <w:r w:rsidRPr="002D5CEB">
        <w:rPr>
          <w:rFonts w:ascii="Times New Roman" w:hAnsi="Times New Roman" w:cs="Times New Roman"/>
          <w:sz w:val="24"/>
          <w:szCs w:val="24"/>
        </w:rPr>
        <w:t>Review concomitant medications (</w:t>
      </w:r>
      <w:r w:rsidR="00D21CAD" w:rsidRPr="002D5CEB">
        <w:rPr>
          <w:rFonts w:ascii="Times New Roman" w:hAnsi="Times New Roman" w:cs="Times New Roman"/>
          <w:sz w:val="24"/>
          <w:szCs w:val="24"/>
        </w:rPr>
        <w:t>proton pump inhibitors (PPI)</w:t>
      </w:r>
      <w:r w:rsidRPr="002D5CEB">
        <w:rPr>
          <w:rFonts w:ascii="Times New Roman" w:hAnsi="Times New Roman" w:cs="Times New Roman"/>
          <w:sz w:val="24"/>
          <w:szCs w:val="24"/>
        </w:rPr>
        <w:t>,</w:t>
      </w:r>
      <w:r w:rsidR="00D21CAD" w:rsidRPr="002D5CEB">
        <w:rPr>
          <w:rFonts w:ascii="Times New Roman" w:hAnsi="Times New Roman" w:cs="Times New Roman"/>
          <w:sz w:val="24"/>
          <w:szCs w:val="24"/>
        </w:rPr>
        <w:t xml:space="preserve"> nonsteroidal anti-inflammatory drugs (NSAID)</w:t>
      </w:r>
      <w:r w:rsidRPr="002D5CEB">
        <w:rPr>
          <w:rFonts w:ascii="Times New Roman" w:hAnsi="Times New Roman" w:cs="Times New Roman"/>
          <w:sz w:val="24"/>
          <w:szCs w:val="24"/>
        </w:rPr>
        <w:t>,</w:t>
      </w:r>
      <w:r w:rsidR="00D21CAD" w:rsidRPr="002D5CEB">
        <w:rPr>
          <w:rFonts w:ascii="Times New Roman" w:hAnsi="Times New Roman" w:cs="Times New Roman"/>
          <w:sz w:val="24"/>
          <w:szCs w:val="24"/>
        </w:rPr>
        <w:t xml:space="preserve"> laxatives,</w:t>
      </w:r>
      <w:r w:rsidRPr="002D5CEB">
        <w:rPr>
          <w:rFonts w:ascii="Times New Roman" w:hAnsi="Times New Roman" w:cs="Times New Roman"/>
          <w:sz w:val="24"/>
          <w:szCs w:val="24"/>
        </w:rPr>
        <w:t xml:space="preserve"> antibiotics, probiotics).</w:t>
      </w:r>
    </w:p>
    <w:p w14:paraId="224AFEFB" w14:textId="6B7B104F" w:rsidR="00270700" w:rsidRPr="002D5CEB" w:rsidRDefault="00270700" w:rsidP="002D5CEB">
      <w:pPr>
        <w:pStyle w:val="BL2-MID"/>
        <w:numPr>
          <w:ilvl w:val="1"/>
          <w:numId w:val="2"/>
        </w:numPr>
        <w:spacing w:line="480" w:lineRule="auto"/>
        <w:ind w:left="1170"/>
        <w:jc w:val="both"/>
        <w:rPr>
          <w:rFonts w:ascii="Times New Roman" w:hAnsi="Times New Roman" w:cs="Times New Roman"/>
          <w:sz w:val="24"/>
          <w:szCs w:val="24"/>
        </w:rPr>
      </w:pPr>
      <w:r w:rsidRPr="002D5CEB">
        <w:rPr>
          <w:rFonts w:ascii="Times New Roman" w:hAnsi="Times New Roman" w:cs="Times New Roman"/>
          <w:sz w:val="24"/>
          <w:szCs w:val="24"/>
        </w:rPr>
        <w:t xml:space="preserve">Blood (CBC, CMP, and TSH) and stool tests (culture, </w:t>
      </w:r>
      <w:proofErr w:type="spellStart"/>
      <w:r w:rsidRPr="002D5CEB">
        <w:rPr>
          <w:rFonts w:ascii="Times New Roman" w:hAnsi="Times New Roman" w:cs="Times New Roman"/>
          <w:i/>
          <w:iCs/>
          <w:sz w:val="24"/>
          <w:szCs w:val="24"/>
        </w:rPr>
        <w:t>C.difficile</w:t>
      </w:r>
      <w:proofErr w:type="spellEnd"/>
      <w:r w:rsidRPr="002D5CEB">
        <w:rPr>
          <w:rFonts w:ascii="Times New Roman" w:hAnsi="Times New Roman" w:cs="Times New Roman"/>
          <w:sz w:val="24"/>
          <w:szCs w:val="24"/>
        </w:rPr>
        <w:t xml:space="preserve">, </w:t>
      </w:r>
      <w:r w:rsidR="00D21CAD" w:rsidRPr="002D5CEB">
        <w:rPr>
          <w:rFonts w:ascii="Times New Roman" w:hAnsi="Times New Roman" w:cs="Times New Roman"/>
          <w:sz w:val="24"/>
          <w:szCs w:val="24"/>
        </w:rPr>
        <w:t xml:space="preserve">ova and </w:t>
      </w:r>
      <w:r w:rsidRPr="002D5CEB">
        <w:rPr>
          <w:rFonts w:ascii="Times New Roman" w:hAnsi="Times New Roman" w:cs="Times New Roman"/>
          <w:sz w:val="24"/>
          <w:szCs w:val="24"/>
        </w:rPr>
        <w:t>parasite, CMV, other viral etiologies). Tissue-transglutaminase antibodies with total IgA level to rule out new-onset celiac disease.</w:t>
      </w:r>
    </w:p>
    <w:p w14:paraId="3224B2AF" w14:textId="77777777" w:rsidR="00270700" w:rsidRPr="002D5CEB" w:rsidRDefault="00270700" w:rsidP="002D5CEB">
      <w:pPr>
        <w:pStyle w:val="BL2-MID"/>
        <w:numPr>
          <w:ilvl w:val="1"/>
          <w:numId w:val="2"/>
        </w:numPr>
        <w:spacing w:line="480" w:lineRule="auto"/>
        <w:ind w:left="1170"/>
        <w:jc w:val="both"/>
        <w:rPr>
          <w:rFonts w:ascii="Times New Roman" w:hAnsi="Times New Roman" w:cs="Times New Roman"/>
          <w:sz w:val="24"/>
          <w:szCs w:val="24"/>
        </w:rPr>
      </w:pPr>
      <w:r w:rsidRPr="002D5CEB">
        <w:rPr>
          <w:rFonts w:ascii="Times New Roman" w:hAnsi="Times New Roman" w:cs="Times New Roman"/>
          <w:sz w:val="24"/>
          <w:szCs w:val="24"/>
        </w:rPr>
        <w:t xml:space="preserve">Fecal calprotectin: informs disease activity. Elevation is associated with mucosal damage and normalization with healing. However, it may be elevated due to cancer-related luminal inflammation. </w:t>
      </w:r>
    </w:p>
    <w:p w14:paraId="44E7B2B3" w14:textId="152DF27B" w:rsidR="00270700" w:rsidRPr="002D5CEB" w:rsidRDefault="00270700" w:rsidP="002D5CEB">
      <w:pPr>
        <w:pStyle w:val="BL2-MID"/>
        <w:numPr>
          <w:ilvl w:val="1"/>
          <w:numId w:val="2"/>
        </w:numPr>
        <w:spacing w:line="480" w:lineRule="auto"/>
        <w:ind w:left="1170"/>
        <w:jc w:val="both"/>
        <w:rPr>
          <w:rFonts w:ascii="Times New Roman" w:hAnsi="Times New Roman" w:cs="Times New Roman"/>
          <w:sz w:val="24"/>
          <w:szCs w:val="24"/>
        </w:rPr>
      </w:pPr>
      <w:r w:rsidRPr="002D5CEB">
        <w:rPr>
          <w:rFonts w:ascii="Times New Roman" w:hAnsi="Times New Roman" w:cs="Times New Roman"/>
          <w:sz w:val="24"/>
          <w:szCs w:val="24"/>
        </w:rPr>
        <w:t>CT scan of abdomen and pelvis: fluid-filled colonic distension, bowel wall thickening, and mesenteric vessel engorgement</w:t>
      </w:r>
      <w:r w:rsidR="00D21CAD" w:rsidRPr="002D5CEB">
        <w:rPr>
          <w:rFonts w:ascii="Times New Roman" w:hAnsi="Times New Roman" w:cs="Times New Roman"/>
          <w:sz w:val="24"/>
          <w:szCs w:val="24"/>
        </w:rPr>
        <w:t xml:space="preserve"> are common features</w:t>
      </w:r>
      <w:r w:rsidRPr="002D5CEB">
        <w:rPr>
          <w:rFonts w:ascii="Times New Roman" w:hAnsi="Times New Roman" w:cs="Times New Roman"/>
          <w:sz w:val="24"/>
          <w:szCs w:val="24"/>
        </w:rPr>
        <w:t>.</w:t>
      </w:r>
      <w:r w:rsidR="00D21CAD" w:rsidRPr="002D5CEB">
        <w:rPr>
          <w:rFonts w:ascii="Times New Roman" w:hAnsi="Times New Roman" w:cs="Times New Roman"/>
          <w:sz w:val="24"/>
          <w:szCs w:val="24"/>
        </w:rPr>
        <w:t xml:space="preserve"> CT can be negative.</w:t>
      </w:r>
      <w:r w:rsidRPr="002D5CEB">
        <w:rPr>
          <w:rFonts w:ascii="Times New Roman" w:hAnsi="Times New Roman" w:cs="Times New Roman"/>
          <w:sz w:val="24"/>
          <w:szCs w:val="24"/>
        </w:rPr>
        <w:t xml:space="preserve"> Colitis more frequently involves the descending colon.</w:t>
      </w:r>
    </w:p>
    <w:p w14:paraId="07BF4FAD" w14:textId="77777777" w:rsidR="00270700" w:rsidRPr="002D5CEB" w:rsidRDefault="00270700" w:rsidP="002D5CEB">
      <w:pPr>
        <w:pStyle w:val="BL-LAST"/>
        <w:numPr>
          <w:ilvl w:val="1"/>
          <w:numId w:val="2"/>
        </w:numPr>
        <w:spacing w:line="480" w:lineRule="auto"/>
        <w:ind w:left="1170"/>
        <w:jc w:val="both"/>
        <w:rPr>
          <w:rFonts w:ascii="Times New Roman" w:hAnsi="Times New Roman" w:cs="Times New Roman"/>
          <w:sz w:val="24"/>
          <w:szCs w:val="24"/>
        </w:rPr>
      </w:pPr>
      <w:r w:rsidRPr="002D5CEB">
        <w:rPr>
          <w:rFonts w:ascii="Times New Roman" w:hAnsi="Times New Roman" w:cs="Times New Roman"/>
          <w:sz w:val="24"/>
          <w:szCs w:val="24"/>
        </w:rPr>
        <w:t>Endoscopic/colonoscopy/flexible sigmoidoscopy: severity assessment; the presence of ulceration may suggest a steroid-refractory course and require an early second immunosuppressant.</w:t>
      </w:r>
    </w:p>
    <w:p w14:paraId="796BF1AC" w14:textId="77777777" w:rsidR="00270700" w:rsidRPr="002D5CEB" w:rsidRDefault="00270700" w:rsidP="002D5CEB">
      <w:pPr>
        <w:pStyle w:val="BL-MID"/>
        <w:numPr>
          <w:ilvl w:val="0"/>
          <w:numId w:val="2"/>
        </w:numPr>
        <w:spacing w:line="480" w:lineRule="auto"/>
        <w:ind w:left="360"/>
        <w:jc w:val="both"/>
        <w:rPr>
          <w:rFonts w:ascii="Times New Roman" w:hAnsi="Times New Roman" w:cs="Times New Roman"/>
          <w:b/>
          <w:bCs/>
          <w:sz w:val="24"/>
          <w:szCs w:val="24"/>
        </w:rPr>
      </w:pPr>
      <w:r w:rsidRPr="002D5CEB">
        <w:rPr>
          <w:rFonts w:ascii="Times New Roman" w:hAnsi="Times New Roman" w:cs="Times New Roman"/>
          <w:b/>
          <w:bCs/>
          <w:sz w:val="24"/>
          <w:szCs w:val="24"/>
        </w:rPr>
        <w:t>Management and Treatment:</w:t>
      </w:r>
      <w:r w:rsidRPr="002D5CEB">
        <w:rPr>
          <w:rFonts w:ascii="Times New Roman" w:eastAsia="Times New Roman" w:hAnsi="Times New Roman" w:cs="Times New Roman"/>
          <w:b/>
          <w:bCs/>
          <w:sz w:val="24"/>
          <w:szCs w:val="24"/>
        </w:rPr>
        <w:t xml:space="preserve"> </w:t>
      </w:r>
    </w:p>
    <w:p w14:paraId="0DECC885" w14:textId="4D9F4806" w:rsidR="00270700" w:rsidRPr="002D5CEB" w:rsidRDefault="00D21CAD" w:rsidP="002D5CEB">
      <w:pPr>
        <w:pStyle w:val="BL-MID"/>
        <w:numPr>
          <w:ilvl w:val="0"/>
          <w:numId w:val="26"/>
        </w:numPr>
        <w:spacing w:line="480" w:lineRule="auto"/>
        <w:jc w:val="both"/>
        <w:rPr>
          <w:rFonts w:ascii="Times New Roman" w:hAnsi="Times New Roman" w:cs="Times New Roman"/>
          <w:sz w:val="24"/>
          <w:szCs w:val="24"/>
        </w:rPr>
      </w:pPr>
      <w:r w:rsidRPr="002D5CEB">
        <w:rPr>
          <w:rFonts w:ascii="Times New Roman" w:hAnsi="Times New Roman" w:cs="Times New Roman"/>
          <w:color w:val="000000"/>
          <w:sz w:val="24"/>
          <w:szCs w:val="24"/>
        </w:rPr>
        <w:t xml:space="preserve">For patients with grade 2 or higher diarrhea diagnosed with immune-related colitis, hold ICI treatment and begin oral prednisone at 0.5-1 mg/kg/day until symptoms improve. Once improvement is seen to grade 1, start tapering the dose by 10 mg per week. </w:t>
      </w:r>
      <w:r w:rsidR="00270700" w:rsidRPr="002D5CEB">
        <w:rPr>
          <w:rFonts w:ascii="Times New Roman" w:hAnsi="Times New Roman" w:cs="Times New Roman"/>
          <w:color w:val="000000"/>
          <w:sz w:val="24"/>
          <w:szCs w:val="24"/>
        </w:rPr>
        <w:t xml:space="preserve">For grade 3 or higher, start prednisone or methylprednisolone at 1-2 mg/kg/day and consider hospitalization. </w:t>
      </w:r>
    </w:p>
    <w:p w14:paraId="45A4D519" w14:textId="77777777" w:rsidR="00270700" w:rsidRPr="002D5CEB" w:rsidRDefault="00270700" w:rsidP="002D5CEB">
      <w:pPr>
        <w:pStyle w:val="BL-MID"/>
        <w:numPr>
          <w:ilvl w:val="0"/>
          <w:numId w:val="26"/>
        </w:numPr>
        <w:autoSpaceDE w:val="0"/>
        <w:autoSpaceDN w:val="0"/>
        <w:adjustRightInd w:val="0"/>
        <w:spacing w:line="480" w:lineRule="auto"/>
        <w:jc w:val="both"/>
        <w:rPr>
          <w:rFonts w:ascii="Times New Roman" w:hAnsi="Times New Roman" w:cs="Times New Roman"/>
          <w:color w:val="000000"/>
          <w:sz w:val="24"/>
          <w:szCs w:val="24"/>
        </w:rPr>
      </w:pPr>
      <w:r w:rsidRPr="002D5CEB">
        <w:rPr>
          <w:rFonts w:ascii="Times New Roman" w:hAnsi="Times New Roman" w:cs="Times New Roman"/>
          <w:color w:val="000000"/>
          <w:sz w:val="24"/>
          <w:szCs w:val="24"/>
        </w:rPr>
        <w:lastRenderedPageBreak/>
        <w:t>If there is no improvement after &gt; 48-72 hours, the condition is termed steroid-refractory, and a second-line immunosuppressant is necessary.</w:t>
      </w:r>
    </w:p>
    <w:p w14:paraId="5F8FF6FF" w14:textId="4BBD777F" w:rsidR="00270700" w:rsidRPr="002D5CEB" w:rsidRDefault="00D21CAD" w:rsidP="002D5CEB">
      <w:pPr>
        <w:pStyle w:val="BL-MID"/>
        <w:numPr>
          <w:ilvl w:val="0"/>
          <w:numId w:val="26"/>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Second-line therapies f</w:t>
      </w:r>
      <w:r w:rsidR="00270700" w:rsidRPr="002D5CEB">
        <w:rPr>
          <w:rFonts w:ascii="Times New Roman" w:hAnsi="Times New Roman" w:cs="Times New Roman"/>
          <w:sz w:val="24"/>
          <w:szCs w:val="24"/>
        </w:rPr>
        <w:t>or refractory (persistent symptoms after 3 days) and resistant cases (improvement followed by symptoms flare), add second-line therapies (</w:t>
      </w:r>
      <w:r w:rsidRPr="002D5CEB">
        <w:rPr>
          <w:rFonts w:ascii="Times New Roman" w:hAnsi="Times New Roman" w:cs="Times New Roman"/>
          <w:sz w:val="24"/>
          <w:szCs w:val="24"/>
        </w:rPr>
        <w:t>up to</w:t>
      </w:r>
      <w:r w:rsidR="00270700" w:rsidRPr="002D5CEB">
        <w:rPr>
          <w:rFonts w:ascii="Times New Roman" w:hAnsi="Times New Roman" w:cs="Times New Roman"/>
          <w:sz w:val="24"/>
          <w:szCs w:val="24"/>
        </w:rPr>
        <w:t xml:space="preserve"> </w:t>
      </w:r>
      <w:r w:rsidR="00815BAE" w:rsidRPr="002D5CEB">
        <w:rPr>
          <w:rFonts w:ascii="Times New Roman" w:hAnsi="Times New Roman" w:cs="Times New Roman"/>
          <w:sz w:val="24"/>
          <w:szCs w:val="24"/>
        </w:rPr>
        <w:t>30-</w:t>
      </w:r>
      <w:r w:rsidR="00270700" w:rsidRPr="002D5CEB">
        <w:rPr>
          <w:rFonts w:ascii="Times New Roman" w:hAnsi="Times New Roman" w:cs="Times New Roman"/>
          <w:sz w:val="24"/>
          <w:szCs w:val="24"/>
        </w:rPr>
        <w:t>45% of patients):</w:t>
      </w:r>
    </w:p>
    <w:p w14:paraId="31038973" w14:textId="77777777" w:rsidR="00270700" w:rsidRPr="002D5CEB" w:rsidRDefault="00270700" w:rsidP="002D5CEB">
      <w:pPr>
        <w:pStyle w:val="BL-FIRST"/>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Infliximab (preferred)</w:t>
      </w:r>
    </w:p>
    <w:p w14:paraId="6FBCE16F" w14:textId="77777777" w:rsidR="00270700" w:rsidRPr="002D5CEB" w:rsidRDefault="00270700" w:rsidP="002D5CEB">
      <w:pPr>
        <w:pStyle w:val="BL2-MID"/>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 xml:space="preserve">Vedolizumab </w:t>
      </w:r>
    </w:p>
    <w:p w14:paraId="3C21454D" w14:textId="11BE9988" w:rsidR="00270700" w:rsidRPr="002D5CEB" w:rsidRDefault="00270700" w:rsidP="002D5CEB">
      <w:pPr>
        <w:pStyle w:val="BL2-MID"/>
        <w:numPr>
          <w:ilvl w:val="1"/>
          <w:numId w:val="26"/>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Third-line immunosuppressants (needed in about 10% of patients)</w:t>
      </w:r>
      <w:r w:rsidR="00D21CAD" w:rsidRPr="002D5CEB">
        <w:rPr>
          <w:rFonts w:ascii="Times New Roman" w:hAnsi="Times New Roman" w:cs="Times New Roman"/>
          <w:sz w:val="24"/>
          <w:szCs w:val="24"/>
        </w:rPr>
        <w:t xml:space="preserve">. </w:t>
      </w:r>
    </w:p>
    <w:p w14:paraId="636C7D0D" w14:textId="0304B68E" w:rsidR="00270700" w:rsidRPr="002D5CEB" w:rsidRDefault="00270700" w:rsidP="002D5CEB">
      <w:pPr>
        <w:pStyle w:val="BL2-MID"/>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Infliximab or Vedolizumab</w:t>
      </w:r>
      <w:r w:rsidR="00D21CAD" w:rsidRPr="002D5CEB">
        <w:rPr>
          <w:rFonts w:ascii="Times New Roman" w:hAnsi="Times New Roman" w:cs="Times New Roman"/>
          <w:sz w:val="24"/>
          <w:szCs w:val="24"/>
        </w:rPr>
        <w:t xml:space="preserve"> if they were not used as second-line treatments </w:t>
      </w:r>
    </w:p>
    <w:p w14:paraId="54065302" w14:textId="77777777" w:rsidR="00270700" w:rsidRPr="002D5CEB" w:rsidRDefault="00270700" w:rsidP="002D5CEB">
      <w:pPr>
        <w:pStyle w:val="BL2-MID"/>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IL-12 and IL-23 blocking antibody Ustekinumab</w:t>
      </w:r>
    </w:p>
    <w:p w14:paraId="11AB542A" w14:textId="77777777" w:rsidR="00270700" w:rsidRPr="002D5CEB" w:rsidRDefault="00270700" w:rsidP="002D5CEB">
      <w:pPr>
        <w:pStyle w:val="BL2-MID"/>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JAK inhibitor tofacitinib (life-threatening situation)</w:t>
      </w:r>
    </w:p>
    <w:p w14:paraId="74C879F7" w14:textId="31A5E246" w:rsidR="00270700" w:rsidRPr="002D5CEB" w:rsidRDefault="00270700" w:rsidP="002D5CEB">
      <w:pPr>
        <w:pStyle w:val="BL2-MID"/>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 xml:space="preserve">Fecal microbiota transplantation (investigational </w:t>
      </w:r>
      <w:r w:rsidR="00D21CAD" w:rsidRPr="002D5CEB">
        <w:rPr>
          <w:rFonts w:ascii="Times New Roman" w:hAnsi="Times New Roman" w:cs="Times New Roman"/>
          <w:sz w:val="24"/>
          <w:szCs w:val="24"/>
        </w:rPr>
        <w:t xml:space="preserve">and </w:t>
      </w:r>
      <w:r w:rsidRPr="002D5CEB">
        <w:rPr>
          <w:rFonts w:ascii="Times New Roman" w:hAnsi="Times New Roman" w:cs="Times New Roman"/>
          <w:sz w:val="24"/>
          <w:szCs w:val="24"/>
        </w:rPr>
        <w:t>in clinical trial</w:t>
      </w:r>
      <w:r w:rsidR="00D21CAD" w:rsidRPr="002D5CEB">
        <w:rPr>
          <w:rFonts w:ascii="Times New Roman" w:hAnsi="Times New Roman" w:cs="Times New Roman"/>
          <w:sz w:val="24"/>
          <w:szCs w:val="24"/>
        </w:rPr>
        <w:t xml:space="preserve"> at MD Anderson</w:t>
      </w:r>
      <w:r w:rsidRPr="002D5CEB">
        <w:rPr>
          <w:rFonts w:ascii="Times New Roman" w:hAnsi="Times New Roman" w:cs="Times New Roman"/>
          <w:sz w:val="24"/>
          <w:szCs w:val="24"/>
        </w:rPr>
        <w:t>)</w:t>
      </w:r>
    </w:p>
    <w:p w14:paraId="10A049AF" w14:textId="77777777" w:rsidR="007B7017" w:rsidRPr="002D5CEB" w:rsidRDefault="00270700" w:rsidP="002D5CEB">
      <w:pPr>
        <w:pStyle w:val="BL-LAST"/>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Prior to immunosuppressants, patients should be tested for tuberculosis, hepatitis B, and HIV</w:t>
      </w:r>
    </w:p>
    <w:p w14:paraId="60E4A9E6" w14:textId="7F8446E2" w:rsidR="00270700" w:rsidRPr="002D5CEB" w:rsidRDefault="00270700" w:rsidP="002D5CEB">
      <w:pPr>
        <w:pStyle w:val="BL-MID"/>
        <w:numPr>
          <w:ilvl w:val="0"/>
          <w:numId w:val="2"/>
        </w:numPr>
        <w:spacing w:line="480" w:lineRule="auto"/>
        <w:ind w:left="360"/>
        <w:jc w:val="both"/>
        <w:rPr>
          <w:rFonts w:ascii="Times New Roman" w:hAnsi="Times New Roman" w:cs="Times New Roman"/>
          <w:b/>
          <w:bCs/>
          <w:sz w:val="24"/>
          <w:szCs w:val="24"/>
        </w:rPr>
      </w:pPr>
      <w:r w:rsidRPr="002D5CEB">
        <w:rPr>
          <w:rFonts w:ascii="Times New Roman" w:hAnsi="Times New Roman" w:cs="Times New Roman"/>
          <w:b/>
          <w:bCs/>
          <w:sz w:val="24"/>
          <w:szCs w:val="24"/>
        </w:rPr>
        <w:t>Outcomes</w:t>
      </w:r>
    </w:p>
    <w:p w14:paraId="3F56C933" w14:textId="184D7DC6" w:rsidR="00270700" w:rsidRPr="002D5CEB" w:rsidRDefault="00270700" w:rsidP="002D5CEB">
      <w:pPr>
        <w:pStyle w:val="BL-MID"/>
        <w:numPr>
          <w:ilvl w:val="0"/>
          <w:numId w:val="27"/>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Symptoms are expected to improve in days</w:t>
      </w:r>
    </w:p>
    <w:p w14:paraId="7F7191E6" w14:textId="6FDED823" w:rsidR="00270700" w:rsidRPr="002D5CEB" w:rsidRDefault="00270700" w:rsidP="002D5CEB">
      <w:pPr>
        <w:pStyle w:val="BL-MID"/>
        <w:numPr>
          <w:ilvl w:val="0"/>
          <w:numId w:val="27"/>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Colitis can recur in about 1/3 of patients rechallenged with ICI</w:t>
      </w:r>
    </w:p>
    <w:p w14:paraId="1C9791F2" w14:textId="77777777" w:rsidR="007B7017" w:rsidRPr="002D5CEB" w:rsidRDefault="00270700" w:rsidP="002D5CEB">
      <w:pPr>
        <w:pStyle w:val="BL-LAST"/>
        <w:numPr>
          <w:ilvl w:val="0"/>
          <w:numId w:val="27"/>
        </w:numPr>
        <w:spacing w:line="480" w:lineRule="auto"/>
        <w:ind w:left="720"/>
        <w:jc w:val="both"/>
        <w:rPr>
          <w:rFonts w:ascii="Times New Roman" w:hAnsi="Times New Roman" w:cs="Times New Roman"/>
          <w:b/>
          <w:bCs/>
          <w:sz w:val="24"/>
          <w:szCs w:val="24"/>
        </w:rPr>
      </w:pPr>
      <w:r w:rsidRPr="002D5CEB">
        <w:rPr>
          <w:rFonts w:ascii="Times New Roman" w:hAnsi="Times New Roman" w:cs="Times New Roman"/>
          <w:sz w:val="24"/>
          <w:szCs w:val="24"/>
        </w:rPr>
        <w:t>GI toxicities have been associated with improved survival and cancer-related outcomes</w:t>
      </w:r>
    </w:p>
    <w:p w14:paraId="02299676" w14:textId="744CA335" w:rsidR="007B7017" w:rsidRPr="002D5CEB" w:rsidRDefault="0078129C" w:rsidP="002D5CEB">
      <w:pPr>
        <w:pStyle w:val="H1"/>
        <w:spacing w:line="480" w:lineRule="auto"/>
        <w:rPr>
          <w:rFonts w:ascii="Times New Roman" w:hAnsi="Times New Roman" w:cs="Times New Roman"/>
          <w:b/>
          <w:bCs/>
          <w:color w:val="FF0000"/>
          <w:sz w:val="24"/>
          <w:szCs w:val="24"/>
        </w:rPr>
      </w:pPr>
      <w:bookmarkStart w:id="1" w:name="_Hlk172021868"/>
      <w:bookmarkEnd w:id="0"/>
      <w:r w:rsidRPr="002D5CEB">
        <w:rPr>
          <w:rFonts w:ascii="Times New Roman" w:hAnsi="Times New Roman" w:cs="Times New Roman"/>
          <w:b/>
          <w:bCs/>
          <w:color w:val="0000FF"/>
          <w:sz w:val="24"/>
          <w:szCs w:val="24"/>
        </w:rPr>
        <w:t>&lt;H1&gt;</w:t>
      </w:r>
      <w:r w:rsidR="003A225F" w:rsidRPr="002D5CEB">
        <w:rPr>
          <w:rFonts w:ascii="Times New Roman" w:hAnsi="Times New Roman" w:cs="Times New Roman"/>
          <w:b/>
          <w:bCs/>
          <w:color w:val="FF0000"/>
          <w:sz w:val="24"/>
          <w:szCs w:val="24"/>
        </w:rPr>
        <w:t>ICI Myocarditis, Myositis, and Myasthenia</w:t>
      </w:r>
    </w:p>
    <w:p w14:paraId="46A4A964" w14:textId="3ED4BB7E" w:rsidR="00AF5538" w:rsidRPr="002D5CEB" w:rsidRDefault="00AF5538"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Definitions</w:t>
      </w:r>
    </w:p>
    <w:p w14:paraId="6AC1E01B" w14:textId="20ABD056" w:rsidR="00E45CEB" w:rsidRPr="002D5CEB" w:rsidRDefault="00E45CEB" w:rsidP="002D5CEB">
      <w:pPr>
        <w:pStyle w:val="BL-MID"/>
        <w:numPr>
          <w:ilvl w:val="0"/>
          <w:numId w:val="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Typical symptoms</w:t>
      </w:r>
      <w:r w:rsidR="002A2796" w:rsidRPr="002D5CEB">
        <w:rPr>
          <w:rFonts w:ascii="Times New Roman" w:hAnsi="Times New Roman" w:cs="Times New Roman"/>
          <w:sz w:val="24"/>
          <w:szCs w:val="24"/>
        </w:rPr>
        <w:t xml:space="preserve"> for myocarditis</w:t>
      </w:r>
      <w:r w:rsidRPr="002D5CEB">
        <w:rPr>
          <w:rFonts w:ascii="Times New Roman" w:hAnsi="Times New Roman" w:cs="Times New Roman"/>
          <w:sz w:val="24"/>
          <w:szCs w:val="24"/>
        </w:rPr>
        <w:t>: chest pain, shortness of breath, fatigue, palpitations, syncope</w:t>
      </w:r>
    </w:p>
    <w:p w14:paraId="731E611C" w14:textId="08CCF253" w:rsidR="00D121DC" w:rsidRPr="002D5CEB" w:rsidRDefault="00D121DC" w:rsidP="002D5CEB">
      <w:pPr>
        <w:pStyle w:val="BL-MID"/>
        <w:numPr>
          <w:ilvl w:val="0"/>
          <w:numId w:val="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lastRenderedPageBreak/>
        <w:t>Severe cases can present with</w:t>
      </w:r>
      <w:r w:rsidR="00D21CAD" w:rsidRPr="002D5CEB">
        <w:rPr>
          <w:rFonts w:ascii="Times New Roman" w:hAnsi="Times New Roman" w:cs="Times New Roman"/>
          <w:sz w:val="24"/>
          <w:szCs w:val="24"/>
        </w:rPr>
        <w:t xml:space="preserve"> heart block, heart failure,</w:t>
      </w:r>
      <w:r w:rsidRPr="002D5CEB">
        <w:rPr>
          <w:rFonts w:ascii="Times New Roman" w:hAnsi="Times New Roman" w:cs="Times New Roman"/>
          <w:sz w:val="24"/>
          <w:szCs w:val="24"/>
        </w:rPr>
        <w:t xml:space="preserve"> cardiogenic shock</w:t>
      </w:r>
      <w:r w:rsidR="00D21CAD" w:rsidRPr="002D5CEB">
        <w:rPr>
          <w:rFonts w:ascii="Times New Roman" w:hAnsi="Times New Roman" w:cs="Times New Roman"/>
          <w:sz w:val="24"/>
          <w:szCs w:val="24"/>
        </w:rPr>
        <w:t>,</w:t>
      </w:r>
      <w:r w:rsidRPr="002D5CEB">
        <w:rPr>
          <w:rFonts w:ascii="Times New Roman" w:hAnsi="Times New Roman" w:cs="Times New Roman"/>
          <w:sz w:val="24"/>
          <w:szCs w:val="24"/>
        </w:rPr>
        <w:t xml:space="preserve"> or sudden death</w:t>
      </w:r>
    </w:p>
    <w:p w14:paraId="5F25B5F4" w14:textId="6C634D4E" w:rsidR="00D21CAD" w:rsidRPr="002D5CEB" w:rsidRDefault="00D21CAD" w:rsidP="002D5CEB">
      <w:pPr>
        <w:pStyle w:val="BL-MID"/>
        <w:numPr>
          <w:ilvl w:val="0"/>
          <w:numId w:val="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Evaluate for concomitant myositis and myasthenia gravis (overlap syndrome)</w:t>
      </w:r>
    </w:p>
    <w:p w14:paraId="27869EBC" w14:textId="2137DAB3" w:rsidR="00E05023" w:rsidRPr="002D5CEB" w:rsidRDefault="00DC439F" w:rsidP="002D5CEB">
      <w:pPr>
        <w:pStyle w:val="BL-MID"/>
        <w:numPr>
          <w:ilvl w:val="0"/>
          <w:numId w:val="40"/>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Typical symptoms:</w:t>
      </w:r>
      <w:r w:rsidR="00063E34" w:rsidRPr="002D5CEB">
        <w:rPr>
          <w:rFonts w:ascii="Times New Roman" w:hAnsi="Times New Roman" w:cs="Times New Roman"/>
          <w:sz w:val="24"/>
          <w:szCs w:val="24"/>
        </w:rPr>
        <w:t xml:space="preserve"> myalgias, muscle weakness, bulbar involvement (ptosis, diplopia, dysphagia), and</w:t>
      </w:r>
      <w:r w:rsidR="00D21CAD" w:rsidRPr="002D5CEB">
        <w:rPr>
          <w:rFonts w:ascii="Times New Roman" w:hAnsi="Times New Roman" w:cs="Times New Roman"/>
          <w:sz w:val="24"/>
          <w:szCs w:val="24"/>
        </w:rPr>
        <w:t>/or</w:t>
      </w:r>
      <w:r w:rsidR="00063E34" w:rsidRPr="002D5CEB">
        <w:rPr>
          <w:rFonts w:ascii="Times New Roman" w:hAnsi="Times New Roman" w:cs="Times New Roman"/>
          <w:sz w:val="24"/>
          <w:szCs w:val="24"/>
        </w:rPr>
        <w:t xml:space="preserve"> respiratory muscle weakness</w:t>
      </w:r>
    </w:p>
    <w:p w14:paraId="33210C87" w14:textId="5EE5BFF3" w:rsidR="00D21CAD" w:rsidRPr="002D5CEB" w:rsidRDefault="00AD328D" w:rsidP="002D5CEB">
      <w:pPr>
        <w:pStyle w:val="BL-MID"/>
        <w:numPr>
          <w:ilvl w:val="0"/>
          <w:numId w:val="6"/>
        </w:numPr>
        <w:spacing w:line="480" w:lineRule="auto"/>
        <w:ind w:left="720"/>
        <w:rPr>
          <w:rFonts w:ascii="Times New Roman" w:hAnsi="Times New Roman" w:cs="Times New Roman"/>
          <w:sz w:val="24"/>
          <w:szCs w:val="24"/>
        </w:rPr>
      </w:pPr>
      <w:r w:rsidRPr="611900A6">
        <w:rPr>
          <w:rFonts w:ascii="Times New Roman" w:hAnsi="Times New Roman" w:cs="Times New Roman"/>
          <w:sz w:val="24"/>
          <w:szCs w:val="24"/>
        </w:rPr>
        <w:t>Diagnosis: e</w:t>
      </w:r>
      <w:r w:rsidR="00452B31" w:rsidRPr="611900A6">
        <w:rPr>
          <w:rFonts w:ascii="Times New Roman" w:hAnsi="Times New Roman" w:cs="Times New Roman"/>
          <w:sz w:val="24"/>
          <w:szCs w:val="24"/>
        </w:rPr>
        <w:t>ither pathohistological or clinical d</w:t>
      </w:r>
      <w:r w:rsidR="00BE32D8" w:rsidRPr="611900A6">
        <w:rPr>
          <w:rFonts w:ascii="Times New Roman" w:hAnsi="Times New Roman" w:cs="Times New Roman"/>
          <w:sz w:val="24"/>
          <w:szCs w:val="24"/>
        </w:rPr>
        <w:t>iagnosis based on 2022 International Cardio-Oncology Society (IC-OS) consensus</w:t>
      </w:r>
      <w:r w:rsidR="00D21CAD" w:rsidRPr="611900A6">
        <w:rPr>
          <w:rFonts w:ascii="Times New Roman" w:hAnsi="Times New Roman" w:cs="Times New Roman"/>
          <w:sz w:val="24"/>
          <w:szCs w:val="24"/>
        </w:rPr>
        <w:t xml:space="preserve"> in </w:t>
      </w:r>
      <w:r w:rsidR="20FD1352" w:rsidRPr="611900A6">
        <w:rPr>
          <w:rFonts w:ascii="Times New Roman" w:hAnsi="Times New Roman" w:cs="Times New Roman"/>
          <w:sz w:val="24"/>
          <w:szCs w:val="24"/>
        </w:rPr>
        <w:t>T</w:t>
      </w:r>
      <w:r w:rsidR="00D21CAD" w:rsidRPr="611900A6">
        <w:rPr>
          <w:rFonts w:ascii="Times New Roman" w:hAnsi="Times New Roman" w:cs="Times New Roman"/>
          <w:sz w:val="24"/>
          <w:szCs w:val="24"/>
        </w:rPr>
        <w:t>able</w:t>
      </w:r>
      <w:r w:rsidR="1D866090" w:rsidRPr="611900A6">
        <w:rPr>
          <w:rFonts w:ascii="Times New Roman" w:hAnsi="Times New Roman" w:cs="Times New Roman"/>
          <w:sz w:val="24"/>
          <w:szCs w:val="24"/>
        </w:rPr>
        <w:t xml:space="preserve"> 6.9-1</w:t>
      </w:r>
    </w:p>
    <w:p w14:paraId="289A80CF" w14:textId="3B07BE6C" w:rsidR="00D21CAD" w:rsidRDefault="00D21CAD" w:rsidP="002D5CEB">
      <w:pPr>
        <w:pStyle w:val="BL-MID"/>
        <w:numPr>
          <w:ilvl w:val="0"/>
          <w:numId w:val="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The median onset time: 5 to 6 weeks, but can range from 2 to 54 weeks</w:t>
      </w:r>
    </w:p>
    <w:p w14:paraId="30882370" w14:textId="18D4B060" w:rsidR="00D16C1C" w:rsidRPr="002D5CEB" w:rsidRDefault="00D16C1C" w:rsidP="002D5CEB">
      <w:pPr>
        <w:pStyle w:val="BL-MID"/>
        <w:numPr>
          <w:ilvl w:val="0"/>
          <w:numId w:val="6"/>
        </w:numPr>
        <w:spacing w:line="480" w:lineRule="auto"/>
        <w:ind w:left="720"/>
        <w:rPr>
          <w:rFonts w:ascii="Times New Roman" w:hAnsi="Times New Roman" w:cs="Times New Roman"/>
          <w:sz w:val="24"/>
          <w:szCs w:val="24"/>
        </w:rPr>
      </w:pPr>
      <w:r>
        <w:rPr>
          <w:rFonts w:ascii="Times New Roman" w:hAnsi="Times New Roman" w:cs="Times New Roman"/>
          <w:i/>
          <w:iCs/>
          <w:sz w:val="24"/>
          <w:szCs w:val="24"/>
        </w:rPr>
        <w:t>See also Table 6.9.2.</w:t>
      </w:r>
    </w:p>
    <w:p w14:paraId="742969DD" w14:textId="6F40E6E0" w:rsidR="00D21CAD" w:rsidRPr="002D5CEB" w:rsidRDefault="008C7A41" w:rsidP="002D5CEB">
      <w:pPr>
        <w:pStyle w:val="T1"/>
        <w:spacing w:line="480" w:lineRule="auto"/>
        <w:rPr>
          <w:rFonts w:ascii="Times New Roman" w:hAnsi="Times New Roman" w:cs="Times New Roman"/>
          <w:sz w:val="24"/>
          <w:szCs w:val="24"/>
        </w:rPr>
      </w:pPr>
      <w:r w:rsidRPr="002D5CEB">
        <w:rPr>
          <w:rFonts w:ascii="Times New Roman" w:hAnsi="Times New Roman" w:cs="Times New Roman"/>
          <w:b/>
          <w:bCs/>
          <w:color w:val="0000FF"/>
          <w:sz w:val="24"/>
          <w:szCs w:val="24"/>
        </w:rPr>
        <w:t>&lt;TAB 6.9-</w:t>
      </w:r>
      <w:r w:rsidR="00D16C1C">
        <w:rPr>
          <w:rFonts w:ascii="Times New Roman" w:hAnsi="Times New Roman" w:cs="Times New Roman"/>
          <w:b/>
          <w:bCs/>
          <w:color w:val="0000FF"/>
          <w:sz w:val="24"/>
          <w:szCs w:val="24"/>
        </w:rPr>
        <w:t>2</w:t>
      </w:r>
      <w:r w:rsidRPr="002D5CEB">
        <w:rPr>
          <w:rFonts w:ascii="Times New Roman" w:hAnsi="Times New Roman" w:cs="Times New Roman"/>
          <w:b/>
          <w:bCs/>
          <w:color w:val="0000FF"/>
          <w:sz w:val="24"/>
          <w:szCs w:val="24"/>
        </w:rPr>
        <w:t>&gt;</w:t>
      </w:r>
    </w:p>
    <w:p w14:paraId="3603480F" w14:textId="48D4A21E" w:rsidR="00AF5538" w:rsidRPr="002D5CEB" w:rsidRDefault="00AF5538"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Epidemiology</w:t>
      </w:r>
    </w:p>
    <w:p w14:paraId="5E055304" w14:textId="04D8C4AF" w:rsidR="007D585D" w:rsidRPr="002D5CEB" w:rsidRDefault="001C674F" w:rsidP="002D5CEB">
      <w:pPr>
        <w:pStyle w:val="BL-MID"/>
        <w:numPr>
          <w:ilvl w:val="0"/>
          <w:numId w:val="4"/>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Overall i</w:t>
      </w:r>
      <w:r w:rsidR="007D585D" w:rsidRPr="002D5CEB">
        <w:rPr>
          <w:rFonts w:ascii="Times New Roman" w:hAnsi="Times New Roman" w:cs="Times New Roman"/>
          <w:sz w:val="24"/>
          <w:szCs w:val="24"/>
        </w:rPr>
        <w:t>ncidence: 1-1.7%</w:t>
      </w:r>
      <w:r w:rsidRPr="002D5CEB">
        <w:rPr>
          <w:rFonts w:ascii="Times New Roman" w:hAnsi="Times New Roman" w:cs="Times New Roman"/>
          <w:sz w:val="24"/>
          <w:szCs w:val="24"/>
        </w:rPr>
        <w:t xml:space="preserve">. Combination ICI therapy (such as </w:t>
      </w:r>
      <w:proofErr w:type="spellStart"/>
      <w:r w:rsidRPr="002D5CEB">
        <w:rPr>
          <w:rFonts w:ascii="Times New Roman" w:hAnsi="Times New Roman" w:cs="Times New Roman"/>
          <w:sz w:val="24"/>
          <w:szCs w:val="24"/>
        </w:rPr>
        <w:t>nivolumab</w:t>
      </w:r>
      <w:proofErr w:type="spellEnd"/>
      <w:r w:rsidRPr="002D5CEB">
        <w:rPr>
          <w:rFonts w:ascii="Times New Roman" w:hAnsi="Times New Roman" w:cs="Times New Roman"/>
          <w:sz w:val="24"/>
          <w:szCs w:val="24"/>
        </w:rPr>
        <w:t xml:space="preserve"> plus </w:t>
      </w:r>
      <w:proofErr w:type="spellStart"/>
      <w:r w:rsidRPr="002D5CEB">
        <w:rPr>
          <w:rFonts w:ascii="Times New Roman" w:hAnsi="Times New Roman" w:cs="Times New Roman"/>
          <w:sz w:val="24"/>
          <w:szCs w:val="24"/>
        </w:rPr>
        <w:t>relatlimab</w:t>
      </w:r>
      <w:proofErr w:type="spellEnd"/>
      <w:r w:rsidRPr="002D5CEB">
        <w:rPr>
          <w:rFonts w:ascii="Times New Roman" w:hAnsi="Times New Roman" w:cs="Times New Roman"/>
          <w:sz w:val="24"/>
          <w:szCs w:val="24"/>
        </w:rPr>
        <w:t xml:space="preserve">) may </w:t>
      </w:r>
      <w:r w:rsidR="000F554F" w:rsidRPr="002D5CEB">
        <w:rPr>
          <w:rFonts w:ascii="Times New Roman" w:hAnsi="Times New Roman" w:cs="Times New Roman"/>
          <w:sz w:val="24"/>
          <w:szCs w:val="24"/>
        </w:rPr>
        <w:t>carry a</w:t>
      </w:r>
      <w:r w:rsidRPr="002D5CEB">
        <w:rPr>
          <w:rFonts w:ascii="Times New Roman" w:hAnsi="Times New Roman" w:cs="Times New Roman"/>
          <w:sz w:val="24"/>
          <w:szCs w:val="24"/>
        </w:rPr>
        <w:t xml:space="preserve"> higher risk of ICI-myocarditis compared with single ICI therapy</w:t>
      </w:r>
    </w:p>
    <w:p w14:paraId="6D7E3B6F" w14:textId="36ECB12E" w:rsidR="007D585D" w:rsidRPr="002D5CEB" w:rsidRDefault="00791639" w:rsidP="002D5CEB">
      <w:pPr>
        <w:pStyle w:val="NL-FIRST"/>
        <w:numPr>
          <w:ilvl w:val="0"/>
          <w:numId w:val="4"/>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A pharmacovigilance study showed concurrent non-cardiac </w:t>
      </w:r>
      <w:proofErr w:type="spellStart"/>
      <w:r w:rsidRPr="002D5CEB">
        <w:rPr>
          <w:rFonts w:ascii="Times New Roman" w:hAnsi="Times New Roman" w:cs="Times New Roman"/>
          <w:sz w:val="24"/>
          <w:szCs w:val="24"/>
        </w:rPr>
        <w:t>irAEs</w:t>
      </w:r>
      <w:proofErr w:type="spellEnd"/>
      <w:r w:rsidRPr="002D5CEB">
        <w:rPr>
          <w:rFonts w:ascii="Times New Roman" w:hAnsi="Times New Roman" w:cs="Times New Roman"/>
          <w:sz w:val="24"/>
          <w:szCs w:val="24"/>
        </w:rPr>
        <w:t xml:space="preserve"> occurred in 42%, most commonly myositis (25%) and myasthenia gravis (11%)</w:t>
      </w:r>
    </w:p>
    <w:p w14:paraId="36F02784" w14:textId="77777777" w:rsidR="00AF5538" w:rsidRPr="002D5CEB" w:rsidRDefault="00AF5538"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Key Pathophysiology</w:t>
      </w:r>
    </w:p>
    <w:p w14:paraId="679D9DAA" w14:textId="3F24CD91" w:rsidR="00705F7A" w:rsidRPr="002D5CEB" w:rsidRDefault="00705F7A" w:rsidP="002D5CEB">
      <w:pPr>
        <w:pStyle w:val="BL-MID"/>
        <w:numPr>
          <w:ilvl w:val="0"/>
          <w:numId w:val="1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Characterized by a patchy, heterogeneous </w:t>
      </w:r>
      <w:proofErr w:type="spellStart"/>
      <w:r w:rsidRPr="002D5CEB">
        <w:rPr>
          <w:rFonts w:ascii="Times New Roman" w:hAnsi="Times New Roman" w:cs="Times New Roman"/>
          <w:sz w:val="24"/>
          <w:szCs w:val="24"/>
        </w:rPr>
        <w:t>lymphohistiocytic</w:t>
      </w:r>
      <w:proofErr w:type="spellEnd"/>
      <w:r w:rsidRPr="002D5CEB">
        <w:rPr>
          <w:rFonts w:ascii="Times New Roman" w:hAnsi="Times New Roman" w:cs="Times New Roman"/>
          <w:sz w:val="24"/>
          <w:szCs w:val="24"/>
        </w:rPr>
        <w:t xml:space="preserve"> infiltrate in the myocardium, which includes CD4</w:t>
      </w:r>
      <w:r w:rsidRPr="002D5CEB">
        <w:rPr>
          <w:rFonts w:ascii="Times New Roman" w:hAnsi="Times New Roman" w:cs="Times New Roman"/>
          <w:sz w:val="24"/>
          <w:szCs w:val="24"/>
          <w:vertAlign w:val="superscript"/>
        </w:rPr>
        <w:t>+</w:t>
      </w:r>
      <w:r w:rsidR="00AD1297" w:rsidRPr="002D5CEB">
        <w:rPr>
          <w:rFonts w:ascii="Times New Roman" w:hAnsi="Times New Roman" w:cs="Times New Roman"/>
          <w:sz w:val="24"/>
          <w:szCs w:val="24"/>
        </w:rPr>
        <w:t xml:space="preserve"> T cell,</w:t>
      </w:r>
      <w:r w:rsidRPr="002D5CEB">
        <w:rPr>
          <w:rFonts w:ascii="Times New Roman" w:hAnsi="Times New Roman" w:cs="Times New Roman"/>
          <w:sz w:val="24"/>
          <w:szCs w:val="24"/>
        </w:rPr>
        <w:t xml:space="preserve"> CD8</w:t>
      </w:r>
      <w:r w:rsidRPr="002D5CEB">
        <w:rPr>
          <w:rFonts w:ascii="Times New Roman" w:hAnsi="Times New Roman" w:cs="Times New Roman"/>
          <w:sz w:val="24"/>
          <w:szCs w:val="24"/>
          <w:vertAlign w:val="superscript"/>
        </w:rPr>
        <w:t>+</w:t>
      </w:r>
      <w:r w:rsidRPr="002D5CEB">
        <w:rPr>
          <w:rFonts w:ascii="Times New Roman" w:hAnsi="Times New Roman" w:cs="Times New Roman"/>
          <w:sz w:val="24"/>
          <w:szCs w:val="24"/>
        </w:rPr>
        <w:t xml:space="preserve"> T cell</w:t>
      </w:r>
      <w:r w:rsidR="00AD1297" w:rsidRPr="002D5CEB">
        <w:rPr>
          <w:rFonts w:ascii="Times New Roman" w:hAnsi="Times New Roman" w:cs="Times New Roman"/>
          <w:sz w:val="24"/>
          <w:szCs w:val="24"/>
        </w:rPr>
        <w:t>, mononuclear phagocytes, and dendritic cells</w:t>
      </w:r>
    </w:p>
    <w:p w14:paraId="0D303CFA" w14:textId="50BCF31D" w:rsidR="00F95AFC" w:rsidRPr="002D5CEB" w:rsidRDefault="00F95AFC" w:rsidP="002D5CEB">
      <w:pPr>
        <w:pStyle w:val="BL-MID"/>
        <w:numPr>
          <w:ilvl w:val="0"/>
          <w:numId w:val="1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In preclinical models, CTLA4 signaling and IFN-γ/JAK2/STAT1 signaling also play a critical role</w:t>
      </w:r>
    </w:p>
    <w:p w14:paraId="3628B20B" w14:textId="77777777" w:rsidR="00AF5538" w:rsidRPr="002D5CEB" w:rsidRDefault="00AF5538"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Differential Diagnosis</w:t>
      </w:r>
    </w:p>
    <w:p w14:paraId="7CD7204A" w14:textId="4086A68D" w:rsidR="003E77B9" w:rsidRPr="002D5CEB" w:rsidRDefault="003E77B9" w:rsidP="002D5CEB">
      <w:pPr>
        <w:pStyle w:val="BL-MID"/>
        <w:numPr>
          <w:ilvl w:val="0"/>
          <w:numId w:val="8"/>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Acute coronary syndrome, pulmonary embolism, viral myocarditis, and malignant pericarditis</w:t>
      </w:r>
    </w:p>
    <w:p w14:paraId="1E9C5D98" w14:textId="1A48FB23" w:rsidR="00B65DEF" w:rsidRPr="002D5CEB" w:rsidRDefault="00B65DEF" w:rsidP="002D5CEB">
      <w:pPr>
        <w:pStyle w:val="BL-MID"/>
        <w:numPr>
          <w:ilvl w:val="0"/>
          <w:numId w:val="8"/>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lastRenderedPageBreak/>
        <w:t>Work-up</w:t>
      </w:r>
    </w:p>
    <w:p w14:paraId="6518A0D8" w14:textId="5F8576EF" w:rsidR="00D76B24" w:rsidRPr="002D5CEB" w:rsidRDefault="00D76B24" w:rsidP="002D5CEB">
      <w:pPr>
        <w:pStyle w:val="BL-LAST"/>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Troponin, CPK</w:t>
      </w:r>
      <w:r w:rsidR="00954E6F" w:rsidRPr="002D5CEB">
        <w:rPr>
          <w:rFonts w:ascii="Times New Roman" w:hAnsi="Times New Roman" w:cs="Times New Roman"/>
          <w:sz w:val="24"/>
          <w:szCs w:val="24"/>
        </w:rPr>
        <w:t xml:space="preserve"> (</w:t>
      </w:r>
      <w:r w:rsidRPr="002D5CEB">
        <w:rPr>
          <w:rFonts w:ascii="Times New Roman" w:hAnsi="Times New Roman" w:cs="Times New Roman"/>
          <w:sz w:val="24"/>
          <w:szCs w:val="24"/>
        </w:rPr>
        <w:t>to rule out concurrent myositis</w:t>
      </w:r>
      <w:r w:rsidR="00954E6F" w:rsidRPr="002D5CEB">
        <w:rPr>
          <w:rFonts w:ascii="Times New Roman" w:hAnsi="Times New Roman" w:cs="Times New Roman"/>
          <w:sz w:val="24"/>
          <w:szCs w:val="24"/>
        </w:rPr>
        <w:t>)</w:t>
      </w:r>
      <w:r w:rsidR="002A2796" w:rsidRPr="002D5CEB">
        <w:rPr>
          <w:rFonts w:ascii="Times New Roman" w:hAnsi="Times New Roman" w:cs="Times New Roman"/>
          <w:sz w:val="24"/>
          <w:szCs w:val="24"/>
        </w:rPr>
        <w:t xml:space="preserve">, </w:t>
      </w:r>
      <w:r w:rsidR="00D21CAD" w:rsidRPr="002D5CEB">
        <w:rPr>
          <w:rFonts w:ascii="Times New Roman" w:hAnsi="Times New Roman" w:cs="Times New Roman"/>
          <w:sz w:val="24"/>
          <w:szCs w:val="24"/>
        </w:rPr>
        <w:t xml:space="preserve">TSH/T4 (rule out hypothyroidism), </w:t>
      </w:r>
      <w:r w:rsidR="002A2796" w:rsidRPr="002D5CEB">
        <w:rPr>
          <w:rFonts w:ascii="Times New Roman" w:hAnsi="Times New Roman" w:cs="Times New Roman"/>
          <w:sz w:val="24"/>
          <w:szCs w:val="24"/>
        </w:rPr>
        <w:t>and NT-</w:t>
      </w:r>
      <w:proofErr w:type="spellStart"/>
      <w:r w:rsidR="002A2796" w:rsidRPr="002D5CEB">
        <w:rPr>
          <w:rFonts w:ascii="Times New Roman" w:hAnsi="Times New Roman" w:cs="Times New Roman"/>
          <w:sz w:val="24"/>
          <w:szCs w:val="24"/>
        </w:rPr>
        <w:t>proBNP</w:t>
      </w:r>
      <w:proofErr w:type="spellEnd"/>
    </w:p>
    <w:p w14:paraId="79BD7E28" w14:textId="167AFED2" w:rsidR="00D76B24" w:rsidRPr="002D5CEB" w:rsidRDefault="00D76B24" w:rsidP="002D5CEB">
      <w:pPr>
        <w:pStyle w:val="BL-FIRST"/>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ECG, </w:t>
      </w:r>
      <w:r w:rsidR="006C4764" w:rsidRPr="002D5CEB">
        <w:rPr>
          <w:rFonts w:ascii="Times New Roman" w:hAnsi="Times New Roman" w:cs="Times New Roman"/>
          <w:sz w:val="24"/>
          <w:szCs w:val="24"/>
        </w:rPr>
        <w:t>c</w:t>
      </w:r>
      <w:r w:rsidRPr="002D5CEB">
        <w:rPr>
          <w:rFonts w:ascii="Times New Roman" w:hAnsi="Times New Roman" w:cs="Times New Roman"/>
          <w:sz w:val="24"/>
          <w:szCs w:val="24"/>
        </w:rPr>
        <w:t>hest X-ray</w:t>
      </w:r>
    </w:p>
    <w:p w14:paraId="3D572A18" w14:textId="77777777" w:rsidR="00D21CAD" w:rsidRPr="002D5CEB" w:rsidRDefault="00D55A65" w:rsidP="002D5CEB">
      <w:pPr>
        <w:pStyle w:val="BL-MID"/>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Echocardiogram: </w:t>
      </w:r>
      <w:r w:rsidR="00D21CAD" w:rsidRPr="002D5CEB">
        <w:rPr>
          <w:rFonts w:ascii="Times New Roman" w:hAnsi="Times New Roman" w:cs="Times New Roman"/>
          <w:sz w:val="24"/>
          <w:szCs w:val="24"/>
        </w:rPr>
        <w:t xml:space="preserve">in half of ICI myocarditis cases, left ventricular ejection fraction is preserved. </w:t>
      </w:r>
    </w:p>
    <w:p w14:paraId="081F302B" w14:textId="66526B5A" w:rsidR="00A25DFF" w:rsidRPr="002D5CEB" w:rsidRDefault="00A25DFF" w:rsidP="002D5CEB">
      <w:pPr>
        <w:pStyle w:val="BL-MID"/>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Consider </w:t>
      </w:r>
      <w:r w:rsidR="00D21CAD" w:rsidRPr="002D5CEB">
        <w:rPr>
          <w:rFonts w:ascii="Times New Roman" w:hAnsi="Times New Roman" w:cs="Times New Roman"/>
          <w:sz w:val="24"/>
          <w:szCs w:val="24"/>
        </w:rPr>
        <w:t xml:space="preserve">cardiac CT </w:t>
      </w:r>
      <w:r w:rsidR="00005051" w:rsidRPr="002D5CEB">
        <w:rPr>
          <w:rFonts w:ascii="Times New Roman" w:hAnsi="Times New Roman" w:cs="Times New Roman"/>
          <w:sz w:val="24"/>
          <w:szCs w:val="24"/>
        </w:rPr>
        <w:t>or coronary angiography to help with differential diagnosis</w:t>
      </w:r>
      <w:r w:rsidR="00D21CAD" w:rsidRPr="002D5CEB">
        <w:rPr>
          <w:rFonts w:ascii="Times New Roman" w:hAnsi="Times New Roman" w:cs="Times New Roman"/>
          <w:sz w:val="24"/>
          <w:szCs w:val="24"/>
        </w:rPr>
        <w:t xml:space="preserve"> if CAD is suspected </w:t>
      </w:r>
    </w:p>
    <w:p w14:paraId="4AA503AA" w14:textId="2471E2C6" w:rsidR="005F0C6E" w:rsidRPr="002D5CEB" w:rsidRDefault="00DC439F" w:rsidP="002D5CEB">
      <w:pPr>
        <w:pStyle w:val="BL-MID"/>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CMR</w:t>
      </w:r>
      <w:r w:rsidR="00D76B24" w:rsidRPr="002D5CEB">
        <w:rPr>
          <w:rFonts w:ascii="Times New Roman" w:hAnsi="Times New Roman" w:cs="Times New Roman"/>
          <w:sz w:val="24"/>
          <w:szCs w:val="24"/>
        </w:rPr>
        <w:t xml:space="preserve"> with and without contrast</w:t>
      </w:r>
      <w:r w:rsidR="00DF55E8" w:rsidRPr="002D5CEB">
        <w:rPr>
          <w:rFonts w:ascii="Times New Roman" w:hAnsi="Times New Roman" w:cs="Times New Roman"/>
          <w:sz w:val="24"/>
          <w:szCs w:val="24"/>
        </w:rPr>
        <w:t xml:space="preserve">: non-invasive, but less sensitive </w:t>
      </w:r>
      <w:r w:rsidR="00A25DFF" w:rsidRPr="002D5CEB">
        <w:rPr>
          <w:rFonts w:ascii="Times New Roman" w:hAnsi="Times New Roman" w:cs="Times New Roman"/>
          <w:sz w:val="24"/>
          <w:szCs w:val="24"/>
        </w:rPr>
        <w:t xml:space="preserve">for myocarditis </w:t>
      </w:r>
      <w:r w:rsidR="00DF55E8" w:rsidRPr="002D5CEB">
        <w:rPr>
          <w:rFonts w:ascii="Times New Roman" w:hAnsi="Times New Roman" w:cs="Times New Roman"/>
          <w:sz w:val="24"/>
          <w:szCs w:val="24"/>
        </w:rPr>
        <w:t xml:space="preserve">than </w:t>
      </w:r>
      <w:r w:rsidR="00EC75C9" w:rsidRPr="002D5CEB">
        <w:rPr>
          <w:rFonts w:ascii="Times New Roman" w:hAnsi="Times New Roman" w:cs="Times New Roman"/>
          <w:sz w:val="24"/>
          <w:szCs w:val="24"/>
        </w:rPr>
        <w:t>EMB</w:t>
      </w:r>
    </w:p>
    <w:p w14:paraId="6A89627D" w14:textId="77777777" w:rsidR="00B84D2A" w:rsidRPr="002D5CEB" w:rsidRDefault="00D21CAD" w:rsidP="002D5CEB">
      <w:pPr>
        <w:pStyle w:val="BL-MID"/>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EMB is the gold standard, should be considered when the diagnosis is uncertain (i.e. cardiac MRI is negative) or when patients do not respond to initial therapy</w:t>
      </w:r>
    </w:p>
    <w:p w14:paraId="29762139" w14:textId="6647C625" w:rsidR="00FE13FE" w:rsidRPr="002D5CEB" w:rsidRDefault="003E77B9" w:rsidP="002D5CEB">
      <w:pPr>
        <w:pStyle w:val="BL-LAST"/>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For patients concerning for overlap syndrome: p</w:t>
      </w:r>
      <w:r w:rsidR="00DC439F" w:rsidRPr="002D5CEB">
        <w:rPr>
          <w:rFonts w:ascii="Times New Roman" w:hAnsi="Times New Roman" w:cs="Times New Roman"/>
          <w:sz w:val="24"/>
          <w:szCs w:val="24"/>
        </w:rPr>
        <w:t xml:space="preserve">ulmonary function assessment with </w:t>
      </w:r>
      <w:r w:rsidR="00350FCD" w:rsidRPr="002D5CEB">
        <w:rPr>
          <w:rFonts w:ascii="Times New Roman" w:hAnsi="Times New Roman" w:cs="Times New Roman"/>
          <w:sz w:val="24"/>
          <w:szCs w:val="24"/>
        </w:rPr>
        <w:t>negative inspiratory force and vital</w:t>
      </w:r>
      <w:r w:rsidRPr="002D5CEB">
        <w:rPr>
          <w:rFonts w:ascii="Times New Roman" w:hAnsi="Times New Roman" w:cs="Times New Roman"/>
          <w:sz w:val="24"/>
          <w:szCs w:val="24"/>
        </w:rPr>
        <w:t xml:space="preserve"> </w:t>
      </w:r>
      <w:r w:rsidR="00350FCD" w:rsidRPr="002D5CEB">
        <w:rPr>
          <w:rFonts w:ascii="Times New Roman" w:hAnsi="Times New Roman" w:cs="Times New Roman"/>
          <w:sz w:val="24"/>
          <w:szCs w:val="24"/>
        </w:rPr>
        <w:t>capacity</w:t>
      </w:r>
      <w:r w:rsidRPr="002D5CEB">
        <w:rPr>
          <w:rFonts w:ascii="Times New Roman" w:hAnsi="Times New Roman" w:cs="Times New Roman"/>
          <w:sz w:val="24"/>
          <w:szCs w:val="24"/>
        </w:rPr>
        <w:t xml:space="preserve">, </w:t>
      </w:r>
      <w:r w:rsidR="00005051" w:rsidRPr="002D5CEB">
        <w:rPr>
          <w:rFonts w:ascii="Times New Roman" w:hAnsi="Times New Roman" w:cs="Times New Roman"/>
          <w:sz w:val="24"/>
          <w:szCs w:val="24"/>
        </w:rPr>
        <w:t>autoantibody testing for myositis and myasthenia (</w:t>
      </w:r>
      <w:proofErr w:type="spellStart"/>
      <w:r w:rsidR="00B84D2A" w:rsidRPr="002D5CEB">
        <w:rPr>
          <w:rFonts w:ascii="Times New Roman" w:hAnsi="Times New Roman" w:cs="Times New Roman"/>
          <w:sz w:val="24"/>
          <w:szCs w:val="24"/>
        </w:rPr>
        <w:t>myathenia</w:t>
      </w:r>
      <w:proofErr w:type="spellEnd"/>
      <w:r w:rsidR="00B84D2A" w:rsidRPr="002D5CEB">
        <w:rPr>
          <w:rFonts w:ascii="Times New Roman" w:hAnsi="Times New Roman" w:cs="Times New Roman"/>
          <w:sz w:val="24"/>
          <w:szCs w:val="24"/>
        </w:rPr>
        <w:t xml:space="preserve"> gravis Abs (Acetylcholine receptor blocking, modulating, and binding antibodies; anti-striated muscle antibodies) and </w:t>
      </w:r>
      <w:proofErr w:type="spellStart"/>
      <w:r w:rsidR="00B84D2A" w:rsidRPr="002D5CEB">
        <w:rPr>
          <w:rFonts w:ascii="Times New Roman" w:hAnsi="Times New Roman" w:cs="Times New Roman"/>
          <w:sz w:val="24"/>
          <w:szCs w:val="24"/>
        </w:rPr>
        <w:t>MuSK</w:t>
      </w:r>
      <w:proofErr w:type="spellEnd"/>
      <w:r w:rsidR="00B84D2A" w:rsidRPr="002D5CEB">
        <w:rPr>
          <w:rFonts w:ascii="Times New Roman" w:hAnsi="Times New Roman" w:cs="Times New Roman"/>
          <w:sz w:val="24"/>
          <w:szCs w:val="24"/>
        </w:rPr>
        <w:t xml:space="preserve"> </w:t>
      </w:r>
      <w:proofErr w:type="spellStart"/>
      <w:r w:rsidR="00B84D2A" w:rsidRPr="002D5CEB">
        <w:rPr>
          <w:rFonts w:ascii="Times New Roman" w:hAnsi="Times New Roman" w:cs="Times New Roman"/>
          <w:sz w:val="24"/>
          <w:szCs w:val="24"/>
        </w:rPr>
        <w:t>Ab</w:t>
      </w:r>
      <w:proofErr w:type="spellEnd"/>
      <w:r w:rsidR="00005051" w:rsidRPr="002D5CEB">
        <w:rPr>
          <w:rFonts w:ascii="Times New Roman" w:hAnsi="Times New Roman" w:cs="Times New Roman"/>
          <w:sz w:val="24"/>
          <w:szCs w:val="24"/>
        </w:rPr>
        <w:t xml:space="preserve">, </w:t>
      </w:r>
      <w:r w:rsidR="00BB742F" w:rsidRPr="002D5CEB">
        <w:rPr>
          <w:rFonts w:ascii="Times New Roman" w:hAnsi="Times New Roman" w:cs="Times New Roman"/>
          <w:sz w:val="24"/>
          <w:szCs w:val="24"/>
        </w:rPr>
        <w:t xml:space="preserve">and </w:t>
      </w:r>
      <w:r w:rsidR="00005051" w:rsidRPr="002D5CEB">
        <w:rPr>
          <w:rFonts w:ascii="Times New Roman" w:hAnsi="Times New Roman" w:cs="Times New Roman"/>
          <w:sz w:val="24"/>
          <w:szCs w:val="24"/>
        </w:rPr>
        <w:t>electromyography</w:t>
      </w:r>
    </w:p>
    <w:p w14:paraId="18EA25C1" w14:textId="58DE7F3A" w:rsidR="00EC75C9" w:rsidRPr="002D5CEB" w:rsidRDefault="00AF5538"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Management and Treatment:</w:t>
      </w:r>
      <w:r w:rsidRPr="002D5CEB">
        <w:rPr>
          <w:rFonts w:ascii="Times New Roman" w:eastAsia="Times New Roman" w:hAnsi="Times New Roman" w:cs="Times New Roman"/>
          <w:sz w:val="24"/>
          <w:szCs w:val="24"/>
        </w:rPr>
        <w:t xml:space="preserve"> </w:t>
      </w:r>
    </w:p>
    <w:p w14:paraId="10355DEF" w14:textId="292E9578" w:rsidR="00A354D1" w:rsidRPr="002D5CEB" w:rsidRDefault="00A354D1" w:rsidP="002D5CEB">
      <w:pPr>
        <w:pStyle w:val="BL-MID"/>
        <w:numPr>
          <w:ilvl w:val="0"/>
          <w:numId w:val="11"/>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Cardiology consult and neurology consult (if overlap syndrome)</w:t>
      </w:r>
    </w:p>
    <w:p w14:paraId="21DAF3F3" w14:textId="0444D957" w:rsidR="00432673" w:rsidRPr="002D5CEB" w:rsidRDefault="00432673" w:rsidP="002D5CEB">
      <w:pPr>
        <w:pStyle w:val="BL-MID"/>
        <w:numPr>
          <w:ilvl w:val="0"/>
          <w:numId w:val="11"/>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Start </w:t>
      </w:r>
      <w:r w:rsidR="00A354D1" w:rsidRPr="002D5CEB">
        <w:rPr>
          <w:rFonts w:ascii="Times New Roman" w:hAnsi="Times New Roman" w:cs="Times New Roman"/>
          <w:sz w:val="24"/>
          <w:szCs w:val="24"/>
        </w:rPr>
        <w:t>pulse</w:t>
      </w:r>
      <w:r w:rsidR="00555521" w:rsidRPr="002D5CEB">
        <w:rPr>
          <w:rFonts w:ascii="Times New Roman" w:hAnsi="Times New Roman" w:cs="Times New Roman"/>
          <w:sz w:val="24"/>
          <w:szCs w:val="24"/>
        </w:rPr>
        <w:t>-dose corticosteroids (IV methylprednisolone 1g/day for 3–5 days)</w:t>
      </w:r>
    </w:p>
    <w:p w14:paraId="79F649C2" w14:textId="6E6F6013" w:rsidR="00877AB7" w:rsidRPr="002D5CEB" w:rsidRDefault="00877AB7" w:rsidP="002D5CEB">
      <w:pPr>
        <w:pStyle w:val="BL-MID"/>
        <w:numPr>
          <w:ilvl w:val="0"/>
          <w:numId w:val="14"/>
        </w:numPr>
        <w:spacing w:line="480" w:lineRule="auto"/>
        <w:rPr>
          <w:rFonts w:ascii="Times New Roman" w:hAnsi="Times New Roman" w:cs="Times New Roman"/>
          <w:sz w:val="24"/>
          <w:szCs w:val="24"/>
        </w:rPr>
      </w:pPr>
      <w:r w:rsidRPr="002D5CEB">
        <w:rPr>
          <w:rFonts w:ascii="Times New Roman" w:hAnsi="Times New Roman" w:cs="Times New Roman"/>
          <w:sz w:val="24"/>
          <w:szCs w:val="24"/>
        </w:rPr>
        <w:t xml:space="preserve">ATRIUM trial ongoing: a phase 3 randomized, placebo-controlled trial, to assess the efficacy of </w:t>
      </w:r>
      <w:r w:rsidR="00B84D2A" w:rsidRPr="002D5CEB">
        <w:rPr>
          <w:rFonts w:ascii="Times New Roman" w:hAnsi="Times New Roman" w:cs="Times New Roman"/>
          <w:sz w:val="24"/>
          <w:szCs w:val="24"/>
        </w:rPr>
        <w:t>adding</w:t>
      </w:r>
      <w:r w:rsidRPr="002D5CEB">
        <w:rPr>
          <w:rFonts w:ascii="Times New Roman" w:hAnsi="Times New Roman" w:cs="Times New Roman"/>
          <w:sz w:val="24"/>
          <w:szCs w:val="24"/>
        </w:rPr>
        <w:t xml:space="preserve"> abatacept </w:t>
      </w:r>
      <w:r w:rsidR="00DE2DAC" w:rsidRPr="002D5CEB">
        <w:rPr>
          <w:rFonts w:ascii="Times New Roman" w:hAnsi="Times New Roman" w:cs="Times New Roman"/>
          <w:sz w:val="24"/>
          <w:szCs w:val="24"/>
        </w:rPr>
        <w:t xml:space="preserve">(10 mg/kg) </w:t>
      </w:r>
      <w:r w:rsidRPr="002D5CEB">
        <w:rPr>
          <w:rFonts w:ascii="Times New Roman" w:hAnsi="Times New Roman" w:cs="Times New Roman"/>
          <w:sz w:val="24"/>
          <w:szCs w:val="24"/>
        </w:rPr>
        <w:t>compared to placebo</w:t>
      </w:r>
      <w:r w:rsidR="00B84D2A" w:rsidRPr="002D5CEB">
        <w:rPr>
          <w:rFonts w:ascii="Times New Roman" w:hAnsi="Times New Roman" w:cs="Times New Roman"/>
          <w:sz w:val="24"/>
          <w:szCs w:val="24"/>
        </w:rPr>
        <w:t xml:space="preserve"> + steroids</w:t>
      </w:r>
      <w:r w:rsidRPr="002D5CEB">
        <w:rPr>
          <w:rFonts w:ascii="Times New Roman" w:hAnsi="Times New Roman" w:cs="Times New Roman"/>
          <w:sz w:val="24"/>
          <w:szCs w:val="24"/>
        </w:rPr>
        <w:t xml:space="preserve"> in patients with ICI-myocarditis</w:t>
      </w:r>
    </w:p>
    <w:p w14:paraId="6DFAC7CF" w14:textId="59F36BA0" w:rsidR="00432673" w:rsidRPr="002D5CEB" w:rsidRDefault="00432673" w:rsidP="002D5CEB">
      <w:pPr>
        <w:pStyle w:val="BL-MID"/>
        <w:numPr>
          <w:ilvl w:val="0"/>
          <w:numId w:val="12"/>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lastRenderedPageBreak/>
        <w:t>Improvement (in both symptoms and troponin levels) is expected in the first 24-48hrs after initiation of steroids</w:t>
      </w:r>
    </w:p>
    <w:p w14:paraId="4A90B4C3" w14:textId="77777777" w:rsidR="00B84D2A" w:rsidRPr="002D5CEB" w:rsidRDefault="00432673" w:rsidP="002D5CEB">
      <w:pPr>
        <w:pStyle w:val="BL-MID"/>
        <w:numPr>
          <w:ilvl w:val="0"/>
          <w:numId w:val="12"/>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If improve</w:t>
      </w:r>
      <w:r w:rsidR="00B450B1" w:rsidRPr="002D5CEB">
        <w:rPr>
          <w:rFonts w:ascii="Times New Roman" w:hAnsi="Times New Roman" w:cs="Times New Roman"/>
          <w:sz w:val="24"/>
          <w:szCs w:val="24"/>
        </w:rPr>
        <w:t>d</w:t>
      </w:r>
      <w:r w:rsidRPr="002D5CEB">
        <w:rPr>
          <w:rFonts w:ascii="Times New Roman" w:hAnsi="Times New Roman" w:cs="Times New Roman"/>
          <w:sz w:val="24"/>
          <w:szCs w:val="24"/>
        </w:rPr>
        <w:t xml:space="preserve">, taper to </w:t>
      </w:r>
      <w:r w:rsidR="00B450B1" w:rsidRPr="002D5CEB">
        <w:rPr>
          <w:rFonts w:ascii="Times New Roman" w:hAnsi="Times New Roman" w:cs="Times New Roman"/>
          <w:sz w:val="24"/>
          <w:szCs w:val="24"/>
        </w:rPr>
        <w:t xml:space="preserve">prednisone </w:t>
      </w:r>
      <w:r w:rsidR="00555521" w:rsidRPr="002D5CEB">
        <w:rPr>
          <w:rFonts w:ascii="Times New Roman" w:hAnsi="Times New Roman" w:cs="Times New Roman"/>
          <w:sz w:val="24"/>
          <w:szCs w:val="24"/>
        </w:rPr>
        <w:t xml:space="preserve">1.5mg/kg, </w:t>
      </w:r>
      <w:r w:rsidRPr="002D5CEB">
        <w:rPr>
          <w:rFonts w:ascii="Times New Roman" w:hAnsi="Times New Roman" w:cs="Times New Roman"/>
          <w:sz w:val="24"/>
          <w:szCs w:val="24"/>
        </w:rPr>
        <w:t>the</w:t>
      </w:r>
      <w:r w:rsidR="006E7A38" w:rsidRPr="002D5CEB">
        <w:rPr>
          <w:rFonts w:ascii="Times New Roman" w:hAnsi="Times New Roman" w:cs="Times New Roman"/>
          <w:sz w:val="24"/>
          <w:szCs w:val="24"/>
        </w:rPr>
        <w:t>n</w:t>
      </w:r>
      <w:r w:rsidRPr="002D5CEB">
        <w:rPr>
          <w:rFonts w:ascii="Times New Roman" w:hAnsi="Times New Roman" w:cs="Times New Roman"/>
          <w:sz w:val="24"/>
          <w:szCs w:val="24"/>
        </w:rPr>
        <w:t xml:space="preserve"> </w:t>
      </w:r>
      <w:r w:rsidR="00555521" w:rsidRPr="002D5CEB">
        <w:rPr>
          <w:rFonts w:ascii="Times New Roman" w:hAnsi="Times New Roman" w:cs="Times New Roman"/>
          <w:sz w:val="24"/>
          <w:szCs w:val="24"/>
        </w:rPr>
        <w:t xml:space="preserve">by 10mg weekly </w:t>
      </w:r>
    </w:p>
    <w:p w14:paraId="6F21122E" w14:textId="2C736BAB" w:rsidR="00432673" w:rsidRPr="002D5CEB" w:rsidRDefault="00B84D2A" w:rsidP="002D5CEB">
      <w:pPr>
        <w:pStyle w:val="BL-LAST"/>
        <w:numPr>
          <w:ilvl w:val="0"/>
          <w:numId w:val="12"/>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If there is no improvement within 24-48 hours, the condition is considered steroid-refractory, and additional immunosuppression should be added</w:t>
      </w:r>
    </w:p>
    <w:p w14:paraId="0FF408ED" w14:textId="77777777" w:rsidR="0076670E" w:rsidRPr="002D5CEB" w:rsidRDefault="0076670E" w:rsidP="002D5CEB">
      <w:pPr>
        <w:pStyle w:val="BL-FIRST"/>
        <w:numPr>
          <w:ilvl w:val="0"/>
          <w:numId w:val="11"/>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Second-line immunosuppression</w:t>
      </w:r>
    </w:p>
    <w:p w14:paraId="34828A47" w14:textId="77777777" w:rsidR="00B84D2A" w:rsidRPr="002D5CEB" w:rsidRDefault="00B84D2A" w:rsidP="002D5CEB">
      <w:pPr>
        <w:pStyle w:val="BL-MID"/>
        <w:numPr>
          <w:ilvl w:val="0"/>
          <w:numId w:val="13"/>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Abatacept outside of clinical trials: 500mg every 2 weeks for five doses (dosing per ASCO guidelines)</w:t>
      </w:r>
    </w:p>
    <w:p w14:paraId="0EFF8722" w14:textId="77777777" w:rsidR="00B84D2A" w:rsidRPr="002D5CEB" w:rsidRDefault="00B84D2A" w:rsidP="002D5CEB">
      <w:pPr>
        <w:pStyle w:val="BL-MID"/>
        <w:numPr>
          <w:ilvl w:val="0"/>
          <w:numId w:val="14"/>
        </w:numPr>
        <w:spacing w:line="480" w:lineRule="auto"/>
        <w:rPr>
          <w:rFonts w:ascii="Times New Roman" w:hAnsi="Times New Roman" w:cs="Times New Roman"/>
          <w:sz w:val="24"/>
          <w:szCs w:val="24"/>
        </w:rPr>
      </w:pPr>
      <w:r w:rsidRPr="002D5CEB">
        <w:rPr>
          <w:rFonts w:ascii="Times New Roman" w:hAnsi="Times New Roman" w:cs="Times New Roman"/>
          <w:sz w:val="24"/>
          <w:szCs w:val="24"/>
        </w:rPr>
        <w:t>Mycophenolate 500mg–1000mg BID</w:t>
      </w:r>
    </w:p>
    <w:p w14:paraId="7BEFE5CF" w14:textId="7F5D2BE3" w:rsidR="00B84D2A" w:rsidRPr="002D5CEB" w:rsidRDefault="00B84D2A" w:rsidP="002D5CEB">
      <w:pPr>
        <w:pStyle w:val="BL-MID"/>
        <w:numPr>
          <w:ilvl w:val="0"/>
          <w:numId w:val="14"/>
        </w:numPr>
        <w:spacing w:line="480" w:lineRule="auto"/>
        <w:rPr>
          <w:rFonts w:ascii="Times New Roman" w:hAnsi="Times New Roman" w:cs="Times New Roman"/>
          <w:sz w:val="24"/>
          <w:szCs w:val="24"/>
        </w:rPr>
      </w:pPr>
      <w:proofErr w:type="spellStart"/>
      <w:r w:rsidRPr="002D5CEB">
        <w:rPr>
          <w:rFonts w:ascii="Times New Roman" w:hAnsi="Times New Roman" w:cs="Times New Roman"/>
          <w:sz w:val="24"/>
          <w:szCs w:val="24"/>
        </w:rPr>
        <w:t>Ruxolitinib</w:t>
      </w:r>
      <w:proofErr w:type="spellEnd"/>
      <w:r w:rsidRPr="002D5CEB">
        <w:rPr>
          <w:rFonts w:ascii="Times New Roman" w:hAnsi="Times New Roman" w:cs="Times New Roman"/>
          <w:sz w:val="24"/>
          <w:szCs w:val="24"/>
        </w:rPr>
        <w:t xml:space="preserve"> </w:t>
      </w:r>
      <w:r w:rsidR="00120EA5" w:rsidRPr="002D5CEB">
        <w:rPr>
          <w:rFonts w:ascii="Times New Roman" w:hAnsi="Times New Roman" w:cs="Times New Roman"/>
          <w:sz w:val="24"/>
          <w:szCs w:val="24"/>
        </w:rPr>
        <w:t xml:space="preserve">up to </w:t>
      </w:r>
      <w:r w:rsidRPr="002D5CEB">
        <w:rPr>
          <w:rFonts w:ascii="Times New Roman" w:hAnsi="Times New Roman" w:cs="Times New Roman"/>
          <w:sz w:val="24"/>
          <w:szCs w:val="24"/>
        </w:rPr>
        <w:t xml:space="preserve">15mg BID (dosing per </w:t>
      </w:r>
      <w:r w:rsidR="00AF350A" w:rsidRPr="002D5CEB">
        <w:rPr>
          <w:rFonts w:ascii="Times New Roman" w:hAnsi="Times New Roman" w:cs="Times New Roman"/>
          <w:sz w:val="24"/>
          <w:szCs w:val="24"/>
        </w:rPr>
        <w:t>a case report published by Nguyen LS, et al., and a case series published by Salem JE, et al.</w:t>
      </w:r>
      <w:r w:rsidRPr="002D5CEB">
        <w:rPr>
          <w:rFonts w:ascii="Times New Roman" w:hAnsi="Times New Roman" w:cs="Times New Roman"/>
          <w:sz w:val="24"/>
          <w:szCs w:val="24"/>
        </w:rPr>
        <w:t>)</w:t>
      </w:r>
    </w:p>
    <w:p w14:paraId="3D503AD3" w14:textId="400B64A2" w:rsidR="00B84D2A" w:rsidRPr="002D5CEB" w:rsidRDefault="00120EA5" w:rsidP="002D5CEB">
      <w:pPr>
        <w:pStyle w:val="BL-MID"/>
        <w:numPr>
          <w:ilvl w:val="0"/>
          <w:numId w:val="14"/>
        </w:numPr>
        <w:spacing w:line="480" w:lineRule="auto"/>
        <w:rPr>
          <w:rFonts w:ascii="Times New Roman" w:hAnsi="Times New Roman" w:cs="Times New Roman"/>
          <w:sz w:val="24"/>
          <w:szCs w:val="24"/>
        </w:rPr>
      </w:pPr>
      <w:r w:rsidRPr="002D5CEB">
        <w:rPr>
          <w:rFonts w:ascii="Times New Roman" w:hAnsi="Times New Roman" w:cs="Times New Roman"/>
          <w:sz w:val="24"/>
          <w:szCs w:val="24"/>
        </w:rPr>
        <w:t>Anti-thymocyte Globulin (ATG)</w:t>
      </w:r>
      <w:r w:rsidR="00F405E3" w:rsidRPr="002D5CEB">
        <w:rPr>
          <w:rFonts w:ascii="Times New Roman" w:hAnsi="Times New Roman" w:cs="Times New Roman"/>
          <w:sz w:val="24"/>
          <w:szCs w:val="24"/>
        </w:rPr>
        <w:t xml:space="preserve"> </w:t>
      </w:r>
    </w:p>
    <w:p w14:paraId="49ED779C" w14:textId="44FF895A" w:rsidR="00B84D2A" w:rsidRPr="002D5CEB" w:rsidRDefault="00B84D2A" w:rsidP="002D5CEB">
      <w:pPr>
        <w:pStyle w:val="BL-LAST"/>
        <w:numPr>
          <w:ilvl w:val="0"/>
          <w:numId w:val="14"/>
        </w:numPr>
        <w:spacing w:line="480" w:lineRule="auto"/>
        <w:rPr>
          <w:rFonts w:ascii="Times New Roman" w:hAnsi="Times New Roman" w:cs="Times New Roman"/>
          <w:sz w:val="24"/>
          <w:szCs w:val="24"/>
        </w:rPr>
      </w:pPr>
      <w:r w:rsidRPr="002D5CEB">
        <w:rPr>
          <w:rFonts w:ascii="Times New Roman" w:hAnsi="Times New Roman" w:cs="Times New Roman"/>
          <w:sz w:val="24"/>
          <w:szCs w:val="24"/>
        </w:rPr>
        <w:t>Alemtuzumab</w:t>
      </w:r>
      <w:r w:rsidR="00F405E3" w:rsidRPr="002D5CEB">
        <w:rPr>
          <w:rFonts w:ascii="Times New Roman" w:hAnsi="Times New Roman" w:cs="Times New Roman"/>
          <w:sz w:val="24"/>
          <w:szCs w:val="24"/>
        </w:rPr>
        <w:t xml:space="preserve"> 30 mg IV single dose</w:t>
      </w:r>
    </w:p>
    <w:p w14:paraId="38562FBA" w14:textId="46DDA2BF" w:rsidR="00B84D2A" w:rsidRPr="002D5CEB" w:rsidRDefault="00B84D2A" w:rsidP="002D5CEB">
      <w:pPr>
        <w:pStyle w:val="BL-LAST"/>
        <w:numPr>
          <w:ilvl w:val="0"/>
          <w:numId w:val="11"/>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Frequently monitor troponin levels during hospitalization until there is clinical and biochemical improvement.</w:t>
      </w:r>
    </w:p>
    <w:p w14:paraId="7ADCFB2D" w14:textId="63290949" w:rsidR="00AF5538" w:rsidRPr="002D5CEB" w:rsidRDefault="00AF5538"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Outcomes</w:t>
      </w:r>
    </w:p>
    <w:p w14:paraId="057FDFAF" w14:textId="1880DC9B" w:rsidR="001A44B1" w:rsidRPr="002D5CEB" w:rsidRDefault="001A44B1" w:rsidP="002D5CEB">
      <w:pPr>
        <w:pStyle w:val="BL-MID"/>
        <w:numPr>
          <w:ilvl w:val="0"/>
          <w:numId w:val="4"/>
        </w:numPr>
        <w:spacing w:before="0" w:beforeAutospacing="0" w:after="0" w:afterAutospacing="0" w:line="480" w:lineRule="auto"/>
        <w:ind w:left="720"/>
      </w:pPr>
      <w:r w:rsidRPr="002D5CEB">
        <w:rPr>
          <w:rStyle w:val="Strong"/>
          <w:b w:val="0"/>
          <w:bCs w:val="0"/>
        </w:rPr>
        <w:t>High troponin levels (e.g., ≥1.5 ng/mL):</w:t>
      </w:r>
      <w:r w:rsidRPr="002D5CEB">
        <w:rPr>
          <w:b/>
          <w:bCs/>
        </w:rPr>
        <w:t xml:space="preserve"> </w:t>
      </w:r>
      <w:r w:rsidRPr="002D5CEB">
        <w:t xml:space="preserve">Elevated troponin levels are associated with an increased risk of </w:t>
      </w:r>
      <w:r w:rsidRPr="002D5CEB">
        <w:rPr>
          <w:rStyle w:val="Strong"/>
          <w:b w:val="0"/>
          <w:bCs w:val="0"/>
        </w:rPr>
        <w:t xml:space="preserve">major adverse cardiac events (MACE) </w:t>
      </w:r>
      <w:r w:rsidRPr="002D5CEB">
        <w:t>and poorer survival.</w:t>
      </w:r>
    </w:p>
    <w:p w14:paraId="61BBBCE5" w14:textId="4118CA21" w:rsidR="001A44B1" w:rsidRPr="002D5CEB" w:rsidRDefault="001A44B1" w:rsidP="002D5CEB">
      <w:pPr>
        <w:pStyle w:val="BL-MID"/>
        <w:numPr>
          <w:ilvl w:val="0"/>
          <w:numId w:val="4"/>
        </w:numPr>
        <w:spacing w:before="0" w:beforeAutospacing="0" w:after="0" w:afterAutospacing="0" w:line="480" w:lineRule="auto"/>
        <w:ind w:left="720"/>
      </w:pPr>
      <w:r w:rsidRPr="002D5CEB">
        <w:rPr>
          <w:rStyle w:val="Strong"/>
          <w:b w:val="0"/>
          <w:bCs w:val="0"/>
        </w:rPr>
        <w:t>Major adverse cardiac events:</w:t>
      </w:r>
      <w:r w:rsidRPr="002D5CEB">
        <w:rPr>
          <w:b/>
          <w:bCs/>
        </w:rPr>
        <w:t xml:space="preserve"> </w:t>
      </w:r>
      <w:r w:rsidRPr="002D5CEB">
        <w:t>Approximately half of patients experience MACE, including hemodynamically significant complete heart block, cardiogenic shock, cardiac arrest, and cardiovascular death</w:t>
      </w:r>
    </w:p>
    <w:p w14:paraId="7A4A9586" w14:textId="2158A01F" w:rsidR="001A44B1" w:rsidRPr="002D5CEB" w:rsidRDefault="001A44B1" w:rsidP="002D5CEB">
      <w:pPr>
        <w:pStyle w:val="BL-MID"/>
        <w:numPr>
          <w:ilvl w:val="0"/>
          <w:numId w:val="4"/>
        </w:numPr>
        <w:spacing w:before="0" w:beforeAutospacing="0" w:after="0" w:afterAutospacing="0" w:line="480" w:lineRule="auto"/>
        <w:ind w:left="720"/>
        <w:rPr>
          <w:b/>
          <w:bCs/>
        </w:rPr>
      </w:pPr>
      <w:r w:rsidRPr="002D5CEB">
        <w:rPr>
          <w:rStyle w:val="Strong"/>
          <w:b w:val="0"/>
          <w:bCs w:val="0"/>
        </w:rPr>
        <w:lastRenderedPageBreak/>
        <w:t>High mortality rate:</w:t>
      </w:r>
      <w:r w:rsidRPr="002D5CEB">
        <w:rPr>
          <w:b/>
          <w:bCs/>
        </w:rPr>
        <w:t xml:space="preserve"> </w:t>
      </w:r>
      <w:r w:rsidRPr="002D5CEB">
        <w:t>Mortality rate ranges from 25% to 50%, often due to refractory arrhythmia or cardiogenic shock. In patients with concurrent overlap syndrome, the mortality rate may be as high as 35% to 60%.</w:t>
      </w:r>
    </w:p>
    <w:p w14:paraId="47A7268F" w14:textId="77777777" w:rsidR="007B7017" w:rsidRPr="002D5CEB" w:rsidRDefault="001A44B1" w:rsidP="002D5CEB">
      <w:pPr>
        <w:pStyle w:val="BL-LAST"/>
        <w:numPr>
          <w:ilvl w:val="0"/>
          <w:numId w:val="4"/>
        </w:numPr>
        <w:spacing w:before="0" w:beforeAutospacing="0" w:after="0" w:afterAutospacing="0" w:line="480" w:lineRule="auto"/>
        <w:ind w:left="720"/>
      </w:pPr>
      <w:r w:rsidRPr="002D5CEB">
        <w:t xml:space="preserve">Permanent discontinuation of ICI therapy. The appropriateness of rechallenging remains unknown and given the severity of myocarditis is not recommended </w:t>
      </w:r>
    </w:p>
    <w:bookmarkEnd w:id="1"/>
    <w:p w14:paraId="1BCE6627" w14:textId="63EECDB0" w:rsidR="007B7017" w:rsidRPr="002D5CEB" w:rsidRDefault="008C7A41" w:rsidP="002D5CEB">
      <w:pPr>
        <w:pStyle w:val="H1"/>
        <w:spacing w:line="480" w:lineRule="auto"/>
        <w:rPr>
          <w:rFonts w:ascii="Times New Roman" w:hAnsi="Times New Roman" w:cs="Times New Roman"/>
          <w:b/>
          <w:bCs/>
          <w:color w:val="FF0000"/>
          <w:sz w:val="24"/>
          <w:szCs w:val="24"/>
        </w:rPr>
      </w:pPr>
      <w:r w:rsidRPr="002D5CEB">
        <w:rPr>
          <w:rFonts w:ascii="Times New Roman" w:hAnsi="Times New Roman" w:cs="Times New Roman"/>
          <w:b/>
          <w:bCs/>
          <w:color w:val="0000FF"/>
          <w:sz w:val="24"/>
          <w:szCs w:val="24"/>
        </w:rPr>
        <w:t>&lt;H1&gt;</w:t>
      </w:r>
      <w:r w:rsidR="00B1420A" w:rsidRPr="002D5CEB">
        <w:rPr>
          <w:rFonts w:ascii="Times New Roman" w:hAnsi="Times New Roman" w:cs="Times New Roman"/>
          <w:b/>
          <w:bCs/>
          <w:color w:val="FF0000"/>
          <w:sz w:val="24"/>
          <w:szCs w:val="24"/>
        </w:rPr>
        <w:t>Neurological immune-related adverse events</w:t>
      </w:r>
    </w:p>
    <w:p w14:paraId="26F5596B" w14:textId="75ECE306" w:rsidR="00B1420A" w:rsidRPr="002D5CEB" w:rsidRDefault="00B1420A"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Definitions</w:t>
      </w:r>
    </w:p>
    <w:p w14:paraId="2D74147F" w14:textId="5259DE31" w:rsidR="00B1420A" w:rsidRPr="002D5CEB" w:rsidRDefault="00B1420A" w:rsidP="002D5CEB">
      <w:pPr>
        <w:pStyle w:val="BL-MID"/>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color w:val="000000"/>
          <w:sz w:val="24"/>
          <w:szCs w:val="24"/>
        </w:rPr>
        <w:t>Neurological immune-related adverse events (</w:t>
      </w:r>
      <w:proofErr w:type="spellStart"/>
      <w:r w:rsidRPr="002D5CEB">
        <w:rPr>
          <w:rFonts w:ascii="Times New Roman" w:hAnsi="Times New Roman" w:cs="Times New Roman"/>
          <w:color w:val="000000"/>
          <w:sz w:val="24"/>
          <w:szCs w:val="24"/>
        </w:rPr>
        <w:t>irAEs</w:t>
      </w:r>
      <w:proofErr w:type="spellEnd"/>
      <w:r w:rsidRPr="002D5CEB">
        <w:rPr>
          <w:rFonts w:ascii="Times New Roman" w:hAnsi="Times New Roman" w:cs="Times New Roman"/>
          <w:color w:val="000000"/>
          <w:sz w:val="24"/>
          <w:szCs w:val="24"/>
        </w:rPr>
        <w:t xml:space="preserve">) include a vast spectrum </w:t>
      </w:r>
      <w:r w:rsidRPr="002D5CEB">
        <w:rPr>
          <w:rFonts w:ascii="Times New Roman" w:hAnsi="Times New Roman" w:cs="Times New Roman"/>
          <w:sz w:val="24"/>
          <w:szCs w:val="24"/>
        </w:rPr>
        <w:t xml:space="preserve">of diseases: </w:t>
      </w:r>
    </w:p>
    <w:p w14:paraId="6BC59F3A" w14:textId="077F9A0F" w:rsidR="00B1420A" w:rsidRPr="002D5CEB" w:rsidRDefault="00B1420A" w:rsidP="002D5CEB">
      <w:pPr>
        <w:pStyle w:val="BL-MID"/>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w:t>
      </w:r>
      <w:proofErr w:type="spellStart"/>
      <w:r w:rsidRPr="002D5CEB">
        <w:rPr>
          <w:rFonts w:ascii="Times New Roman" w:hAnsi="Times New Roman" w:cs="Times New Roman"/>
          <w:sz w:val="24"/>
          <w:szCs w:val="24"/>
        </w:rPr>
        <w:t>irMeningitis</w:t>
      </w:r>
      <w:proofErr w:type="spellEnd"/>
      <w:r w:rsidRPr="002D5CEB">
        <w:rPr>
          <w:rFonts w:ascii="Times New Roman" w:hAnsi="Times New Roman" w:cs="Times New Roman"/>
          <w:sz w:val="24"/>
          <w:szCs w:val="24"/>
        </w:rPr>
        <w:t xml:space="preserve">, </w:t>
      </w:r>
      <w:proofErr w:type="spellStart"/>
      <w:r w:rsidRPr="002D5CEB">
        <w:rPr>
          <w:rFonts w:ascii="Times New Roman" w:hAnsi="Times New Roman" w:cs="Times New Roman"/>
          <w:sz w:val="24"/>
          <w:szCs w:val="24"/>
        </w:rPr>
        <w:t>irEncephalitis</w:t>
      </w:r>
      <w:proofErr w:type="spellEnd"/>
      <w:r w:rsidRPr="002D5CEB">
        <w:rPr>
          <w:rFonts w:ascii="Times New Roman" w:hAnsi="Times New Roman" w:cs="Times New Roman"/>
          <w:sz w:val="24"/>
          <w:szCs w:val="24"/>
        </w:rPr>
        <w:t xml:space="preserve">, </w:t>
      </w:r>
      <w:proofErr w:type="spellStart"/>
      <w:r w:rsidRPr="002D5CEB">
        <w:rPr>
          <w:rFonts w:ascii="Times New Roman" w:hAnsi="Times New Roman" w:cs="Times New Roman"/>
          <w:sz w:val="24"/>
          <w:szCs w:val="24"/>
        </w:rPr>
        <w:t>irDemyelinating</w:t>
      </w:r>
      <w:proofErr w:type="spellEnd"/>
      <w:r w:rsidRPr="002D5CEB">
        <w:rPr>
          <w:rFonts w:ascii="Times New Roman" w:hAnsi="Times New Roman" w:cs="Times New Roman"/>
          <w:sz w:val="24"/>
          <w:szCs w:val="24"/>
        </w:rPr>
        <w:t xml:space="preserve"> disease, </w:t>
      </w:r>
      <w:proofErr w:type="spellStart"/>
      <w:r w:rsidRPr="002D5CEB">
        <w:rPr>
          <w:rFonts w:ascii="Times New Roman" w:hAnsi="Times New Roman" w:cs="Times New Roman"/>
          <w:sz w:val="24"/>
          <w:szCs w:val="24"/>
        </w:rPr>
        <w:t>irVasculitis</w:t>
      </w:r>
      <w:proofErr w:type="spellEnd"/>
      <w:r w:rsidRPr="002D5CEB">
        <w:rPr>
          <w:rFonts w:ascii="Times New Roman" w:hAnsi="Times New Roman" w:cs="Times New Roman"/>
          <w:sz w:val="24"/>
          <w:szCs w:val="24"/>
        </w:rPr>
        <w:t xml:space="preserve">, </w:t>
      </w:r>
      <w:proofErr w:type="spellStart"/>
      <w:r w:rsidRPr="002D5CEB">
        <w:rPr>
          <w:rFonts w:ascii="Times New Roman" w:hAnsi="Times New Roman" w:cs="Times New Roman"/>
          <w:sz w:val="24"/>
          <w:szCs w:val="24"/>
        </w:rPr>
        <w:t>irNeuropathy</w:t>
      </w:r>
      <w:proofErr w:type="spellEnd"/>
      <w:r w:rsidRPr="002D5CEB">
        <w:rPr>
          <w:rFonts w:ascii="Times New Roman" w:hAnsi="Times New Roman" w:cs="Times New Roman"/>
          <w:sz w:val="24"/>
          <w:szCs w:val="24"/>
        </w:rPr>
        <w:t xml:space="preserve">, </w:t>
      </w:r>
      <w:proofErr w:type="spellStart"/>
      <w:r w:rsidRPr="002D5CEB">
        <w:rPr>
          <w:rFonts w:ascii="Times New Roman" w:hAnsi="Times New Roman" w:cs="Times New Roman"/>
          <w:sz w:val="24"/>
          <w:szCs w:val="24"/>
        </w:rPr>
        <w:t>irNeuromuscular</w:t>
      </w:r>
      <w:proofErr w:type="spellEnd"/>
      <w:r w:rsidRPr="002D5CEB">
        <w:rPr>
          <w:rFonts w:ascii="Times New Roman" w:hAnsi="Times New Roman" w:cs="Times New Roman"/>
          <w:sz w:val="24"/>
          <w:szCs w:val="24"/>
        </w:rPr>
        <w:t xml:space="preserve"> junction disorders and </w:t>
      </w:r>
      <w:proofErr w:type="spellStart"/>
      <w:r w:rsidRPr="002D5CEB">
        <w:rPr>
          <w:rFonts w:ascii="Times New Roman" w:hAnsi="Times New Roman" w:cs="Times New Roman"/>
          <w:sz w:val="24"/>
          <w:szCs w:val="24"/>
        </w:rPr>
        <w:t>irMyopathy</w:t>
      </w:r>
      <w:proofErr w:type="spellEnd"/>
    </w:p>
    <w:p w14:paraId="59430F92" w14:textId="0A0DDD30" w:rsidR="00B1420A" w:rsidRPr="002D5CEB" w:rsidRDefault="00B1420A" w:rsidP="002D5CEB">
      <w:pPr>
        <w:pStyle w:val="BL-LAST"/>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They usually </w:t>
      </w:r>
      <w:proofErr w:type="gramStart"/>
      <w:r w:rsidRPr="002D5CEB">
        <w:rPr>
          <w:rFonts w:ascii="Times New Roman" w:hAnsi="Times New Roman" w:cs="Times New Roman"/>
          <w:sz w:val="24"/>
          <w:szCs w:val="24"/>
        </w:rPr>
        <w:t>occurs</w:t>
      </w:r>
      <w:proofErr w:type="gramEnd"/>
      <w:r w:rsidRPr="002D5CEB">
        <w:rPr>
          <w:rFonts w:ascii="Times New Roman" w:hAnsi="Times New Roman" w:cs="Times New Roman"/>
          <w:sz w:val="24"/>
          <w:szCs w:val="24"/>
        </w:rPr>
        <w:t xml:space="preserve"> within the first 3 months after starting ICI, with a median time to onset of four weeks (1-68 weeks).</w:t>
      </w:r>
    </w:p>
    <w:p w14:paraId="24A9DDFC" w14:textId="08E208EA" w:rsidR="00B1420A" w:rsidRPr="002D5CEB" w:rsidRDefault="00B1420A" w:rsidP="002D5CEB">
      <w:pPr>
        <w:pStyle w:val="BL-FIRST"/>
        <w:numPr>
          <w:ilvl w:val="1"/>
          <w:numId w:val="26"/>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irMeningitis</w:t>
      </w:r>
      <w:proofErr w:type="spellEnd"/>
      <w:r w:rsidRPr="002D5CEB">
        <w:rPr>
          <w:rFonts w:ascii="Times New Roman" w:hAnsi="Times New Roman" w:cs="Times New Roman"/>
          <w:sz w:val="24"/>
          <w:szCs w:val="24"/>
        </w:rPr>
        <w:t xml:space="preserve"> is more frequently associated with anti-CTLA4 and combination ICI. Patients may present with headache, photophobia, neck stiffness, nausea and vomiting, and low-grade fever. Mental status is often normal. </w:t>
      </w:r>
    </w:p>
    <w:p w14:paraId="7CB94028" w14:textId="1EF9B410" w:rsidR="00B1420A" w:rsidRPr="002D5CEB" w:rsidRDefault="00B1420A" w:rsidP="002D5CEB">
      <w:pPr>
        <w:pStyle w:val="BL2-MID"/>
        <w:numPr>
          <w:ilvl w:val="1"/>
          <w:numId w:val="26"/>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irEncephalitis</w:t>
      </w:r>
      <w:proofErr w:type="spellEnd"/>
      <w:r w:rsidRPr="002D5CEB">
        <w:rPr>
          <w:rFonts w:ascii="Times New Roman" w:hAnsi="Times New Roman" w:cs="Times New Roman"/>
          <w:sz w:val="24"/>
          <w:szCs w:val="24"/>
        </w:rPr>
        <w:t xml:space="preserve"> may present with confusion, altered mental status and behavior, agitation, speech abnormalities, seizures, weakness, and gait instability. </w:t>
      </w:r>
      <w:r w:rsidR="00E06C38" w:rsidRPr="002D5CEB">
        <w:rPr>
          <w:rFonts w:ascii="Times New Roman" w:hAnsi="Times New Roman" w:cs="Times New Roman"/>
          <w:sz w:val="24"/>
          <w:szCs w:val="24"/>
        </w:rPr>
        <w:t>Anti-PD-(L)1 monotherapy, whether used alone or in combination, carries a higher risk of encephalitis compared to anti-CTLA-4 therapy.</w:t>
      </w:r>
    </w:p>
    <w:p w14:paraId="35149D02" w14:textId="104A9EE5" w:rsidR="00B1420A" w:rsidRPr="002D5CEB" w:rsidRDefault="00E06C38" w:rsidP="002D5CEB">
      <w:pPr>
        <w:pStyle w:val="BL2-MID"/>
        <w:numPr>
          <w:ilvl w:val="1"/>
          <w:numId w:val="26"/>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IrNeuromuscular</w:t>
      </w:r>
      <w:proofErr w:type="spellEnd"/>
      <w:r w:rsidRPr="002D5CEB">
        <w:rPr>
          <w:rFonts w:ascii="Times New Roman" w:hAnsi="Times New Roman" w:cs="Times New Roman"/>
          <w:sz w:val="24"/>
          <w:szCs w:val="24"/>
        </w:rPr>
        <w:t xml:space="preserve"> conditions such as </w:t>
      </w:r>
      <w:r w:rsidR="00B1420A" w:rsidRPr="002D5CEB">
        <w:rPr>
          <w:rFonts w:ascii="Times New Roman" w:hAnsi="Times New Roman" w:cs="Times New Roman"/>
          <w:sz w:val="24"/>
          <w:szCs w:val="24"/>
        </w:rPr>
        <w:t xml:space="preserve">myasthenia gravis </w:t>
      </w:r>
      <w:r w:rsidRPr="002D5CEB">
        <w:rPr>
          <w:rFonts w:ascii="Times New Roman" w:hAnsi="Times New Roman" w:cs="Times New Roman"/>
          <w:sz w:val="24"/>
          <w:szCs w:val="24"/>
        </w:rPr>
        <w:t>are characterized by</w:t>
      </w:r>
      <w:r w:rsidR="00B1420A" w:rsidRPr="002D5CEB">
        <w:rPr>
          <w:rFonts w:ascii="Times New Roman" w:hAnsi="Times New Roman" w:cs="Times New Roman"/>
          <w:sz w:val="24"/>
          <w:szCs w:val="24"/>
        </w:rPr>
        <w:t xml:space="preserve"> marked fatigable or fluctuating muscle weakness, including ptosis, double vision, dysphagia, dysarthria, facial muscle weakness, head drop or neck weakness, and dyspnea due to </w:t>
      </w:r>
      <w:r w:rsidR="00B1420A" w:rsidRPr="002D5CEB">
        <w:rPr>
          <w:rFonts w:ascii="Times New Roman" w:hAnsi="Times New Roman" w:cs="Times New Roman"/>
          <w:sz w:val="24"/>
          <w:szCs w:val="24"/>
        </w:rPr>
        <w:lastRenderedPageBreak/>
        <w:t xml:space="preserve">diaphragmatic weakness. The overlapping syndrome of myasthenia gravis, myositis, and myocarditis is </w:t>
      </w:r>
      <w:r w:rsidRPr="002D5CEB">
        <w:rPr>
          <w:rFonts w:ascii="Times New Roman" w:hAnsi="Times New Roman" w:cs="Times New Roman"/>
          <w:sz w:val="24"/>
          <w:szCs w:val="24"/>
        </w:rPr>
        <w:t xml:space="preserve">discussed above. </w:t>
      </w:r>
    </w:p>
    <w:p w14:paraId="72D81A35" w14:textId="639F4FFB" w:rsidR="00B1420A" w:rsidRPr="002D5CEB" w:rsidRDefault="00E06C38" w:rsidP="002D5CEB">
      <w:pPr>
        <w:pStyle w:val="BL2-MID"/>
        <w:numPr>
          <w:ilvl w:val="1"/>
          <w:numId w:val="26"/>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irNeuropathy</w:t>
      </w:r>
      <w:proofErr w:type="spellEnd"/>
      <w:r w:rsidRPr="002D5CEB">
        <w:rPr>
          <w:rFonts w:ascii="Times New Roman" w:hAnsi="Times New Roman" w:cs="Times New Roman"/>
          <w:sz w:val="24"/>
          <w:szCs w:val="24"/>
        </w:rPr>
        <w:t xml:space="preserve"> - p</w:t>
      </w:r>
      <w:r w:rsidR="00B1420A" w:rsidRPr="002D5CEB">
        <w:rPr>
          <w:rFonts w:ascii="Times New Roman" w:hAnsi="Times New Roman" w:cs="Times New Roman"/>
          <w:sz w:val="24"/>
          <w:szCs w:val="24"/>
        </w:rPr>
        <w:t>eripheral neuropathies</w:t>
      </w:r>
      <w:r w:rsidRPr="002D5CEB">
        <w:rPr>
          <w:rFonts w:ascii="Times New Roman" w:hAnsi="Times New Roman" w:cs="Times New Roman"/>
          <w:sz w:val="24"/>
          <w:szCs w:val="24"/>
        </w:rPr>
        <w:t xml:space="preserve"> that</w:t>
      </w:r>
      <w:r w:rsidR="00B1420A" w:rsidRPr="002D5CEB">
        <w:rPr>
          <w:rFonts w:ascii="Times New Roman" w:hAnsi="Times New Roman" w:cs="Times New Roman"/>
          <w:sz w:val="24"/>
          <w:szCs w:val="24"/>
        </w:rPr>
        <w:t xml:space="preserve"> have a variety of presentations, including cranial neuropathies (especially of the facial and abducens nerves), painful small-fiber neuropathy, and sensorimotor syndrome, such as Guillain-Barré syndrome. The latter is more common with anti-CTLA-4 and combination therapies. Besides the classical symptoms of ascending and progressive muscle weakness, sensory loss, and areflexia, dysregulation of autonomic nerves may also occur. </w:t>
      </w:r>
    </w:p>
    <w:p w14:paraId="02199E08" w14:textId="77777777" w:rsidR="007B7017" w:rsidRPr="002D5CEB" w:rsidRDefault="00E06C38" w:rsidP="002D5CEB">
      <w:pPr>
        <w:pStyle w:val="BL-LAST"/>
        <w:numPr>
          <w:ilvl w:val="1"/>
          <w:numId w:val="26"/>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irDemyelinating</w:t>
      </w:r>
      <w:proofErr w:type="spellEnd"/>
      <w:r w:rsidRPr="002D5CEB">
        <w:rPr>
          <w:rFonts w:ascii="Times New Roman" w:hAnsi="Times New Roman" w:cs="Times New Roman"/>
          <w:sz w:val="24"/>
          <w:szCs w:val="24"/>
        </w:rPr>
        <w:t xml:space="preserve"> disease </w:t>
      </w:r>
      <w:r w:rsidR="00B1420A" w:rsidRPr="002D5CEB">
        <w:rPr>
          <w:rFonts w:ascii="Times New Roman" w:hAnsi="Times New Roman" w:cs="Times New Roman"/>
          <w:sz w:val="24"/>
          <w:szCs w:val="24"/>
        </w:rPr>
        <w:t xml:space="preserve">include multiple sclerosis, transverse myelitis, acute-disseminated encephalomyelitis, optic neuritis, and </w:t>
      </w:r>
      <w:proofErr w:type="spellStart"/>
      <w:r w:rsidR="00B1420A" w:rsidRPr="002D5CEB">
        <w:rPr>
          <w:rFonts w:ascii="Times New Roman" w:hAnsi="Times New Roman" w:cs="Times New Roman"/>
          <w:sz w:val="24"/>
          <w:szCs w:val="24"/>
        </w:rPr>
        <w:t>neuromyelitis</w:t>
      </w:r>
      <w:proofErr w:type="spellEnd"/>
      <w:r w:rsidR="00B1420A" w:rsidRPr="002D5CEB">
        <w:rPr>
          <w:rFonts w:ascii="Times New Roman" w:hAnsi="Times New Roman" w:cs="Times New Roman"/>
          <w:sz w:val="24"/>
          <w:szCs w:val="24"/>
        </w:rPr>
        <w:t xml:space="preserve"> </w:t>
      </w:r>
      <w:proofErr w:type="spellStart"/>
      <w:r w:rsidR="00B1420A" w:rsidRPr="002D5CEB">
        <w:rPr>
          <w:rFonts w:ascii="Times New Roman" w:hAnsi="Times New Roman" w:cs="Times New Roman"/>
          <w:sz w:val="24"/>
          <w:szCs w:val="24"/>
        </w:rPr>
        <w:t>optica</w:t>
      </w:r>
      <w:proofErr w:type="spellEnd"/>
      <w:r w:rsidR="00B1420A" w:rsidRPr="002D5CEB">
        <w:rPr>
          <w:rFonts w:ascii="Times New Roman" w:hAnsi="Times New Roman" w:cs="Times New Roman"/>
          <w:sz w:val="24"/>
          <w:szCs w:val="24"/>
        </w:rPr>
        <w:t xml:space="preserve">. </w:t>
      </w:r>
    </w:p>
    <w:p w14:paraId="4E200784" w14:textId="58319B24" w:rsidR="00B1420A" w:rsidRPr="002D5CEB" w:rsidRDefault="00B1420A"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Epidemiology</w:t>
      </w:r>
    </w:p>
    <w:p w14:paraId="3DCD20CE" w14:textId="77777777" w:rsidR="00B1420A" w:rsidRPr="002D5CEB" w:rsidRDefault="00B1420A" w:rsidP="002D5CEB">
      <w:pPr>
        <w:pStyle w:val="BL-FIRST"/>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The overall incidence is 4% in patients treated with CTLA-4 inhibitors, 6% with PD1/PD-L1 blockage, and 12% with the combination of PD1 plus CTLA4 inhibitors. </w:t>
      </w:r>
    </w:p>
    <w:p w14:paraId="702367E1" w14:textId="77777777" w:rsidR="007B7017" w:rsidRPr="002D5CEB" w:rsidRDefault="00B1420A" w:rsidP="002D5CEB">
      <w:pPr>
        <w:pStyle w:val="BL-LAST"/>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Grade 3 or higher occurs in less than 1% of patients, but </w:t>
      </w:r>
      <w:r w:rsidR="00E06C38" w:rsidRPr="002D5CEB">
        <w:rPr>
          <w:rFonts w:ascii="Times New Roman" w:hAnsi="Times New Roman" w:cs="Times New Roman"/>
          <w:sz w:val="24"/>
          <w:szCs w:val="24"/>
        </w:rPr>
        <w:t>they can</w:t>
      </w:r>
      <w:r w:rsidRPr="002D5CEB">
        <w:rPr>
          <w:rFonts w:ascii="Times New Roman" w:hAnsi="Times New Roman" w:cs="Times New Roman"/>
          <w:sz w:val="24"/>
          <w:szCs w:val="24"/>
        </w:rPr>
        <w:t xml:space="preserve"> be fatal or cause permanent</w:t>
      </w:r>
      <w:r w:rsidR="00E06C38" w:rsidRPr="002D5CEB">
        <w:rPr>
          <w:rFonts w:ascii="Times New Roman" w:hAnsi="Times New Roman" w:cs="Times New Roman"/>
          <w:sz w:val="24"/>
          <w:szCs w:val="24"/>
        </w:rPr>
        <w:t xml:space="preserve"> neurological </w:t>
      </w:r>
      <w:r w:rsidRPr="002D5CEB">
        <w:rPr>
          <w:rFonts w:ascii="Times New Roman" w:hAnsi="Times New Roman" w:cs="Times New Roman"/>
          <w:sz w:val="24"/>
          <w:szCs w:val="24"/>
        </w:rPr>
        <w:t>impairment.</w:t>
      </w:r>
    </w:p>
    <w:p w14:paraId="35CC9320" w14:textId="2BD0463D" w:rsidR="00B1420A" w:rsidRPr="002D5CEB" w:rsidRDefault="00B1420A"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Key Pathophysiology</w:t>
      </w:r>
    </w:p>
    <w:p w14:paraId="39571884" w14:textId="52BB4CC3" w:rsidR="00E06C38" w:rsidRPr="002D5CEB" w:rsidRDefault="00E06C38" w:rsidP="002D5CEB">
      <w:pPr>
        <w:pStyle w:val="BL-FIRST"/>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In </w:t>
      </w:r>
      <w:proofErr w:type="spellStart"/>
      <w:r w:rsidRPr="002D5CEB">
        <w:rPr>
          <w:rFonts w:ascii="Times New Roman" w:hAnsi="Times New Roman" w:cs="Times New Roman"/>
          <w:sz w:val="24"/>
          <w:szCs w:val="24"/>
        </w:rPr>
        <w:t>irEncephalitis</w:t>
      </w:r>
      <w:proofErr w:type="spellEnd"/>
      <w:r w:rsidRPr="002D5CEB">
        <w:rPr>
          <w:rFonts w:ascii="Times New Roman" w:hAnsi="Times New Roman" w:cs="Times New Roman"/>
          <w:sz w:val="24"/>
          <w:szCs w:val="24"/>
        </w:rPr>
        <w:t>, patients may develop neural-specific autoantibodies, such as anti-Ma-2 and anti-Hu, which are also observed in paraneoplastic syndromes.</w:t>
      </w:r>
    </w:p>
    <w:p w14:paraId="6EB2112F" w14:textId="77777777" w:rsidR="007B7017" w:rsidRPr="002D5CEB" w:rsidRDefault="00E06C38" w:rsidP="002D5CEB">
      <w:pPr>
        <w:pStyle w:val="BL-LAST"/>
        <w:numPr>
          <w:ilvl w:val="1"/>
          <w:numId w:val="2"/>
        </w:numPr>
        <w:spacing w:line="480" w:lineRule="auto"/>
        <w:ind w:left="720"/>
        <w:rPr>
          <w:rFonts w:ascii="Times New Roman" w:hAnsi="Times New Roman" w:cs="Times New Roman"/>
          <w:sz w:val="24"/>
          <w:szCs w:val="24"/>
        </w:rPr>
      </w:pPr>
      <w:proofErr w:type="spellStart"/>
      <w:r w:rsidRPr="002D5CEB">
        <w:rPr>
          <w:rFonts w:ascii="Times New Roman" w:hAnsi="Times New Roman" w:cs="Times New Roman"/>
          <w:sz w:val="24"/>
          <w:szCs w:val="24"/>
        </w:rPr>
        <w:t>irMyasthenia</w:t>
      </w:r>
      <w:proofErr w:type="spellEnd"/>
      <w:r w:rsidRPr="002D5CEB">
        <w:rPr>
          <w:rFonts w:ascii="Times New Roman" w:hAnsi="Times New Roman" w:cs="Times New Roman"/>
          <w:sz w:val="24"/>
          <w:szCs w:val="24"/>
        </w:rPr>
        <w:t xml:space="preserve"> gravis, p</w:t>
      </w:r>
      <w:r w:rsidR="00B1420A" w:rsidRPr="002D5CEB">
        <w:rPr>
          <w:rFonts w:ascii="Times New Roman" w:hAnsi="Times New Roman" w:cs="Times New Roman"/>
          <w:sz w:val="24"/>
          <w:szCs w:val="24"/>
        </w:rPr>
        <w:t>ositive antibodies against acetylcholine receptor (</w:t>
      </w:r>
      <w:proofErr w:type="spellStart"/>
      <w:r w:rsidR="00B1420A" w:rsidRPr="002D5CEB">
        <w:rPr>
          <w:rFonts w:ascii="Times New Roman" w:hAnsi="Times New Roman" w:cs="Times New Roman"/>
          <w:sz w:val="24"/>
          <w:szCs w:val="24"/>
        </w:rPr>
        <w:t>AChR</w:t>
      </w:r>
      <w:proofErr w:type="spellEnd"/>
      <w:r w:rsidR="00B1420A" w:rsidRPr="002D5CEB">
        <w:rPr>
          <w:rFonts w:ascii="Times New Roman" w:hAnsi="Times New Roman" w:cs="Times New Roman"/>
          <w:sz w:val="24"/>
          <w:szCs w:val="24"/>
        </w:rPr>
        <w:t>) are reported in about 60% of patients with generalized weakness and more frequently in those with prior myasthenia gravis.</w:t>
      </w:r>
    </w:p>
    <w:p w14:paraId="75A963A6" w14:textId="77777777" w:rsidR="007B7017" w:rsidRPr="002D5CEB" w:rsidRDefault="00B1420A"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Differential Diagnosis</w:t>
      </w:r>
    </w:p>
    <w:p w14:paraId="1E2CA012" w14:textId="404A18E2" w:rsidR="00B1420A" w:rsidRPr="002D5CEB" w:rsidRDefault="00B1420A" w:rsidP="002D5CEB">
      <w:pPr>
        <w:pStyle w:val="BL-FIRST"/>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lastRenderedPageBreak/>
        <w:t xml:space="preserve">The initial workup is focused on ruling out central nervous system progressive disease or leptomeningeal metastasis, infectious disease, seizure activity, </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 xml:space="preserve"> (in the case of headache), paraneoplastic neurological syndromes, and metabolic alterations causing neurological symptoms. </w:t>
      </w:r>
    </w:p>
    <w:p w14:paraId="31059C0C" w14:textId="15A55CF3" w:rsidR="00B1420A" w:rsidRPr="002D5CEB" w:rsidRDefault="00B1420A" w:rsidP="002D5CEB">
      <w:pPr>
        <w:pStyle w:val="BL2-MID"/>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General diagnostic workup include</w:t>
      </w:r>
      <w:r w:rsidR="00E06C38" w:rsidRPr="002D5CEB">
        <w:rPr>
          <w:rFonts w:ascii="Times New Roman" w:hAnsi="Times New Roman" w:cs="Times New Roman"/>
          <w:sz w:val="24"/>
          <w:szCs w:val="24"/>
        </w:rPr>
        <w:t>s</w:t>
      </w:r>
      <w:r w:rsidRPr="002D5CEB">
        <w:rPr>
          <w:rFonts w:ascii="Times New Roman" w:hAnsi="Times New Roman" w:cs="Times New Roman"/>
          <w:sz w:val="24"/>
          <w:szCs w:val="24"/>
        </w:rPr>
        <w:t xml:space="preserve"> brain and/or spine MRI with and without contrast, lumbar puncture (LP) with cerebrospinal fluid analysis (CSF)</w:t>
      </w:r>
      <w:r w:rsidR="00E06C38" w:rsidRPr="002D5CEB">
        <w:rPr>
          <w:rFonts w:ascii="Times New Roman" w:hAnsi="Times New Roman" w:cs="Times New Roman"/>
          <w:sz w:val="24"/>
          <w:szCs w:val="24"/>
        </w:rPr>
        <w:t xml:space="preserve"> studies including opening pressure, cell count/differential; protein, glucose; oligoclonal bands and IgG index; cytology (rule out leptomeningeal disease) and/or flow cytometry depending on malignancy; gram stain/culture; HSV PCR, VZV PCR, other infectious studies (viral, </w:t>
      </w:r>
      <w:proofErr w:type="spellStart"/>
      <w:r w:rsidR="00E06C38" w:rsidRPr="002D5CEB">
        <w:rPr>
          <w:rFonts w:ascii="Times New Roman" w:hAnsi="Times New Roman" w:cs="Times New Roman"/>
          <w:sz w:val="24"/>
          <w:szCs w:val="24"/>
        </w:rPr>
        <w:t>etc</w:t>
      </w:r>
      <w:proofErr w:type="spellEnd"/>
      <w:r w:rsidR="00E06C38" w:rsidRPr="002D5CEB">
        <w:rPr>
          <w:rFonts w:ascii="Times New Roman" w:hAnsi="Times New Roman" w:cs="Times New Roman"/>
          <w:sz w:val="24"/>
          <w:szCs w:val="24"/>
        </w:rPr>
        <w:t>) as indicated along with</w:t>
      </w:r>
      <w:r w:rsidRPr="002D5CEB">
        <w:rPr>
          <w:rFonts w:ascii="Times New Roman" w:hAnsi="Times New Roman" w:cs="Times New Roman"/>
          <w:sz w:val="24"/>
          <w:szCs w:val="24"/>
        </w:rPr>
        <w:t xml:space="preserve"> complete blood counts and metabolic panel, thyroid panel, ACTH and cortisol. </w:t>
      </w:r>
    </w:p>
    <w:p w14:paraId="3F40331B" w14:textId="77777777" w:rsidR="00B1420A" w:rsidRPr="002D5CEB" w:rsidRDefault="00B1420A" w:rsidP="002D5CEB">
      <w:pPr>
        <w:pStyle w:val="BL2-MID"/>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Additional specific workup recommendations for patients suspected of: </w:t>
      </w:r>
    </w:p>
    <w:p w14:paraId="31193A3F" w14:textId="081EEA1D" w:rsidR="00E06C38" w:rsidRPr="002D5CEB" w:rsidRDefault="00E06C38" w:rsidP="002D5CEB">
      <w:pPr>
        <w:pStyle w:val="BL2-MID"/>
        <w:numPr>
          <w:ilvl w:val="1"/>
          <w:numId w:val="2"/>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w:t>
      </w:r>
      <w:r w:rsidR="00B1420A" w:rsidRPr="002D5CEB">
        <w:rPr>
          <w:rFonts w:ascii="Times New Roman" w:hAnsi="Times New Roman" w:cs="Times New Roman"/>
          <w:sz w:val="24"/>
          <w:szCs w:val="24"/>
        </w:rPr>
        <w:t>Encephalitis</w:t>
      </w:r>
      <w:proofErr w:type="spellEnd"/>
      <w:r w:rsidR="00B1420A" w:rsidRPr="002D5CEB">
        <w:rPr>
          <w:rFonts w:ascii="Times New Roman" w:hAnsi="Times New Roman" w:cs="Times New Roman"/>
          <w:sz w:val="24"/>
          <w:szCs w:val="24"/>
        </w:rPr>
        <w:t>: autoimmune encephalopathy and paraneoplastic panels of blood and cerebrospinal fluid (CSF)</w:t>
      </w:r>
      <w:r w:rsidR="001A14AA" w:rsidRPr="002D5CEB">
        <w:rPr>
          <w:rFonts w:ascii="Times New Roman" w:hAnsi="Times New Roman" w:cs="Times New Roman"/>
          <w:sz w:val="24"/>
          <w:szCs w:val="24"/>
        </w:rPr>
        <w:t xml:space="preserve"> </w:t>
      </w:r>
      <w:r w:rsidR="00B1420A" w:rsidRPr="002D5CEB">
        <w:rPr>
          <w:rFonts w:ascii="Times New Roman" w:hAnsi="Times New Roman" w:cs="Times New Roman"/>
          <w:sz w:val="24"/>
          <w:szCs w:val="24"/>
        </w:rPr>
        <w:t>and electroencephalogram (EEG).</w:t>
      </w:r>
    </w:p>
    <w:p w14:paraId="0AEC154C" w14:textId="76E1664F" w:rsidR="00B1420A" w:rsidRPr="002D5CEB" w:rsidRDefault="001A14AA" w:rsidP="002D5CEB">
      <w:pPr>
        <w:pStyle w:val="BL2-MID"/>
        <w:numPr>
          <w:ilvl w:val="1"/>
          <w:numId w:val="2"/>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w:t>
      </w:r>
      <w:r w:rsidR="00B1420A" w:rsidRPr="002D5CEB">
        <w:rPr>
          <w:rFonts w:ascii="Times New Roman" w:hAnsi="Times New Roman" w:cs="Times New Roman"/>
          <w:sz w:val="24"/>
          <w:szCs w:val="24"/>
        </w:rPr>
        <w:t>Myasthenia</w:t>
      </w:r>
      <w:proofErr w:type="spellEnd"/>
      <w:r w:rsidR="00B1420A" w:rsidRPr="002D5CEB">
        <w:rPr>
          <w:rFonts w:ascii="Times New Roman" w:hAnsi="Times New Roman" w:cs="Times New Roman"/>
          <w:sz w:val="24"/>
          <w:szCs w:val="24"/>
        </w:rPr>
        <w:t xml:space="preserve"> gravis: antibody testing for myasthenia gravis (</w:t>
      </w:r>
      <w:proofErr w:type="spellStart"/>
      <w:r w:rsidR="00B1420A" w:rsidRPr="002D5CEB">
        <w:rPr>
          <w:rFonts w:ascii="Times New Roman" w:hAnsi="Times New Roman" w:cs="Times New Roman"/>
          <w:sz w:val="24"/>
          <w:szCs w:val="24"/>
        </w:rPr>
        <w:t>AChR</w:t>
      </w:r>
      <w:proofErr w:type="spellEnd"/>
      <w:r w:rsidR="00B1420A" w:rsidRPr="002D5CEB">
        <w:rPr>
          <w:rFonts w:ascii="Times New Roman" w:hAnsi="Times New Roman" w:cs="Times New Roman"/>
          <w:sz w:val="24"/>
          <w:szCs w:val="24"/>
        </w:rPr>
        <w:t xml:space="preserve"> </w:t>
      </w:r>
      <w:r w:rsidRPr="002D5CEB">
        <w:rPr>
          <w:rFonts w:ascii="Times New Roman" w:hAnsi="Times New Roman" w:cs="Times New Roman"/>
          <w:sz w:val="24"/>
          <w:szCs w:val="24"/>
        </w:rPr>
        <w:t xml:space="preserve">or modulating </w:t>
      </w:r>
      <w:proofErr w:type="spellStart"/>
      <w:r w:rsidRPr="002D5CEB">
        <w:rPr>
          <w:rFonts w:ascii="Times New Roman" w:hAnsi="Times New Roman" w:cs="Times New Roman"/>
          <w:sz w:val="24"/>
          <w:szCs w:val="24"/>
        </w:rPr>
        <w:t>Ab</w:t>
      </w:r>
      <w:proofErr w:type="spellEnd"/>
      <w:r w:rsidRPr="002D5CEB">
        <w:rPr>
          <w:rFonts w:ascii="Times New Roman" w:hAnsi="Times New Roman" w:cs="Times New Roman"/>
          <w:sz w:val="24"/>
          <w:szCs w:val="24"/>
        </w:rPr>
        <w:t xml:space="preserve"> or </w:t>
      </w:r>
      <w:proofErr w:type="spellStart"/>
      <w:r w:rsidRPr="002D5CEB">
        <w:rPr>
          <w:rFonts w:ascii="Times New Roman" w:hAnsi="Times New Roman" w:cs="Times New Roman"/>
          <w:sz w:val="24"/>
          <w:szCs w:val="24"/>
        </w:rPr>
        <w:t>MuSK</w:t>
      </w:r>
      <w:proofErr w:type="spellEnd"/>
      <w:r w:rsidRPr="002D5CEB">
        <w:rPr>
          <w:rFonts w:ascii="Times New Roman" w:hAnsi="Times New Roman" w:cs="Times New Roman"/>
          <w:sz w:val="24"/>
          <w:szCs w:val="24"/>
        </w:rPr>
        <w:t xml:space="preserve"> antibody)</w:t>
      </w:r>
      <w:r w:rsidR="00B1420A" w:rsidRPr="002D5CEB">
        <w:rPr>
          <w:rFonts w:ascii="Times New Roman" w:hAnsi="Times New Roman" w:cs="Times New Roman"/>
          <w:sz w:val="24"/>
          <w:szCs w:val="24"/>
        </w:rPr>
        <w:t>—the absence of antibodies does not rule out the syndrome) and evaluation for concurrent myositis</w:t>
      </w:r>
      <w:r w:rsidRPr="002D5CEB">
        <w:rPr>
          <w:rFonts w:ascii="Times New Roman" w:hAnsi="Times New Roman" w:cs="Times New Roman"/>
          <w:sz w:val="24"/>
          <w:szCs w:val="24"/>
        </w:rPr>
        <w:t xml:space="preserve"> (CK)</w:t>
      </w:r>
      <w:r w:rsidR="00B1420A" w:rsidRPr="002D5CEB">
        <w:rPr>
          <w:rFonts w:ascii="Times New Roman" w:hAnsi="Times New Roman" w:cs="Times New Roman"/>
          <w:sz w:val="24"/>
          <w:szCs w:val="24"/>
        </w:rPr>
        <w:t xml:space="preserve"> and myocarditis</w:t>
      </w:r>
      <w:r w:rsidRPr="002D5CEB">
        <w:rPr>
          <w:rFonts w:ascii="Times New Roman" w:hAnsi="Times New Roman" w:cs="Times New Roman"/>
          <w:sz w:val="24"/>
          <w:szCs w:val="24"/>
        </w:rPr>
        <w:t xml:space="preserve"> (troponin)</w:t>
      </w:r>
      <w:r w:rsidR="00B1420A" w:rsidRPr="002D5CEB">
        <w:rPr>
          <w:rFonts w:ascii="Times New Roman" w:hAnsi="Times New Roman" w:cs="Times New Roman"/>
          <w:sz w:val="24"/>
          <w:szCs w:val="24"/>
        </w:rPr>
        <w:t xml:space="preserve">. Inflammatory markers (ESR and CRP). Nerve conduction studies and electromyography (EMG). Pulmonary function testing with negative inspiratory force (NIF) and </w:t>
      </w:r>
      <w:r w:rsidRPr="002D5CEB">
        <w:rPr>
          <w:rFonts w:ascii="Times New Roman" w:hAnsi="Times New Roman" w:cs="Times New Roman"/>
          <w:sz w:val="24"/>
          <w:szCs w:val="24"/>
        </w:rPr>
        <w:t xml:space="preserve">forced </w:t>
      </w:r>
      <w:r w:rsidR="00B1420A" w:rsidRPr="002D5CEB">
        <w:rPr>
          <w:rFonts w:ascii="Times New Roman" w:hAnsi="Times New Roman" w:cs="Times New Roman"/>
          <w:sz w:val="24"/>
          <w:szCs w:val="24"/>
        </w:rPr>
        <w:t>vital capacity (</w:t>
      </w:r>
      <w:r w:rsidRPr="002D5CEB">
        <w:rPr>
          <w:rFonts w:ascii="Times New Roman" w:hAnsi="Times New Roman" w:cs="Times New Roman"/>
          <w:sz w:val="24"/>
          <w:szCs w:val="24"/>
        </w:rPr>
        <w:t>F</w:t>
      </w:r>
      <w:r w:rsidR="00B1420A" w:rsidRPr="002D5CEB">
        <w:rPr>
          <w:rFonts w:ascii="Times New Roman" w:hAnsi="Times New Roman" w:cs="Times New Roman"/>
          <w:sz w:val="24"/>
          <w:szCs w:val="24"/>
        </w:rPr>
        <w:t>VC). Stop medications that can worsen myasthenia, such as beta-blockers, IV magnesium, fluoroquinolones, aminoglycosides, and macrolide antibiotics.</w:t>
      </w:r>
    </w:p>
    <w:p w14:paraId="1DF9AA73" w14:textId="06DCD8A3" w:rsidR="00B1420A" w:rsidRPr="002D5CEB" w:rsidRDefault="001A14AA" w:rsidP="002D5CEB">
      <w:pPr>
        <w:pStyle w:val="BL2-MID"/>
        <w:numPr>
          <w:ilvl w:val="1"/>
          <w:numId w:val="2"/>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irNeuropathy</w:t>
      </w:r>
      <w:proofErr w:type="spellEnd"/>
      <w:r w:rsidRPr="002D5CEB">
        <w:rPr>
          <w:rFonts w:ascii="Times New Roman" w:hAnsi="Times New Roman" w:cs="Times New Roman"/>
          <w:sz w:val="24"/>
          <w:szCs w:val="24"/>
        </w:rPr>
        <w:t xml:space="preserve">: </w:t>
      </w:r>
      <w:proofErr w:type="spellStart"/>
      <w:r w:rsidR="00B1420A" w:rsidRPr="002D5CEB">
        <w:rPr>
          <w:rFonts w:ascii="Times New Roman" w:hAnsi="Times New Roman" w:cs="Times New Roman"/>
          <w:sz w:val="24"/>
          <w:szCs w:val="24"/>
        </w:rPr>
        <w:t>Guillain-Barré</w:t>
      </w:r>
      <w:proofErr w:type="spellEnd"/>
      <w:r w:rsidR="00B1420A" w:rsidRPr="002D5CEB">
        <w:rPr>
          <w:rFonts w:ascii="Times New Roman" w:hAnsi="Times New Roman" w:cs="Times New Roman"/>
          <w:sz w:val="24"/>
          <w:szCs w:val="24"/>
        </w:rPr>
        <w:t xml:space="preserve"> syndrome: MRI of the spine to rule out a compressive lesion; imaging may show nerve root enhancement and thickening. LP may reveal </w:t>
      </w:r>
      <w:r w:rsidR="00B1420A" w:rsidRPr="002D5CEB">
        <w:rPr>
          <w:rFonts w:ascii="Times New Roman" w:hAnsi="Times New Roman" w:cs="Times New Roman"/>
          <w:sz w:val="24"/>
          <w:szCs w:val="24"/>
        </w:rPr>
        <w:lastRenderedPageBreak/>
        <w:t>lymphocytic pleocytosis and elevated protein, EM</w:t>
      </w:r>
      <w:r w:rsidRPr="002D5CEB">
        <w:rPr>
          <w:rFonts w:ascii="Times New Roman" w:hAnsi="Times New Roman" w:cs="Times New Roman"/>
          <w:sz w:val="24"/>
          <w:szCs w:val="24"/>
        </w:rPr>
        <w:t>G/</w:t>
      </w:r>
      <w:r w:rsidR="00B1420A" w:rsidRPr="002D5CEB">
        <w:rPr>
          <w:rFonts w:ascii="Times New Roman" w:hAnsi="Times New Roman" w:cs="Times New Roman"/>
          <w:sz w:val="24"/>
          <w:szCs w:val="24"/>
        </w:rPr>
        <w:t>nerve conduction studies, and ganglioside antibody panel of blood and CSF.</w:t>
      </w:r>
    </w:p>
    <w:p w14:paraId="64358807" w14:textId="77777777" w:rsidR="007B7017" w:rsidRPr="002D5CEB" w:rsidRDefault="00B1420A" w:rsidP="002D5CEB">
      <w:pPr>
        <w:pStyle w:val="BL-LAST"/>
        <w:numPr>
          <w:ilvl w:val="1"/>
          <w:numId w:val="2"/>
        </w:numPr>
        <w:autoSpaceDE w:val="0"/>
        <w:autoSpaceDN w:val="0"/>
        <w:adjustRightInd w:val="0"/>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Non-Guillain-Barré suspected peripheral neuropathy: consider all above plus blood work with B12, serum protein electrophoresis (SPEP), hemoglobin A1c, B6, ESR, CRP, and folic acid. </w:t>
      </w:r>
    </w:p>
    <w:p w14:paraId="6DBFFF20" w14:textId="7E60D76E" w:rsidR="00B1420A" w:rsidRPr="002D5CEB" w:rsidRDefault="00B1420A"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Management and Treatment:</w:t>
      </w:r>
      <w:r w:rsidRPr="002D5CEB">
        <w:rPr>
          <w:rFonts w:ascii="Times New Roman" w:eastAsia="Times New Roman" w:hAnsi="Times New Roman" w:cs="Times New Roman"/>
          <w:sz w:val="24"/>
          <w:szCs w:val="24"/>
        </w:rPr>
        <w:t xml:space="preserve"> </w:t>
      </w:r>
    </w:p>
    <w:p w14:paraId="79AB5580" w14:textId="611C6BA9" w:rsidR="00B1420A" w:rsidRPr="002D5CEB" w:rsidRDefault="001A14AA" w:rsidP="002D5CEB">
      <w:pPr>
        <w:pStyle w:val="BL-MID"/>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C</w:t>
      </w:r>
      <w:r w:rsidR="00B1420A" w:rsidRPr="002D5CEB">
        <w:rPr>
          <w:rFonts w:ascii="Times New Roman" w:hAnsi="Times New Roman" w:cs="Times New Roman"/>
          <w:sz w:val="24"/>
          <w:szCs w:val="24"/>
        </w:rPr>
        <w:t xml:space="preserve">onsulting a neurologist for all patients with </w:t>
      </w:r>
      <w:r w:rsidRPr="002D5CEB">
        <w:rPr>
          <w:rFonts w:ascii="Times New Roman" w:hAnsi="Times New Roman" w:cs="Times New Roman"/>
          <w:sz w:val="24"/>
          <w:szCs w:val="24"/>
        </w:rPr>
        <w:t xml:space="preserve">serious </w:t>
      </w:r>
      <w:r w:rsidR="00B1420A" w:rsidRPr="002D5CEB">
        <w:rPr>
          <w:rFonts w:ascii="Times New Roman" w:hAnsi="Times New Roman" w:cs="Times New Roman"/>
          <w:sz w:val="24"/>
          <w:szCs w:val="24"/>
        </w:rPr>
        <w:t xml:space="preserve">neurological </w:t>
      </w:r>
      <w:proofErr w:type="spellStart"/>
      <w:r w:rsidR="00B1420A" w:rsidRPr="002D5CEB">
        <w:rPr>
          <w:rFonts w:ascii="Times New Roman" w:hAnsi="Times New Roman" w:cs="Times New Roman"/>
          <w:sz w:val="24"/>
          <w:szCs w:val="24"/>
        </w:rPr>
        <w:t>irAEs</w:t>
      </w:r>
      <w:proofErr w:type="spellEnd"/>
      <w:r w:rsidR="00B1420A" w:rsidRPr="002D5CEB">
        <w:rPr>
          <w:rFonts w:ascii="Times New Roman" w:hAnsi="Times New Roman" w:cs="Times New Roman"/>
          <w:sz w:val="24"/>
          <w:szCs w:val="24"/>
        </w:rPr>
        <w:t>. General recommendations:</w:t>
      </w:r>
    </w:p>
    <w:p w14:paraId="2978263B" w14:textId="77777777" w:rsidR="00B1420A" w:rsidRPr="002D5CEB" w:rsidRDefault="00B1420A" w:rsidP="002D5CEB">
      <w:pPr>
        <w:pStyle w:val="BL-MID"/>
        <w:numPr>
          <w:ilvl w:val="0"/>
          <w:numId w:val="26"/>
        </w:numPr>
        <w:spacing w:line="480" w:lineRule="auto"/>
        <w:rPr>
          <w:rFonts w:ascii="Times New Roman" w:hAnsi="Times New Roman" w:cs="Times New Roman"/>
          <w:sz w:val="24"/>
          <w:szCs w:val="24"/>
        </w:rPr>
      </w:pPr>
      <w:r w:rsidRPr="002D5CEB">
        <w:rPr>
          <w:rFonts w:ascii="Times New Roman" w:hAnsi="Times New Roman" w:cs="Times New Roman"/>
          <w:color w:val="000000"/>
          <w:sz w:val="24"/>
          <w:szCs w:val="24"/>
        </w:rPr>
        <w:t xml:space="preserve">In case of severe symptoms (grade 3-4), patients should be treated with </w:t>
      </w:r>
      <w:r w:rsidRPr="002D5CEB">
        <w:rPr>
          <w:rFonts w:ascii="Times New Roman" w:hAnsi="Times New Roman" w:cs="Times New Roman"/>
          <w:sz w:val="24"/>
          <w:szCs w:val="24"/>
        </w:rPr>
        <w:t>IV methylprednisolone 2-4 mg/kg/d and inpatient or ICU admission.</w:t>
      </w:r>
    </w:p>
    <w:p w14:paraId="015F6AF9" w14:textId="77777777" w:rsidR="00B1420A" w:rsidRPr="002D5CEB" w:rsidRDefault="00B1420A" w:rsidP="002D5CEB">
      <w:pPr>
        <w:pStyle w:val="BL-LAST"/>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color w:val="000000"/>
          <w:sz w:val="24"/>
          <w:szCs w:val="24"/>
        </w:rPr>
        <w:t xml:space="preserve">Specific recommendations: </w:t>
      </w:r>
    </w:p>
    <w:p w14:paraId="44977526" w14:textId="77777777" w:rsidR="00B1420A" w:rsidRPr="002D5CEB" w:rsidRDefault="00B1420A" w:rsidP="002D5CEB">
      <w:pPr>
        <w:pStyle w:val="BL-FIRST"/>
        <w:numPr>
          <w:ilvl w:val="0"/>
          <w:numId w:val="26"/>
        </w:numPr>
        <w:spacing w:line="480" w:lineRule="auto"/>
        <w:rPr>
          <w:rFonts w:ascii="Times New Roman" w:hAnsi="Times New Roman" w:cs="Times New Roman"/>
          <w:sz w:val="24"/>
          <w:szCs w:val="24"/>
        </w:rPr>
      </w:pPr>
      <w:r w:rsidRPr="002D5CEB">
        <w:rPr>
          <w:rFonts w:ascii="Times New Roman" w:hAnsi="Times New Roman" w:cs="Times New Roman"/>
          <w:color w:val="000000"/>
          <w:sz w:val="24"/>
          <w:szCs w:val="24"/>
        </w:rPr>
        <w:t>Patients with encephalitis</w:t>
      </w:r>
      <w:r w:rsidRPr="002D5CEB">
        <w:rPr>
          <w:rFonts w:ascii="Times New Roman" w:hAnsi="Times New Roman" w:cs="Times New Roman"/>
          <w:sz w:val="24"/>
          <w:szCs w:val="24"/>
        </w:rPr>
        <w:t xml:space="preserve"> should receive IV acyclovir until PCR results are obtained and negative. Then, consider pulse-dose </w:t>
      </w:r>
      <w:r w:rsidRPr="002D5CEB">
        <w:rPr>
          <w:rFonts w:ascii="Times New Roman" w:hAnsi="Times New Roman" w:cs="Times New Roman"/>
          <w:color w:val="000000"/>
          <w:sz w:val="24"/>
          <w:szCs w:val="24"/>
        </w:rPr>
        <w:t xml:space="preserve">methylprednisolone 1g IV daily for 3-5 days and IVIG (2 g/kg in divided doses over the course of 5 days). </w:t>
      </w:r>
      <w:r w:rsidRPr="002D5CEB">
        <w:rPr>
          <w:rFonts w:ascii="Times New Roman" w:hAnsi="Times New Roman" w:cs="Times New Roman"/>
          <w:sz w:val="24"/>
          <w:szCs w:val="24"/>
        </w:rPr>
        <w:t>T</w:t>
      </w:r>
      <w:r w:rsidRPr="002D5CEB">
        <w:rPr>
          <w:rFonts w:ascii="Times New Roman" w:hAnsi="Times New Roman" w:cs="Times New Roman"/>
          <w:color w:val="000000"/>
          <w:sz w:val="24"/>
          <w:szCs w:val="24"/>
        </w:rPr>
        <w:t>hose who do not respond to pulse-dose corticosteroids should receive rituximab (375/m2 weekly infusion for 4 weeks).</w:t>
      </w:r>
    </w:p>
    <w:p w14:paraId="01761078" w14:textId="77777777" w:rsidR="00B1420A" w:rsidRPr="002D5CEB" w:rsidRDefault="00B1420A" w:rsidP="002D5CEB">
      <w:pPr>
        <w:pStyle w:val="BL-MID"/>
        <w:numPr>
          <w:ilvl w:val="0"/>
          <w:numId w:val="26"/>
        </w:numPr>
        <w:spacing w:line="480" w:lineRule="auto"/>
        <w:rPr>
          <w:rFonts w:ascii="Times New Roman" w:hAnsi="Times New Roman" w:cs="Times New Roman"/>
          <w:sz w:val="24"/>
          <w:szCs w:val="24"/>
        </w:rPr>
      </w:pPr>
      <w:r w:rsidRPr="002D5CEB">
        <w:rPr>
          <w:rFonts w:ascii="Times New Roman" w:hAnsi="Times New Roman" w:cs="Times New Roman"/>
          <w:sz w:val="24"/>
          <w:szCs w:val="24"/>
        </w:rPr>
        <w:t>Consider empiric antiviral (IV acyclovir) and antibacterial therapy until CSF results are negative for suspected aseptic meningitis.</w:t>
      </w:r>
    </w:p>
    <w:p w14:paraId="29628C7C" w14:textId="77777777" w:rsidR="00B1420A" w:rsidRPr="002D5CEB" w:rsidRDefault="00B1420A" w:rsidP="002D5CEB">
      <w:pPr>
        <w:pStyle w:val="BL-LAST"/>
        <w:numPr>
          <w:ilvl w:val="0"/>
          <w:numId w:val="26"/>
        </w:numPr>
        <w:spacing w:line="480" w:lineRule="auto"/>
        <w:rPr>
          <w:rFonts w:ascii="Times New Roman" w:hAnsi="Times New Roman" w:cs="Times New Roman"/>
          <w:sz w:val="24"/>
          <w:szCs w:val="24"/>
        </w:rPr>
      </w:pPr>
      <w:r w:rsidRPr="002D5CEB">
        <w:rPr>
          <w:rFonts w:ascii="Times New Roman" w:hAnsi="Times New Roman" w:cs="Times New Roman"/>
          <w:color w:val="000000"/>
          <w:sz w:val="24"/>
          <w:szCs w:val="24"/>
        </w:rPr>
        <w:t xml:space="preserve">Patients diagnosed with Guillain-Barré syndrome should start IVIG (0.4 g/kg/day for five days for a total of 2g/kg) or plasmapheresis. Pulse steroid (methylprednisolone 1g daily for 5 days) may also be added to IVIG or plasmapheresis. Permanently discontinue ICI therapy. Important to continue frequent neurological and pulmonary function assessments. </w:t>
      </w:r>
    </w:p>
    <w:p w14:paraId="44B43010" w14:textId="77777777" w:rsidR="00B1420A" w:rsidRPr="002D5CEB" w:rsidRDefault="00B1420A" w:rsidP="002D5CEB">
      <w:pPr>
        <w:pStyle w:val="BL-FIRST"/>
        <w:numPr>
          <w:ilvl w:val="1"/>
          <w:numId w:val="2"/>
        </w:numPr>
        <w:spacing w:line="480" w:lineRule="auto"/>
        <w:ind w:left="1080"/>
        <w:rPr>
          <w:rFonts w:ascii="Times New Roman" w:hAnsi="Times New Roman" w:cs="Times New Roman"/>
          <w:sz w:val="24"/>
          <w:szCs w:val="24"/>
        </w:rPr>
      </w:pPr>
      <w:r w:rsidRPr="002D5CEB">
        <w:rPr>
          <w:rFonts w:ascii="Times New Roman" w:hAnsi="Times New Roman" w:cs="Times New Roman"/>
          <w:color w:val="000000"/>
          <w:sz w:val="24"/>
          <w:szCs w:val="24"/>
        </w:rPr>
        <w:lastRenderedPageBreak/>
        <w:t xml:space="preserve">Painful peripheral neuropathy should be managed with gabapentin, pregabalin, or duloxetine. </w:t>
      </w:r>
    </w:p>
    <w:p w14:paraId="4FA4B1F0" w14:textId="7CEACF08" w:rsidR="00B1420A" w:rsidRPr="002D5CEB" w:rsidRDefault="00B1420A" w:rsidP="002D5CEB">
      <w:pPr>
        <w:pStyle w:val="BL2-MID"/>
        <w:numPr>
          <w:ilvl w:val="1"/>
          <w:numId w:val="2"/>
        </w:numPr>
        <w:spacing w:line="480" w:lineRule="auto"/>
        <w:ind w:left="1080"/>
        <w:rPr>
          <w:rFonts w:ascii="Times New Roman" w:hAnsi="Times New Roman" w:cs="Times New Roman"/>
          <w:color w:val="000000"/>
          <w:sz w:val="24"/>
          <w:szCs w:val="24"/>
        </w:rPr>
      </w:pPr>
      <w:r w:rsidRPr="002D5CEB">
        <w:rPr>
          <w:rFonts w:ascii="Times New Roman" w:hAnsi="Times New Roman" w:cs="Times New Roman"/>
          <w:color w:val="000000"/>
          <w:sz w:val="24"/>
          <w:szCs w:val="24"/>
        </w:rPr>
        <w:t xml:space="preserve">For patients diagnosed with myasthenia gravis: pyridostigmine 30 mg PO </w:t>
      </w:r>
      <w:r w:rsidR="001A14AA" w:rsidRPr="002D5CEB">
        <w:rPr>
          <w:rFonts w:ascii="Times New Roman" w:hAnsi="Times New Roman" w:cs="Times New Roman"/>
          <w:color w:val="000000"/>
          <w:sz w:val="24"/>
          <w:szCs w:val="24"/>
        </w:rPr>
        <w:t>three times</w:t>
      </w:r>
      <w:r w:rsidRPr="002D5CEB">
        <w:rPr>
          <w:rFonts w:ascii="Times New Roman" w:hAnsi="Times New Roman" w:cs="Times New Roman"/>
          <w:color w:val="000000"/>
          <w:sz w:val="24"/>
          <w:szCs w:val="24"/>
        </w:rPr>
        <w:t xml:space="preserve"> a day, progressively increasing to 120 mg PO four times a day. Wean pyridostigmine and steroids based on symptom improvement and in collaboration with the neurologist. </w:t>
      </w:r>
    </w:p>
    <w:p w14:paraId="2B4B90CF" w14:textId="77777777" w:rsidR="007B7017" w:rsidRPr="002D5CEB" w:rsidRDefault="00B1420A" w:rsidP="002D5CEB">
      <w:pPr>
        <w:pStyle w:val="BL-LAST"/>
        <w:numPr>
          <w:ilvl w:val="1"/>
          <w:numId w:val="2"/>
        </w:numPr>
        <w:spacing w:line="480" w:lineRule="auto"/>
        <w:ind w:left="1080"/>
        <w:rPr>
          <w:rFonts w:ascii="Times New Roman" w:hAnsi="Times New Roman" w:cs="Times New Roman"/>
          <w:color w:val="000000"/>
          <w:sz w:val="24"/>
          <w:szCs w:val="24"/>
        </w:rPr>
      </w:pPr>
      <w:r w:rsidRPr="002D5CEB">
        <w:rPr>
          <w:rFonts w:ascii="Times New Roman" w:hAnsi="Times New Roman" w:cs="Times New Roman"/>
          <w:color w:val="000000"/>
          <w:sz w:val="24"/>
          <w:szCs w:val="24"/>
        </w:rPr>
        <w:t xml:space="preserve">For patients with grade 3 or 4 myasthenia gravis, consider admission to the ICU for respiratory monitoring. Consider IVIG 2 g/kg over 5 days (0.4 g/kg/day) or plasmapheresis for 5 days. </w:t>
      </w:r>
      <w:r w:rsidRPr="002D5CEB">
        <w:rPr>
          <w:rFonts w:ascii="Times New Roman" w:hAnsi="Times New Roman" w:cs="Times New Roman"/>
          <w:sz w:val="24"/>
          <w:szCs w:val="24"/>
        </w:rPr>
        <w:t>If refractory, consider adding rituximab.</w:t>
      </w:r>
    </w:p>
    <w:p w14:paraId="15B87B2E" w14:textId="74B05220" w:rsidR="00B1420A" w:rsidRPr="002D5CEB" w:rsidRDefault="00B1420A"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Outcomes</w:t>
      </w:r>
    </w:p>
    <w:p w14:paraId="75675472" w14:textId="77777777" w:rsidR="007B7017" w:rsidRPr="002D5CEB" w:rsidRDefault="00B1420A" w:rsidP="002D5CEB">
      <w:pPr>
        <w:pStyle w:val="BL-LAST"/>
        <w:numPr>
          <w:ilvl w:val="0"/>
          <w:numId w:val="27"/>
        </w:numPr>
        <w:spacing w:line="480" w:lineRule="auto"/>
        <w:ind w:left="720"/>
        <w:rPr>
          <w:rFonts w:ascii="Times New Roman" w:hAnsi="Times New Roman" w:cs="Times New Roman"/>
          <w:b/>
          <w:bCs/>
          <w:sz w:val="24"/>
          <w:szCs w:val="24"/>
        </w:rPr>
      </w:pPr>
      <w:r w:rsidRPr="002D5CEB">
        <w:rPr>
          <w:rFonts w:ascii="Times New Roman" w:hAnsi="Times New Roman" w:cs="Times New Roman"/>
          <w:sz w:val="24"/>
          <w:szCs w:val="24"/>
        </w:rPr>
        <w:t xml:space="preserve">Neurologic </w:t>
      </w:r>
      <w:proofErr w:type="spellStart"/>
      <w:r w:rsidRPr="002D5CEB">
        <w:rPr>
          <w:rFonts w:ascii="Times New Roman" w:hAnsi="Times New Roman" w:cs="Times New Roman"/>
          <w:sz w:val="24"/>
          <w:szCs w:val="24"/>
        </w:rPr>
        <w:t>irAEs</w:t>
      </w:r>
      <w:proofErr w:type="spellEnd"/>
      <w:r w:rsidRPr="002D5CEB">
        <w:rPr>
          <w:rFonts w:ascii="Times New Roman" w:hAnsi="Times New Roman" w:cs="Times New Roman"/>
          <w:sz w:val="24"/>
          <w:szCs w:val="24"/>
        </w:rPr>
        <w:t xml:space="preserve"> and myocarditis have higher mortality rates than other </w:t>
      </w:r>
      <w:proofErr w:type="spellStart"/>
      <w:r w:rsidRPr="002D5CEB">
        <w:rPr>
          <w:rFonts w:ascii="Times New Roman" w:hAnsi="Times New Roman" w:cs="Times New Roman"/>
          <w:sz w:val="24"/>
          <w:szCs w:val="24"/>
        </w:rPr>
        <w:t>irAEs</w:t>
      </w:r>
      <w:proofErr w:type="spellEnd"/>
      <w:r w:rsidRPr="002D5CEB">
        <w:rPr>
          <w:rFonts w:ascii="Times New Roman" w:hAnsi="Times New Roman" w:cs="Times New Roman"/>
          <w:sz w:val="24"/>
          <w:szCs w:val="24"/>
        </w:rPr>
        <w:t>.</w:t>
      </w:r>
    </w:p>
    <w:p w14:paraId="5391D957" w14:textId="3C47380D" w:rsidR="007B7017" w:rsidRPr="002D5CEB" w:rsidRDefault="008C7A41" w:rsidP="002D5CEB">
      <w:pPr>
        <w:pStyle w:val="H1"/>
        <w:spacing w:line="480" w:lineRule="auto"/>
        <w:rPr>
          <w:rFonts w:ascii="Times New Roman" w:hAnsi="Times New Roman" w:cs="Times New Roman"/>
          <w:b/>
          <w:bCs/>
          <w:color w:val="FF0000"/>
          <w:sz w:val="24"/>
          <w:szCs w:val="24"/>
        </w:rPr>
      </w:pPr>
      <w:r w:rsidRPr="002D5CEB">
        <w:rPr>
          <w:rFonts w:ascii="Times New Roman" w:hAnsi="Times New Roman" w:cs="Times New Roman"/>
          <w:b/>
          <w:bCs/>
          <w:color w:val="0000FF"/>
          <w:sz w:val="24"/>
          <w:szCs w:val="24"/>
        </w:rPr>
        <w:t>&lt;H1&gt;</w:t>
      </w:r>
      <w:r w:rsidR="001A44B1" w:rsidRPr="002D5CEB">
        <w:rPr>
          <w:rFonts w:ascii="Times New Roman" w:hAnsi="Times New Roman" w:cs="Times New Roman"/>
          <w:b/>
          <w:bCs/>
          <w:color w:val="FF0000"/>
          <w:sz w:val="24"/>
          <w:szCs w:val="24"/>
        </w:rPr>
        <w:t xml:space="preserve">ICI-erosive mucocutaneous disease, </w:t>
      </w:r>
      <w:bookmarkStart w:id="2" w:name="_Hlk169689250"/>
      <w:r w:rsidR="001A44B1" w:rsidRPr="002D5CEB">
        <w:rPr>
          <w:rFonts w:ascii="Times New Roman" w:hAnsi="Times New Roman" w:cs="Times New Roman"/>
          <w:b/>
          <w:bCs/>
          <w:color w:val="FF0000"/>
          <w:sz w:val="24"/>
          <w:szCs w:val="24"/>
        </w:rPr>
        <w:t>Stevens-Johnson syndrome</w:t>
      </w:r>
      <w:bookmarkEnd w:id="2"/>
      <w:r w:rsidR="001A44B1" w:rsidRPr="002D5CEB">
        <w:rPr>
          <w:rFonts w:ascii="Times New Roman" w:hAnsi="Times New Roman" w:cs="Times New Roman"/>
          <w:b/>
          <w:bCs/>
          <w:color w:val="FF0000"/>
          <w:sz w:val="24"/>
          <w:szCs w:val="24"/>
        </w:rPr>
        <w:t xml:space="preserve"> (SJS)</w:t>
      </w:r>
      <w:bookmarkStart w:id="3" w:name="_Hlk169689284"/>
      <w:r w:rsidR="001A44B1" w:rsidRPr="002D5CEB">
        <w:rPr>
          <w:rFonts w:ascii="Times New Roman" w:hAnsi="Times New Roman" w:cs="Times New Roman"/>
          <w:b/>
          <w:bCs/>
          <w:color w:val="FF0000"/>
          <w:sz w:val="24"/>
          <w:szCs w:val="24"/>
        </w:rPr>
        <w:t>/toxic epidermal necrolysis</w:t>
      </w:r>
      <w:bookmarkEnd w:id="3"/>
      <w:r w:rsidR="001A44B1" w:rsidRPr="002D5CEB">
        <w:rPr>
          <w:rFonts w:ascii="Times New Roman" w:hAnsi="Times New Roman" w:cs="Times New Roman"/>
          <w:b/>
          <w:bCs/>
          <w:color w:val="FF0000"/>
          <w:sz w:val="24"/>
          <w:szCs w:val="24"/>
        </w:rPr>
        <w:t xml:space="preserve"> (TEN)-like subtype </w:t>
      </w:r>
    </w:p>
    <w:p w14:paraId="68EA9733" w14:textId="5162BA4C" w:rsidR="001A44B1" w:rsidRPr="002D5CEB" w:rsidRDefault="001A44B1"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Definitions</w:t>
      </w:r>
    </w:p>
    <w:p w14:paraId="0AB75C4B" w14:textId="77777777" w:rsidR="001A44B1" w:rsidRPr="002D5CEB" w:rsidRDefault="001A44B1" w:rsidP="002D5CEB">
      <w:pPr>
        <w:pStyle w:val="BL-MID"/>
        <w:numPr>
          <w:ilvl w:val="0"/>
          <w:numId w:val="3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Characteristics: </w:t>
      </w:r>
    </w:p>
    <w:p w14:paraId="375C57C7" w14:textId="794368C5" w:rsidR="001A44B1" w:rsidRPr="002D5CEB" w:rsidRDefault="00B61F15" w:rsidP="002D5CEB">
      <w:pPr>
        <w:pStyle w:val="BL-MID"/>
        <w:numPr>
          <w:ilvl w:val="0"/>
          <w:numId w:val="37"/>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A</w:t>
      </w:r>
      <w:r w:rsidR="001A44B1" w:rsidRPr="002D5CEB">
        <w:rPr>
          <w:rFonts w:ascii="Times New Roman" w:hAnsi="Times New Roman" w:cs="Times New Roman"/>
          <w:sz w:val="24"/>
          <w:szCs w:val="24"/>
        </w:rPr>
        <w:t xml:space="preserve">cute onset, quickly evolving (over maximum of 2 weeks) toward painful skin erosive plaques with positive </w:t>
      </w:r>
      <w:proofErr w:type="spellStart"/>
      <w:r w:rsidR="001A44B1" w:rsidRPr="002D5CEB">
        <w:rPr>
          <w:rFonts w:ascii="Times New Roman" w:hAnsi="Times New Roman" w:cs="Times New Roman"/>
          <w:sz w:val="24"/>
          <w:szCs w:val="24"/>
        </w:rPr>
        <w:t>Nikolsky</w:t>
      </w:r>
      <w:proofErr w:type="spellEnd"/>
      <w:r w:rsidR="001A44B1" w:rsidRPr="002D5CEB">
        <w:rPr>
          <w:rFonts w:ascii="Times New Roman" w:hAnsi="Times New Roman" w:cs="Times New Roman"/>
          <w:sz w:val="24"/>
          <w:szCs w:val="24"/>
        </w:rPr>
        <w:t xml:space="preserve"> sign </w:t>
      </w:r>
    </w:p>
    <w:p w14:paraId="70309734" w14:textId="2328BD82" w:rsidR="00B61F15" w:rsidRPr="002D5CEB" w:rsidRDefault="00B61F15" w:rsidP="002D5CEB">
      <w:pPr>
        <w:pStyle w:val="BL-MID"/>
        <w:numPr>
          <w:ilvl w:val="0"/>
          <w:numId w:val="37"/>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M</w:t>
      </w:r>
      <w:r w:rsidR="001A44B1" w:rsidRPr="002D5CEB">
        <w:rPr>
          <w:rFonts w:ascii="Times New Roman" w:hAnsi="Times New Roman" w:cs="Times New Roman"/>
          <w:sz w:val="24"/>
          <w:szCs w:val="24"/>
        </w:rPr>
        <w:t>ay be associated with mucosal involvement (nasal-oral and urogenital areas)</w:t>
      </w:r>
    </w:p>
    <w:p w14:paraId="6CA03F69" w14:textId="6CFAF718" w:rsidR="001A44B1" w:rsidRPr="002D5CEB" w:rsidRDefault="001A44B1" w:rsidP="002D5CEB">
      <w:pPr>
        <w:pStyle w:val="BL-MID"/>
        <w:numPr>
          <w:ilvl w:val="0"/>
          <w:numId w:val="37"/>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Ocular mucosa is often spared</w:t>
      </w:r>
    </w:p>
    <w:p w14:paraId="5AADA258" w14:textId="77777777" w:rsidR="001A44B1" w:rsidRPr="002D5CEB" w:rsidRDefault="001A44B1" w:rsidP="002D5CEB">
      <w:pPr>
        <w:pStyle w:val="BL-MID"/>
        <w:numPr>
          <w:ilvl w:val="0"/>
          <w:numId w:val="3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In diseases causing full-thickness epidermal necrosis, there is a distinct entity of a generalized bullous eruption mimicking SJS/TEN in patients receiving ICIs: Progressive immunotherapy-related mucocutaneous eruption (PIRME)</w:t>
      </w:r>
    </w:p>
    <w:p w14:paraId="5239E5E8" w14:textId="77777777" w:rsidR="001A44B1" w:rsidRPr="002D5CEB" w:rsidRDefault="001A44B1" w:rsidP="002D5CEB">
      <w:pPr>
        <w:pStyle w:val="BL-MID"/>
        <w:numPr>
          <w:ilvl w:val="0"/>
          <w:numId w:val="3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lastRenderedPageBreak/>
        <w:t>Compared to classic SJS/TEN, PIRME has delayed onset, mild initial morphological presentation, benign clinical course, and favorable treatment response</w:t>
      </w:r>
    </w:p>
    <w:p w14:paraId="1235CA41" w14:textId="223B78D2" w:rsidR="001A44B1" w:rsidRPr="002D5CEB" w:rsidRDefault="00B61F15" w:rsidP="002D5CEB">
      <w:pPr>
        <w:pStyle w:val="BL-MID"/>
        <w:numPr>
          <w:ilvl w:val="0"/>
          <w:numId w:val="3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O</w:t>
      </w:r>
      <w:r w:rsidR="001A44B1" w:rsidRPr="002D5CEB">
        <w:rPr>
          <w:rFonts w:ascii="Times New Roman" w:hAnsi="Times New Roman" w:cs="Times New Roman"/>
          <w:sz w:val="24"/>
          <w:szCs w:val="24"/>
        </w:rPr>
        <w:t>ften</w:t>
      </w:r>
      <w:r w:rsidRPr="002D5CEB">
        <w:rPr>
          <w:rFonts w:ascii="Times New Roman" w:hAnsi="Times New Roman" w:cs="Times New Roman"/>
          <w:sz w:val="24"/>
          <w:szCs w:val="24"/>
        </w:rPr>
        <w:t xml:space="preserve"> associated</w:t>
      </w:r>
      <w:r w:rsidR="001A44B1" w:rsidRPr="002D5CEB">
        <w:rPr>
          <w:rFonts w:ascii="Times New Roman" w:hAnsi="Times New Roman" w:cs="Times New Roman"/>
          <w:sz w:val="24"/>
          <w:szCs w:val="24"/>
        </w:rPr>
        <w:t xml:space="preserve"> with recently initiated concomitant medications, suggesting a two-hit mechanism (ICI reduces immune tolerance and induces sensitivity to subsequent drug exposures)</w:t>
      </w:r>
    </w:p>
    <w:p w14:paraId="349CD257" w14:textId="77777777" w:rsidR="001A44B1" w:rsidRPr="002D5CEB" w:rsidRDefault="001A44B1" w:rsidP="002D5CEB">
      <w:pPr>
        <w:pStyle w:val="BL-LAST"/>
        <w:numPr>
          <w:ilvl w:val="0"/>
          <w:numId w:val="3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Besides full-thickness epidermal necrosis, a distinct interface dermatitis is frequently seen</w:t>
      </w:r>
    </w:p>
    <w:p w14:paraId="7F3E2C51" w14:textId="77777777" w:rsidR="001A44B1" w:rsidRPr="002D5CEB" w:rsidRDefault="001A44B1"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Epidemiology</w:t>
      </w:r>
    </w:p>
    <w:p w14:paraId="0F372207" w14:textId="5E96D166" w:rsidR="001A44B1" w:rsidRPr="002D5CEB" w:rsidRDefault="001A44B1" w:rsidP="002D5CEB">
      <w:pPr>
        <w:pStyle w:val="BL-MID"/>
        <w:numPr>
          <w:ilvl w:val="0"/>
          <w:numId w:val="33"/>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Rare complication, occurs in less than 1% of patients receiving ICI treatment</w:t>
      </w:r>
    </w:p>
    <w:p w14:paraId="51213119" w14:textId="77777777" w:rsidR="001A44B1" w:rsidRPr="002D5CEB" w:rsidRDefault="001A44B1" w:rsidP="002D5CEB">
      <w:pPr>
        <w:pStyle w:val="BL-MID"/>
        <w:numPr>
          <w:ilvl w:val="0"/>
          <w:numId w:val="33"/>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Median onset time: 25-28 days</w:t>
      </w:r>
    </w:p>
    <w:p w14:paraId="01655BA9" w14:textId="77777777" w:rsidR="001A44B1" w:rsidRPr="002D5CEB" w:rsidRDefault="001A44B1" w:rsidP="002D5CEB">
      <w:pPr>
        <w:pStyle w:val="BL-LA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Key Pathophysiology</w:t>
      </w:r>
    </w:p>
    <w:p w14:paraId="287A1220" w14:textId="77777777" w:rsidR="001A44B1" w:rsidRPr="002D5CEB" w:rsidRDefault="001A44B1" w:rsidP="002D5CEB">
      <w:pPr>
        <w:pStyle w:val="BL-FIRST"/>
        <w:numPr>
          <w:ilvl w:val="0"/>
          <w:numId w:val="34"/>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Histopathologic evaluation reveals full-thickness epidermal necrosis and subsequent epidermal detachment, in the absence of immunoglobulin deposition.</w:t>
      </w:r>
    </w:p>
    <w:p w14:paraId="6E162426" w14:textId="77777777" w:rsidR="001A44B1" w:rsidRPr="002D5CEB" w:rsidRDefault="001A44B1" w:rsidP="002D5CEB">
      <w:pPr>
        <w:pStyle w:val="BL-MID"/>
        <w:numPr>
          <w:ilvl w:val="0"/>
          <w:numId w:val="2"/>
        </w:numPr>
        <w:spacing w:line="480" w:lineRule="auto"/>
        <w:ind w:left="360"/>
        <w:rPr>
          <w:rFonts w:ascii="Times New Roman" w:hAnsi="Times New Roman" w:cs="Times New Roman"/>
          <w:sz w:val="24"/>
          <w:szCs w:val="24"/>
        </w:rPr>
      </w:pPr>
      <w:bookmarkStart w:id="4" w:name="_Hlk169014963"/>
      <w:r w:rsidRPr="002D5CEB">
        <w:rPr>
          <w:rFonts w:ascii="Times New Roman" w:hAnsi="Times New Roman" w:cs="Times New Roman"/>
          <w:sz w:val="24"/>
          <w:szCs w:val="24"/>
        </w:rPr>
        <w:t xml:space="preserve">Differential Diagnosis: </w:t>
      </w:r>
    </w:p>
    <w:p w14:paraId="5F7FE70B" w14:textId="77777777" w:rsidR="00445CAE" w:rsidRPr="002D5CEB" w:rsidRDefault="001A44B1" w:rsidP="002D5CEB">
      <w:pPr>
        <w:pStyle w:val="BL-MID"/>
        <w:numPr>
          <w:ilvl w:val="0"/>
          <w:numId w:val="5"/>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Other severe cutaneous adverse reactions (SCARs) to drugs, such as </w:t>
      </w:r>
      <w:bookmarkStart w:id="5" w:name="_Hlk169016351"/>
      <w:r w:rsidRPr="002D5CEB">
        <w:rPr>
          <w:rFonts w:ascii="Times New Roman" w:hAnsi="Times New Roman" w:cs="Times New Roman"/>
          <w:sz w:val="24"/>
          <w:szCs w:val="24"/>
        </w:rPr>
        <w:t>drug reaction with eosinophilia and systemic symptoms</w:t>
      </w:r>
      <w:bookmarkEnd w:id="5"/>
      <w:r w:rsidRPr="002D5CEB">
        <w:rPr>
          <w:rFonts w:ascii="Times New Roman" w:hAnsi="Times New Roman" w:cs="Times New Roman"/>
          <w:sz w:val="24"/>
          <w:szCs w:val="24"/>
        </w:rPr>
        <w:t xml:space="preserve"> (DRESS)</w:t>
      </w:r>
    </w:p>
    <w:p w14:paraId="6275B8EE" w14:textId="31AD9338" w:rsidR="001A44B1" w:rsidRPr="002D5CEB" w:rsidRDefault="00445CAE" w:rsidP="002D5CEB">
      <w:pPr>
        <w:pStyle w:val="BL-FIRST"/>
        <w:numPr>
          <w:ilvl w:val="1"/>
          <w:numId w:val="5"/>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In DRESS, </w:t>
      </w:r>
      <w:r w:rsidR="001A44B1" w:rsidRPr="002D5CEB">
        <w:rPr>
          <w:rFonts w:ascii="Times New Roman" w:hAnsi="Times New Roman" w:cs="Times New Roman"/>
          <w:sz w:val="24"/>
          <w:szCs w:val="24"/>
        </w:rPr>
        <w:t>systemic involvement and lymphadenopathy are frequently present; no sheet-like detachment; infrequent or mild mucosal involvement</w:t>
      </w:r>
    </w:p>
    <w:p w14:paraId="0664BC1D" w14:textId="77777777" w:rsidR="00445CAE" w:rsidRPr="002D5CEB" w:rsidRDefault="001A44B1" w:rsidP="002D5CEB">
      <w:pPr>
        <w:pStyle w:val="BL-MID"/>
        <w:numPr>
          <w:ilvl w:val="0"/>
          <w:numId w:val="5"/>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Erythema multiforme with mucosal involvement</w:t>
      </w:r>
    </w:p>
    <w:p w14:paraId="59447314" w14:textId="1667DE4B" w:rsidR="001A44B1" w:rsidRPr="002D5CEB" w:rsidRDefault="00445CAE" w:rsidP="002D5CEB">
      <w:pPr>
        <w:pStyle w:val="BL-FIRST"/>
        <w:numPr>
          <w:ilvl w:val="1"/>
          <w:numId w:val="5"/>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In EM, there are </w:t>
      </w:r>
      <w:r w:rsidR="001A44B1" w:rsidRPr="002D5CEB">
        <w:rPr>
          <w:rFonts w:ascii="Times New Roman" w:hAnsi="Times New Roman" w:cs="Times New Roman"/>
          <w:sz w:val="24"/>
          <w:szCs w:val="24"/>
        </w:rPr>
        <w:t>typical target lesions; extremity predominance; no flaccid bulla or sheet-like skin detachment</w:t>
      </w:r>
    </w:p>
    <w:p w14:paraId="31FFA055" w14:textId="77777777" w:rsidR="001A44B1" w:rsidRPr="002D5CEB" w:rsidRDefault="001A44B1" w:rsidP="002D5CEB">
      <w:pPr>
        <w:pStyle w:val="BL-MID"/>
        <w:numPr>
          <w:ilvl w:val="0"/>
          <w:numId w:val="5"/>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Toxic shock syndrome: may have positive blood culture and fever; non-specific histopathology</w:t>
      </w:r>
    </w:p>
    <w:p w14:paraId="36B69D18" w14:textId="372CC9B6" w:rsidR="001A44B1" w:rsidRPr="002D5CEB" w:rsidRDefault="001A44B1" w:rsidP="002D5CEB">
      <w:pPr>
        <w:pStyle w:val="BL-MID"/>
        <w:numPr>
          <w:ilvl w:val="0"/>
          <w:numId w:val="5"/>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lastRenderedPageBreak/>
        <w:t>Paraneoplastic pemphigus</w:t>
      </w:r>
      <w:bookmarkEnd w:id="4"/>
      <w:r w:rsidRPr="002D5CEB">
        <w:rPr>
          <w:rFonts w:ascii="Times New Roman" w:hAnsi="Times New Roman" w:cs="Times New Roman"/>
          <w:sz w:val="24"/>
          <w:szCs w:val="24"/>
        </w:rPr>
        <w:t>:</w:t>
      </w:r>
      <w:r w:rsidR="00445CAE" w:rsidRPr="002D5CEB">
        <w:rPr>
          <w:rFonts w:ascii="Times New Roman" w:hAnsi="Times New Roman" w:cs="Times New Roman"/>
          <w:sz w:val="24"/>
          <w:szCs w:val="24"/>
        </w:rPr>
        <w:t xml:space="preserve"> can be associated with</w:t>
      </w:r>
      <w:r w:rsidRPr="002D5CEB">
        <w:rPr>
          <w:rFonts w:ascii="Times New Roman" w:hAnsi="Times New Roman" w:cs="Times New Roman"/>
          <w:sz w:val="24"/>
          <w:szCs w:val="24"/>
        </w:rPr>
        <w:t xml:space="preserve"> underlying tumor; chronic course; antibodies against desmoglein 3 and plakins</w:t>
      </w:r>
    </w:p>
    <w:p w14:paraId="16B56EBF" w14:textId="77777777" w:rsidR="001A44B1" w:rsidRPr="002D5CEB" w:rsidRDefault="001A44B1"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Management and Treatment:</w:t>
      </w:r>
      <w:r w:rsidRPr="002D5CEB">
        <w:rPr>
          <w:rFonts w:ascii="Times New Roman" w:eastAsia="Times New Roman" w:hAnsi="Times New Roman" w:cs="Times New Roman"/>
          <w:sz w:val="24"/>
          <w:szCs w:val="24"/>
        </w:rPr>
        <w:t xml:space="preserve"> </w:t>
      </w:r>
    </w:p>
    <w:p w14:paraId="496664BC" w14:textId="4C430A5B" w:rsidR="001A44B1" w:rsidRPr="002D5CEB" w:rsidRDefault="001A44B1" w:rsidP="002D5CEB">
      <w:pPr>
        <w:pStyle w:val="BL-MID"/>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Monitor for serious complications such as volume depletion/electrolyte disturbance, hypothermia, infection, and high output cardiac failure</w:t>
      </w:r>
    </w:p>
    <w:p w14:paraId="783367D8" w14:textId="77777777" w:rsidR="001A44B1" w:rsidRPr="002D5CEB" w:rsidRDefault="001A44B1" w:rsidP="002D5CEB">
      <w:pPr>
        <w:pStyle w:val="BL-MID"/>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Prednisone/intravenous methylprednisolone 1–2 mg/kg/day (usually need a higher dose (1.5 mg/kg minimum)</w:t>
      </w:r>
    </w:p>
    <w:p w14:paraId="6723CAB8" w14:textId="77777777" w:rsidR="001A44B1" w:rsidRPr="002D5CEB" w:rsidRDefault="001A44B1" w:rsidP="002D5CEB">
      <w:pPr>
        <w:pStyle w:val="BL-MID"/>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Second line immunosuppression may be considered in severe or steroid-unresponsive cases (new blistering lesions or new detached/detachable skin): intravenous immunoglobulin (IVIG) 1 g/kg/day for 3–4 days, etanercept/TNF inhibitor or cyclosporine can be considered. Special considerations as follows:</w:t>
      </w:r>
    </w:p>
    <w:p w14:paraId="6324DB6B" w14:textId="77777777" w:rsidR="001A44B1" w:rsidRPr="002D5CEB" w:rsidRDefault="001A44B1" w:rsidP="002D5CEB">
      <w:pPr>
        <w:pStyle w:val="BL-MID"/>
        <w:numPr>
          <w:ilvl w:val="0"/>
          <w:numId w:val="35"/>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For patients without severe sepsis or renal insufficiency, prefer etanercept/TNF inhibitor or pulse steroid + IVIG </w:t>
      </w:r>
    </w:p>
    <w:p w14:paraId="18028B43" w14:textId="77777777" w:rsidR="001A44B1" w:rsidRPr="002D5CEB" w:rsidRDefault="001A44B1" w:rsidP="002D5CEB">
      <w:pPr>
        <w:pStyle w:val="BL-MID"/>
        <w:numPr>
          <w:ilvl w:val="0"/>
          <w:numId w:val="35"/>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For patients with severe sepsis, prefer steroid-sparing agents</w:t>
      </w:r>
    </w:p>
    <w:p w14:paraId="34A558B1" w14:textId="77777777" w:rsidR="001A44B1" w:rsidRPr="002D5CEB" w:rsidRDefault="001A44B1" w:rsidP="002D5CEB">
      <w:pPr>
        <w:pStyle w:val="BL-MID"/>
        <w:numPr>
          <w:ilvl w:val="0"/>
          <w:numId w:val="35"/>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For patients with renal insufficiency, avoid cyclosporine</w:t>
      </w:r>
    </w:p>
    <w:p w14:paraId="46483F7D" w14:textId="42F12A96" w:rsidR="001A44B1" w:rsidRPr="002D5CEB" w:rsidRDefault="001A44B1" w:rsidP="002D5CEB">
      <w:pPr>
        <w:pStyle w:val="BL-MID"/>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The potential benefits of immunosuppression overweigh the risk of infection, except for patients with severe infection</w:t>
      </w:r>
    </w:p>
    <w:p w14:paraId="5CB8794C" w14:textId="77777777" w:rsidR="001A44B1" w:rsidRPr="002D5CEB" w:rsidRDefault="001A44B1"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Outcomes</w:t>
      </w:r>
    </w:p>
    <w:p w14:paraId="2C123F1D" w14:textId="77777777" w:rsidR="001A44B1" w:rsidRPr="002D5CEB" w:rsidRDefault="001A44B1" w:rsidP="002D5CEB">
      <w:pPr>
        <w:pStyle w:val="BL-MID"/>
        <w:numPr>
          <w:ilvl w:val="0"/>
          <w:numId w:val="2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Mortality rates: ranging from benign course with favorable treatment response for PIRME to 10% for SJS and 50% for TEN. </w:t>
      </w:r>
    </w:p>
    <w:p w14:paraId="530C0198" w14:textId="77777777" w:rsidR="001A44B1" w:rsidRPr="002D5CEB" w:rsidRDefault="001A44B1" w:rsidP="002D5CEB">
      <w:pPr>
        <w:pStyle w:val="BL-MID"/>
        <w:numPr>
          <w:ilvl w:val="0"/>
          <w:numId w:val="2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SCORTEN score, calculated on day 1 and day 3 of admission, is </w:t>
      </w:r>
      <w:bookmarkStart w:id="6" w:name="_Hlk169012987"/>
      <w:r w:rsidRPr="002D5CEB">
        <w:rPr>
          <w:rFonts w:ascii="Times New Roman" w:hAnsi="Times New Roman" w:cs="Times New Roman"/>
          <w:sz w:val="24"/>
          <w:szCs w:val="24"/>
        </w:rPr>
        <w:t>a severity-of-illness score validated for SJS and TEN</w:t>
      </w:r>
      <w:bookmarkEnd w:id="6"/>
      <w:r w:rsidRPr="002D5CEB">
        <w:rPr>
          <w:rFonts w:ascii="Times New Roman" w:hAnsi="Times New Roman" w:cs="Times New Roman"/>
          <w:sz w:val="24"/>
          <w:szCs w:val="24"/>
        </w:rPr>
        <w:t xml:space="preserve">. </w:t>
      </w:r>
    </w:p>
    <w:p w14:paraId="0EA5F7B1" w14:textId="77777777" w:rsidR="001A44B1" w:rsidRPr="002D5CEB" w:rsidRDefault="001A44B1" w:rsidP="002D5CEB">
      <w:pPr>
        <w:pStyle w:val="BL-MID"/>
        <w:numPr>
          <w:ilvl w:val="0"/>
          <w:numId w:val="32"/>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lastRenderedPageBreak/>
        <w:t>It includes 7 independent risk factors for death with equal weighting: age ≥40 years, malignancy, tachycardia ≥120/min, BSA ≥10%, serum urea &gt;10 mmol/l, serum glucose &gt;14 mmol/l, and bicarbonate &lt;20 mmol/l.</w:t>
      </w:r>
    </w:p>
    <w:p w14:paraId="5294635D" w14:textId="77777777" w:rsidR="007B7017" w:rsidRPr="002D5CEB" w:rsidRDefault="001A44B1" w:rsidP="002D5CEB">
      <w:pPr>
        <w:pStyle w:val="BL-LAST"/>
        <w:numPr>
          <w:ilvl w:val="0"/>
          <w:numId w:val="32"/>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Hospital mortality rate according to SCORTEN score: score 0-1: 3%; score 2: 12%; score 3: 35%; score 4: 58%; score ≥ 5: 90%</w:t>
      </w:r>
    </w:p>
    <w:p w14:paraId="7AC64294" w14:textId="7E0B636D" w:rsidR="007B7017" w:rsidRPr="002D5CEB" w:rsidRDefault="008C7A41" w:rsidP="002D5CEB">
      <w:pPr>
        <w:pStyle w:val="H1"/>
        <w:spacing w:line="480" w:lineRule="auto"/>
        <w:rPr>
          <w:rFonts w:ascii="Times New Roman" w:hAnsi="Times New Roman" w:cs="Times New Roman"/>
          <w:b/>
          <w:bCs/>
          <w:color w:val="FF0000"/>
          <w:sz w:val="24"/>
          <w:szCs w:val="24"/>
        </w:rPr>
      </w:pPr>
      <w:r w:rsidRPr="002D5CEB">
        <w:rPr>
          <w:rFonts w:ascii="Times New Roman" w:hAnsi="Times New Roman" w:cs="Times New Roman"/>
          <w:b/>
          <w:bCs/>
          <w:color w:val="0000FF"/>
          <w:sz w:val="24"/>
          <w:szCs w:val="24"/>
        </w:rPr>
        <w:t>&lt;H1&gt;</w:t>
      </w:r>
      <w:r w:rsidR="0029574D" w:rsidRPr="002D5CEB">
        <w:rPr>
          <w:rFonts w:ascii="Times New Roman" w:hAnsi="Times New Roman" w:cs="Times New Roman"/>
          <w:b/>
          <w:bCs/>
          <w:color w:val="FF0000"/>
          <w:sz w:val="24"/>
          <w:szCs w:val="24"/>
        </w:rPr>
        <w:t>Adrenal Crisis Secondary to ICI</w:t>
      </w:r>
    </w:p>
    <w:p w14:paraId="3B599002" w14:textId="2F12AEBD" w:rsidR="0029574D" w:rsidRPr="002D5CEB" w:rsidRDefault="0029574D"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Definitions</w:t>
      </w:r>
    </w:p>
    <w:p w14:paraId="75F67F08" w14:textId="24E8C634" w:rsidR="0029574D" w:rsidRPr="002D5CEB" w:rsidRDefault="0029574D" w:rsidP="002D5CEB">
      <w:pPr>
        <w:pStyle w:val="BL-MID"/>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Adrenal crisis can occur in patients with primary adrenal insufficiency (ICI-adrenalitis) or secondary/central adrenal insufficiency (ICI-</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w:t>
      </w:r>
    </w:p>
    <w:p w14:paraId="0C743BBD" w14:textId="77777777" w:rsidR="0029574D" w:rsidRPr="002D5CEB" w:rsidRDefault="0029574D" w:rsidP="002D5CEB">
      <w:pPr>
        <w:pStyle w:val="BL-MID"/>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Symptoms</w:t>
      </w:r>
    </w:p>
    <w:p w14:paraId="62246F71" w14:textId="0E935CE6" w:rsidR="0029574D" w:rsidRPr="002D5CEB" w:rsidRDefault="0029574D" w:rsidP="002D5CEB">
      <w:pPr>
        <w:pStyle w:val="BL-MID"/>
        <w:numPr>
          <w:ilvl w:val="0"/>
          <w:numId w:val="1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Predominant manifestation: hypotension </w:t>
      </w:r>
    </w:p>
    <w:p w14:paraId="2AD41B38" w14:textId="77DDFADD" w:rsidR="0029574D" w:rsidRPr="002D5CEB" w:rsidRDefault="0029574D" w:rsidP="002D5CEB">
      <w:pPr>
        <w:pStyle w:val="BL-MID"/>
        <w:numPr>
          <w:ilvl w:val="0"/>
          <w:numId w:val="1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Nonspecific symptoms: nausea, vomiting, abdominal pain, weakness, headache, and confusion</w:t>
      </w:r>
    </w:p>
    <w:p w14:paraId="4C13231E" w14:textId="77777777" w:rsidR="0029574D" w:rsidRPr="002D5CEB" w:rsidRDefault="0029574D" w:rsidP="002D5CEB">
      <w:pPr>
        <w:pStyle w:val="BL-MID"/>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Diagnosis of adrenal insufficiency (AI)</w:t>
      </w:r>
    </w:p>
    <w:p w14:paraId="5FBB487C" w14:textId="77777777" w:rsidR="0029574D" w:rsidRPr="002D5CEB" w:rsidRDefault="0029574D" w:rsidP="002D5CEB">
      <w:pPr>
        <w:pStyle w:val="BL-FIRST"/>
        <w:numPr>
          <w:ilvl w:val="1"/>
          <w:numId w:val="17"/>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Morning (6-8AM) cortisol &lt; 3 ug/dL</w:t>
      </w:r>
    </w:p>
    <w:p w14:paraId="2ED89816" w14:textId="77777777" w:rsidR="0029574D" w:rsidRPr="002D5CEB" w:rsidRDefault="0029574D" w:rsidP="002D5CEB">
      <w:pPr>
        <w:pStyle w:val="BL-LAST"/>
        <w:numPr>
          <w:ilvl w:val="1"/>
          <w:numId w:val="17"/>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Or failed cosyntropin (ACTH) stimulation test, indicated by a cortisol level 30-60 minutes after cosyntropin administration of &lt; 15 ug/dL.</w:t>
      </w:r>
    </w:p>
    <w:p w14:paraId="66156024" w14:textId="1B617455" w:rsidR="0029574D" w:rsidRPr="002D5CEB" w:rsidRDefault="0029574D" w:rsidP="002D5CEB">
      <w:pPr>
        <w:pStyle w:val="BL-MID"/>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Median time to ICI-</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 xml:space="preserve"> onset: occur</w:t>
      </w:r>
      <w:r w:rsidR="007D6C4F" w:rsidRPr="002D5CEB">
        <w:rPr>
          <w:rFonts w:ascii="Times New Roman" w:hAnsi="Times New Roman" w:cs="Times New Roman"/>
          <w:sz w:val="24"/>
          <w:szCs w:val="24"/>
        </w:rPr>
        <w:t>s</w:t>
      </w:r>
      <w:r w:rsidRPr="002D5CEB">
        <w:rPr>
          <w:rFonts w:ascii="Times New Roman" w:hAnsi="Times New Roman" w:cs="Times New Roman"/>
          <w:sz w:val="24"/>
          <w:szCs w:val="24"/>
        </w:rPr>
        <w:t xml:space="preserve"> later </w:t>
      </w:r>
      <w:r w:rsidR="007D6C4F" w:rsidRPr="002D5CEB">
        <w:rPr>
          <w:rFonts w:ascii="Times New Roman" w:hAnsi="Times New Roman" w:cs="Times New Roman"/>
          <w:sz w:val="24"/>
          <w:szCs w:val="24"/>
        </w:rPr>
        <w:t>after</w:t>
      </w:r>
      <w:r w:rsidRPr="002D5CEB">
        <w:rPr>
          <w:rFonts w:ascii="Times New Roman" w:hAnsi="Times New Roman" w:cs="Times New Roman"/>
          <w:sz w:val="24"/>
          <w:szCs w:val="24"/>
        </w:rPr>
        <w:t xml:space="preserve"> PD-1/PD-L1 inhibitors (25.8 weeks), compared to CTLA-4 inhibitors (9.3 weeks) or combination </w:t>
      </w:r>
      <w:r w:rsidR="007D6C4F" w:rsidRPr="002D5CEB">
        <w:rPr>
          <w:rFonts w:ascii="Times New Roman" w:hAnsi="Times New Roman" w:cs="Times New Roman"/>
          <w:sz w:val="24"/>
          <w:szCs w:val="24"/>
        </w:rPr>
        <w:t>CTLA-4/PD-1</w:t>
      </w:r>
      <w:r w:rsidRPr="002D5CEB">
        <w:rPr>
          <w:rFonts w:ascii="Times New Roman" w:hAnsi="Times New Roman" w:cs="Times New Roman"/>
          <w:sz w:val="24"/>
          <w:szCs w:val="24"/>
        </w:rPr>
        <w:t xml:space="preserve"> (12.5 weeks)</w:t>
      </w:r>
    </w:p>
    <w:p w14:paraId="1597BCE0" w14:textId="77777777" w:rsidR="0029574D" w:rsidRPr="002D5CEB" w:rsidRDefault="0029574D"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Epidemiology</w:t>
      </w:r>
    </w:p>
    <w:p w14:paraId="793589E1" w14:textId="77777777" w:rsidR="0029574D" w:rsidRPr="002D5CEB" w:rsidRDefault="0029574D" w:rsidP="002D5CEB">
      <w:pPr>
        <w:pStyle w:val="BL-MID"/>
        <w:numPr>
          <w:ilvl w:val="0"/>
          <w:numId w:val="20"/>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ICI-</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 more commonly seen with CTLA-4 inhibitors or combination therapy (4-13.6%) than with PD-1/PD-L1 inhibitors therapy (0.5-1%)</w:t>
      </w:r>
    </w:p>
    <w:p w14:paraId="15F78466" w14:textId="4897A6F6" w:rsidR="0029574D" w:rsidRPr="002D5CEB" w:rsidRDefault="0029574D" w:rsidP="002D5CEB">
      <w:pPr>
        <w:pStyle w:val="BL-MID"/>
        <w:numPr>
          <w:ilvl w:val="0"/>
          <w:numId w:val="20"/>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lastRenderedPageBreak/>
        <w:t>ICI-adrenalitis: rare, &lt;1%</w:t>
      </w:r>
    </w:p>
    <w:p w14:paraId="539EFE77" w14:textId="77777777" w:rsidR="0029574D" w:rsidRPr="002D5CEB" w:rsidRDefault="0029574D"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Key Pathophysiology</w:t>
      </w:r>
    </w:p>
    <w:p w14:paraId="1E85224D" w14:textId="77777777" w:rsidR="007D6C4F" w:rsidRPr="002D5CEB" w:rsidRDefault="007D6C4F" w:rsidP="002D5CEB">
      <w:pPr>
        <w:pStyle w:val="BL-FIRST"/>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ICI-</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 xml:space="preserve"> induced by CTLA-4 inhibitors: possible direct targeting of CTLA-4 expressing on anterior pituitary cells and development of anti-pituitary antibodies </w:t>
      </w:r>
      <w:r w:rsidRPr="002D5CEB">
        <w:rPr>
          <w:rFonts w:ascii="Wingdings" w:eastAsia="Wingdings" w:hAnsi="Wingdings" w:cs="Wingdings"/>
          <w:sz w:val="24"/>
          <w:szCs w:val="24"/>
        </w:rPr>
        <w:t></w:t>
      </w:r>
      <w:r w:rsidRPr="002D5CEB">
        <w:rPr>
          <w:rFonts w:ascii="Times New Roman" w:hAnsi="Times New Roman" w:cs="Times New Roman"/>
          <w:sz w:val="24"/>
          <w:szCs w:val="24"/>
        </w:rPr>
        <w:t xml:space="preserve"> trigger antibody-dependent cell-mediated cytotoxicity (ADCC) and the classical complement pathway</w:t>
      </w:r>
    </w:p>
    <w:p w14:paraId="42C1ADA5" w14:textId="2FBD8927" w:rsidR="00F36AB9" w:rsidRPr="002D5CEB" w:rsidRDefault="007D6C4F" w:rsidP="002D5CEB">
      <w:pPr>
        <w:pStyle w:val="BL-LAST"/>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Mechanisms behind ICI-induced </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 xml:space="preserve"> by PD-1/PD-L1 inhibitors and ICI-adrenalitis remain unknown</w:t>
      </w:r>
    </w:p>
    <w:p w14:paraId="24DE6CE6" w14:textId="77777777" w:rsidR="00F36AB9" w:rsidRPr="002D5CEB" w:rsidRDefault="00F36AB9"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 xml:space="preserve">Differential Diagnosis: </w:t>
      </w:r>
    </w:p>
    <w:p w14:paraId="0EF25E1C" w14:textId="77777777" w:rsidR="007D6C4F" w:rsidRPr="002D5CEB" w:rsidRDefault="007D6C4F" w:rsidP="002D5CEB">
      <w:pPr>
        <w:pStyle w:val="BL-MID"/>
        <w:numPr>
          <w:ilvl w:val="0"/>
          <w:numId w:val="21"/>
        </w:numPr>
        <w:spacing w:line="480" w:lineRule="auto"/>
        <w:contextualSpacing/>
        <w:rPr>
          <w:rFonts w:ascii="Times New Roman" w:hAnsi="Times New Roman" w:cs="Times New Roman"/>
          <w:sz w:val="24"/>
          <w:szCs w:val="24"/>
        </w:rPr>
      </w:pPr>
      <w:r w:rsidRPr="002D5CEB">
        <w:rPr>
          <w:rFonts w:ascii="Times New Roman" w:hAnsi="Times New Roman" w:cs="Times New Roman"/>
          <w:sz w:val="24"/>
          <w:szCs w:val="24"/>
        </w:rPr>
        <w:t>In secondary adrenal insufficiency, ACTH levels are low, whereas in primary adrenal insufficiency, ACTH levels are high</w:t>
      </w:r>
    </w:p>
    <w:p w14:paraId="1EE11F83" w14:textId="090E918C" w:rsidR="0029574D" w:rsidRPr="002D5CEB" w:rsidRDefault="0029574D" w:rsidP="002D5CEB">
      <w:pPr>
        <w:pStyle w:val="NL-FIRST"/>
        <w:numPr>
          <w:ilvl w:val="0"/>
          <w:numId w:val="21"/>
        </w:numPr>
        <w:spacing w:line="480" w:lineRule="auto"/>
        <w:contextualSpacing/>
        <w:rPr>
          <w:rFonts w:ascii="Times New Roman" w:hAnsi="Times New Roman" w:cs="Times New Roman"/>
          <w:sz w:val="24"/>
          <w:szCs w:val="24"/>
        </w:rPr>
      </w:pPr>
      <w:r w:rsidRPr="002D5CEB">
        <w:rPr>
          <w:rFonts w:ascii="Times New Roman" w:hAnsi="Times New Roman" w:cs="Times New Roman"/>
          <w:sz w:val="24"/>
          <w:szCs w:val="24"/>
        </w:rPr>
        <w:t>DDx of primary AI: autoimmune adrenalitis (such as polyglandular autoimmune syndrome), infectious adrenalitis (such as tuberculosis, fungal, and HIV infection), adrenal metastasis, adrenal hemorrhage, and medication (such as ketoconazole, fluconazole, and mitotane)</w:t>
      </w:r>
    </w:p>
    <w:p w14:paraId="3D82A242" w14:textId="77777777" w:rsidR="0029574D" w:rsidRPr="002D5CEB" w:rsidRDefault="0029574D" w:rsidP="002D5CEB">
      <w:pPr>
        <w:pStyle w:val="NL-LAST"/>
        <w:numPr>
          <w:ilvl w:val="0"/>
          <w:numId w:val="21"/>
        </w:numPr>
        <w:spacing w:line="480" w:lineRule="auto"/>
        <w:contextualSpacing/>
        <w:rPr>
          <w:rFonts w:ascii="Times New Roman" w:hAnsi="Times New Roman" w:cs="Times New Roman"/>
          <w:sz w:val="24"/>
          <w:szCs w:val="24"/>
        </w:rPr>
      </w:pPr>
      <w:r w:rsidRPr="002D5CEB">
        <w:rPr>
          <w:rFonts w:ascii="Times New Roman" w:hAnsi="Times New Roman" w:cs="Times New Roman"/>
          <w:sz w:val="24"/>
          <w:szCs w:val="24"/>
        </w:rPr>
        <w:t>DDx of central AI: pituitary tumor/metastasis, pituitary surgery/radiation, pituitary destroyed by infection (tuberculosis or histoplasmosis), medication (chronic high-dose glucocorticoid)</w:t>
      </w:r>
    </w:p>
    <w:p w14:paraId="57978442" w14:textId="77777777" w:rsidR="0029574D" w:rsidRPr="002D5CEB" w:rsidRDefault="0029574D"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Management and Treatment</w:t>
      </w:r>
    </w:p>
    <w:p w14:paraId="73151781" w14:textId="77777777" w:rsidR="0029574D" w:rsidRPr="002D5CEB" w:rsidRDefault="0029574D" w:rsidP="002D5CEB">
      <w:pPr>
        <w:pStyle w:val="BL-MID"/>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Monitor hemodynamics, electrolytes, and fluid status</w:t>
      </w:r>
    </w:p>
    <w:p w14:paraId="0B33B5C4" w14:textId="2001FFED" w:rsidR="0029574D" w:rsidRPr="002D5CEB" w:rsidRDefault="0029574D" w:rsidP="002D5CEB">
      <w:pPr>
        <w:pStyle w:val="BL-MID"/>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Stress dose steroids</w:t>
      </w:r>
      <w:r w:rsidR="007D6C4F" w:rsidRPr="002D5CEB">
        <w:rPr>
          <w:rFonts w:ascii="Times New Roman" w:hAnsi="Times New Roman" w:cs="Times New Roman"/>
          <w:sz w:val="24"/>
          <w:szCs w:val="24"/>
        </w:rPr>
        <w:t xml:space="preserve"> in adrenal crisis</w:t>
      </w:r>
      <w:r w:rsidRPr="002D5CEB">
        <w:rPr>
          <w:rFonts w:ascii="Times New Roman" w:hAnsi="Times New Roman" w:cs="Times New Roman"/>
          <w:sz w:val="24"/>
          <w:szCs w:val="24"/>
        </w:rPr>
        <w:t>: hydrocortisone 100mg, followed by 50mg q6-8h</w:t>
      </w:r>
    </w:p>
    <w:p w14:paraId="59D0C418" w14:textId="77777777" w:rsidR="0029574D" w:rsidRPr="002D5CEB" w:rsidRDefault="0029574D" w:rsidP="002D5CEB">
      <w:pPr>
        <w:pStyle w:val="BL-MID"/>
        <w:numPr>
          <w:ilvl w:val="0"/>
          <w:numId w:val="22"/>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Taper to physiologic maintenance over 5-7 days when clinical status improves: hydrocortisone 15-20 mg (divided doses; 2/3 AM, 1/3 early PM) or prednisone 5mg QD</w:t>
      </w:r>
    </w:p>
    <w:p w14:paraId="38FFA6C9" w14:textId="3F31B4A9" w:rsidR="0029574D" w:rsidRPr="002D5CEB" w:rsidRDefault="0029574D" w:rsidP="002D5CEB">
      <w:pPr>
        <w:pStyle w:val="BL-MID"/>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lastRenderedPageBreak/>
        <w:t xml:space="preserve">Sick dose </w:t>
      </w:r>
      <w:r w:rsidR="007D6C4F" w:rsidRPr="002D5CEB">
        <w:rPr>
          <w:rFonts w:ascii="Times New Roman" w:hAnsi="Times New Roman" w:cs="Times New Roman"/>
          <w:sz w:val="24"/>
          <w:szCs w:val="24"/>
        </w:rPr>
        <w:t>with any future</w:t>
      </w:r>
      <w:r w:rsidRPr="002D5CEB">
        <w:rPr>
          <w:rFonts w:ascii="Times New Roman" w:hAnsi="Times New Roman" w:cs="Times New Roman"/>
          <w:sz w:val="24"/>
          <w:szCs w:val="24"/>
        </w:rPr>
        <w:t xml:space="preserve"> minor illness: 2-3 times of steroid maintenance dose for 3 days</w:t>
      </w:r>
    </w:p>
    <w:p w14:paraId="42AE2D3C" w14:textId="4AED17EE" w:rsidR="0029574D" w:rsidRPr="002D5CEB" w:rsidRDefault="0029574D" w:rsidP="002D5CEB">
      <w:pPr>
        <w:pStyle w:val="BL-MID"/>
        <w:numPr>
          <w:ilvl w:val="0"/>
          <w:numId w:val="22"/>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 xml:space="preserve">Fludrocortisone (0.05-0.1 mg/d) in addition to hydrocortisone/prednisone </w:t>
      </w:r>
      <w:r w:rsidR="007D6C4F" w:rsidRPr="002D5CEB">
        <w:rPr>
          <w:rFonts w:ascii="Times New Roman" w:hAnsi="Times New Roman" w:cs="Times New Roman"/>
          <w:sz w:val="24"/>
          <w:szCs w:val="24"/>
        </w:rPr>
        <w:t xml:space="preserve">is necessary </w:t>
      </w:r>
      <w:r w:rsidRPr="002D5CEB">
        <w:rPr>
          <w:rFonts w:ascii="Times New Roman" w:hAnsi="Times New Roman" w:cs="Times New Roman"/>
          <w:sz w:val="24"/>
          <w:szCs w:val="24"/>
        </w:rPr>
        <w:t>in ICI-adrenalitis</w:t>
      </w:r>
    </w:p>
    <w:p w14:paraId="2F0A23D3" w14:textId="362D61C0" w:rsidR="0029574D" w:rsidRPr="002D5CEB" w:rsidRDefault="0029574D" w:rsidP="002D5CEB">
      <w:pPr>
        <w:pStyle w:val="BL-MID"/>
        <w:numPr>
          <w:ilvl w:val="0"/>
          <w:numId w:val="22"/>
        </w:numPr>
        <w:spacing w:line="480" w:lineRule="auto"/>
        <w:ind w:left="720"/>
        <w:rPr>
          <w:rFonts w:ascii="Times New Roman" w:hAnsi="Times New Roman" w:cs="Times New Roman"/>
          <w:sz w:val="24"/>
          <w:szCs w:val="24"/>
        </w:rPr>
      </w:pPr>
      <w:bookmarkStart w:id="7" w:name="_Hlk171335893"/>
      <w:r w:rsidRPr="002D5CEB">
        <w:rPr>
          <w:rFonts w:ascii="Times New Roman" w:hAnsi="Times New Roman" w:cs="Times New Roman"/>
          <w:sz w:val="24"/>
          <w:szCs w:val="24"/>
        </w:rPr>
        <w:t>Initiate adrenal replacement prior to other hormone (such as thyroid hormone) replacement to avoid adrenal crisis</w:t>
      </w:r>
      <w:bookmarkEnd w:id="7"/>
    </w:p>
    <w:p w14:paraId="0D9C3B3E" w14:textId="71ADB9F4" w:rsidR="007D6C4F" w:rsidRPr="002D5CEB" w:rsidRDefault="007D6C4F" w:rsidP="002D5CEB">
      <w:pPr>
        <w:pStyle w:val="BL-MID"/>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Rare to have any evidence of diabetes insipidus but if present, normal saline ≥2L or monitored free water replacement; repeat fluid bolus as needed</w:t>
      </w:r>
    </w:p>
    <w:p w14:paraId="330D2501" w14:textId="77777777" w:rsidR="0029574D" w:rsidRPr="002D5CEB" w:rsidRDefault="0029574D"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Outcomes</w:t>
      </w:r>
    </w:p>
    <w:p w14:paraId="1A51588E" w14:textId="77777777" w:rsidR="0029574D" w:rsidRPr="002D5CEB" w:rsidRDefault="0029574D" w:rsidP="002D5CEB">
      <w:pPr>
        <w:pStyle w:val="BL-MID"/>
        <w:numPr>
          <w:ilvl w:val="0"/>
          <w:numId w:val="23"/>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Likely require life-long physiologic hormone replacement</w:t>
      </w:r>
    </w:p>
    <w:p w14:paraId="1D2E384B" w14:textId="77777777" w:rsidR="007B7017" w:rsidRPr="002D5CEB" w:rsidRDefault="0029574D" w:rsidP="002D5CEB">
      <w:pPr>
        <w:pStyle w:val="NL-LAST"/>
        <w:numPr>
          <w:ilvl w:val="0"/>
          <w:numId w:val="23"/>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ICI therapy can be resumed once patient is stabilized on replacement hormones</w:t>
      </w:r>
    </w:p>
    <w:p w14:paraId="3535C4D2" w14:textId="62FC8334" w:rsidR="007B7017" w:rsidRPr="002D5CEB" w:rsidRDefault="00700985" w:rsidP="002D5CEB">
      <w:pPr>
        <w:pStyle w:val="H1"/>
        <w:spacing w:line="480" w:lineRule="auto"/>
        <w:rPr>
          <w:rFonts w:ascii="Times New Roman" w:hAnsi="Times New Roman" w:cs="Times New Roman"/>
          <w:b/>
          <w:bCs/>
          <w:color w:val="FF0000"/>
          <w:sz w:val="24"/>
          <w:szCs w:val="24"/>
        </w:rPr>
      </w:pPr>
      <w:r w:rsidRPr="002D5CEB">
        <w:rPr>
          <w:rFonts w:ascii="Times New Roman" w:hAnsi="Times New Roman" w:cs="Times New Roman"/>
          <w:b/>
          <w:bCs/>
          <w:color w:val="0000FF"/>
          <w:sz w:val="24"/>
          <w:szCs w:val="24"/>
        </w:rPr>
        <w:t>&lt;H1&gt;</w:t>
      </w:r>
      <w:r w:rsidR="00270700" w:rsidRPr="002D5CEB">
        <w:rPr>
          <w:rFonts w:ascii="Times New Roman" w:hAnsi="Times New Roman" w:cs="Times New Roman"/>
          <w:b/>
          <w:bCs/>
          <w:color w:val="FF0000"/>
          <w:sz w:val="24"/>
          <w:szCs w:val="24"/>
        </w:rPr>
        <w:t>ICI</w:t>
      </w:r>
      <w:r w:rsidR="003A225F" w:rsidRPr="002D5CEB">
        <w:rPr>
          <w:rFonts w:ascii="Times New Roman" w:hAnsi="Times New Roman" w:cs="Times New Roman"/>
          <w:b/>
          <w:bCs/>
          <w:color w:val="FF0000"/>
          <w:sz w:val="24"/>
          <w:szCs w:val="24"/>
        </w:rPr>
        <w:t xml:space="preserve"> Hypothyroidism</w:t>
      </w:r>
    </w:p>
    <w:p w14:paraId="3BE176EE" w14:textId="302FCF70" w:rsidR="00270700" w:rsidRPr="002D5CEB" w:rsidRDefault="00270700"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Definitions</w:t>
      </w:r>
    </w:p>
    <w:p w14:paraId="539C6C7D" w14:textId="77777777" w:rsidR="00270700" w:rsidRPr="002D5CEB" w:rsidRDefault="00270700" w:rsidP="002D5CEB">
      <w:pPr>
        <w:pStyle w:val="BL-MID"/>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Myxedema coma can occur in patients with primary hypothyroidism (ICI-thyroiditis) and central hypothyroidism (ICI-</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w:t>
      </w:r>
    </w:p>
    <w:p w14:paraId="32FAE40F" w14:textId="77777777" w:rsidR="00270700" w:rsidRPr="002D5CEB" w:rsidRDefault="00270700" w:rsidP="002D5CEB">
      <w:pPr>
        <w:pStyle w:val="BL-MID"/>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Clinical presentation of decompensated hypothyroidism</w:t>
      </w:r>
    </w:p>
    <w:p w14:paraId="5E0BD576" w14:textId="77777777" w:rsidR="00270700" w:rsidRPr="002D5CEB" w:rsidRDefault="00270700" w:rsidP="002D5CEB">
      <w:pPr>
        <w:pStyle w:val="BL-MID"/>
        <w:numPr>
          <w:ilvl w:val="0"/>
          <w:numId w:val="1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Altered mental status, hypothermia, hypotension, bradycardia, hypoventilation, hyponatremia, hypoglycemia</w:t>
      </w:r>
    </w:p>
    <w:p w14:paraId="0708EAAF" w14:textId="77777777" w:rsidR="00270700" w:rsidRPr="002D5CEB" w:rsidRDefault="00270700" w:rsidP="002D5CEB">
      <w:pPr>
        <w:pStyle w:val="BL-MID"/>
        <w:numPr>
          <w:ilvl w:val="0"/>
          <w:numId w:val="1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Puffy hands and face, swollen lips, and an enlarged tongue secondary to nonpitting edema</w:t>
      </w:r>
    </w:p>
    <w:p w14:paraId="7C1FF4BE" w14:textId="77777777" w:rsidR="00270700" w:rsidRPr="002D5CEB" w:rsidRDefault="00270700" w:rsidP="002D5CEB">
      <w:pPr>
        <w:pStyle w:val="BL-MID"/>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Diagnosis </w:t>
      </w:r>
    </w:p>
    <w:p w14:paraId="70FD0D90" w14:textId="77777777" w:rsidR="00270700" w:rsidRPr="002D5CEB" w:rsidRDefault="00270700" w:rsidP="002D5CEB">
      <w:pPr>
        <w:pStyle w:val="BL-MID"/>
        <w:numPr>
          <w:ilvl w:val="0"/>
          <w:numId w:val="1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T4: usually very low</w:t>
      </w:r>
    </w:p>
    <w:p w14:paraId="36FE46EC" w14:textId="77777777" w:rsidR="00270700" w:rsidRPr="002D5CEB" w:rsidRDefault="00270700" w:rsidP="002D5CEB">
      <w:pPr>
        <w:pStyle w:val="BL-MID"/>
        <w:numPr>
          <w:ilvl w:val="0"/>
          <w:numId w:val="1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TSH: high (in primary hypothyroidism) or low to normal (in central hypothyroidism) </w:t>
      </w:r>
    </w:p>
    <w:p w14:paraId="53F39E14" w14:textId="3DA52946" w:rsidR="00270700" w:rsidRPr="002D5CEB" w:rsidRDefault="00270700" w:rsidP="002D5CEB">
      <w:pPr>
        <w:pStyle w:val="BL-MID"/>
        <w:numPr>
          <w:ilvl w:val="0"/>
          <w:numId w:val="17"/>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lastRenderedPageBreak/>
        <w:t>Possible precipitants: infection, myocardial infarction, surgery, and sedative drugs (esp. opioids) in a poorly controlled hypothyroid patient</w:t>
      </w:r>
    </w:p>
    <w:p w14:paraId="44045702" w14:textId="77777777" w:rsidR="00270700" w:rsidRPr="002D5CEB" w:rsidRDefault="00270700"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Epidemiology</w:t>
      </w:r>
    </w:p>
    <w:p w14:paraId="65A3FB31" w14:textId="79D19CBD" w:rsidR="00270700" w:rsidRPr="002D5CEB" w:rsidRDefault="00270700" w:rsidP="002D5CEB">
      <w:pPr>
        <w:pStyle w:val="BL-MID"/>
        <w:numPr>
          <w:ilvl w:val="0"/>
          <w:numId w:val="20"/>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Hypothyroidism more commonly associated with anti-PD1 drugs or ICI combination: </w:t>
      </w:r>
      <w:r w:rsidR="0029574D" w:rsidRPr="002D5CEB">
        <w:rPr>
          <w:rFonts w:ascii="Times New Roman" w:hAnsi="Times New Roman" w:cs="Times New Roman"/>
          <w:sz w:val="24"/>
          <w:szCs w:val="24"/>
        </w:rPr>
        <w:t xml:space="preserve">15% in ICI combination, </w:t>
      </w:r>
      <w:r w:rsidRPr="002D5CEB">
        <w:rPr>
          <w:rFonts w:ascii="Times New Roman" w:hAnsi="Times New Roman" w:cs="Times New Roman"/>
          <w:sz w:val="24"/>
          <w:szCs w:val="24"/>
        </w:rPr>
        <w:t xml:space="preserve">8% in PD1/PD-L1 </w:t>
      </w:r>
      <w:r w:rsidR="0029574D" w:rsidRPr="002D5CEB">
        <w:rPr>
          <w:rFonts w:ascii="Times New Roman" w:hAnsi="Times New Roman" w:cs="Times New Roman"/>
          <w:sz w:val="24"/>
          <w:szCs w:val="24"/>
        </w:rPr>
        <w:t>blockade</w:t>
      </w:r>
      <w:r w:rsidRPr="002D5CEB">
        <w:rPr>
          <w:rFonts w:ascii="Times New Roman" w:hAnsi="Times New Roman" w:cs="Times New Roman"/>
          <w:sz w:val="24"/>
          <w:szCs w:val="24"/>
        </w:rPr>
        <w:t xml:space="preserve">, while 3% in anti-CTLA-4 </w:t>
      </w:r>
      <w:r w:rsidR="0029574D" w:rsidRPr="002D5CEB">
        <w:rPr>
          <w:rFonts w:ascii="Times New Roman" w:hAnsi="Times New Roman" w:cs="Times New Roman"/>
          <w:sz w:val="24"/>
          <w:szCs w:val="24"/>
        </w:rPr>
        <w:t>blockade</w:t>
      </w:r>
    </w:p>
    <w:p w14:paraId="5EE87FCF" w14:textId="77777777" w:rsidR="00270700" w:rsidRPr="002D5CEB" w:rsidRDefault="00270700" w:rsidP="002D5CEB">
      <w:pPr>
        <w:pStyle w:val="BL-MID"/>
        <w:numPr>
          <w:ilvl w:val="0"/>
          <w:numId w:val="20"/>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Grade ≥3 hypothyroidism is rare, occurring in roughly 0%–2% of patients. </w:t>
      </w:r>
    </w:p>
    <w:p w14:paraId="187C0F74" w14:textId="4C70DEB6" w:rsidR="00270700" w:rsidRPr="002D5CEB" w:rsidRDefault="00270700" w:rsidP="002D5CEB">
      <w:pPr>
        <w:pStyle w:val="BL-MID"/>
        <w:numPr>
          <w:ilvl w:val="0"/>
          <w:numId w:val="20"/>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Myxedema coma is </w:t>
      </w:r>
      <w:r w:rsidR="0029574D" w:rsidRPr="002D5CEB">
        <w:rPr>
          <w:rFonts w:ascii="Times New Roman" w:hAnsi="Times New Roman" w:cs="Times New Roman"/>
          <w:sz w:val="24"/>
          <w:szCs w:val="24"/>
        </w:rPr>
        <w:t>case reportable</w:t>
      </w:r>
      <w:r w:rsidRPr="002D5CEB">
        <w:rPr>
          <w:rFonts w:ascii="Times New Roman" w:hAnsi="Times New Roman" w:cs="Times New Roman"/>
          <w:sz w:val="24"/>
          <w:szCs w:val="24"/>
        </w:rPr>
        <w:t>, likely due to earlier awareness and early diagnosis of hypothyroidism</w:t>
      </w:r>
    </w:p>
    <w:p w14:paraId="6A699427" w14:textId="77777777" w:rsidR="00270700" w:rsidRPr="002D5CEB" w:rsidRDefault="00270700"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Key Pathophysiology</w:t>
      </w:r>
    </w:p>
    <w:p w14:paraId="6F659327" w14:textId="77777777" w:rsidR="00270700" w:rsidRPr="002D5CEB" w:rsidRDefault="00270700" w:rsidP="002D5CEB">
      <w:pPr>
        <w:pStyle w:val="BL-MID"/>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Remains unknown. Thyroid </w:t>
      </w:r>
      <w:proofErr w:type="spellStart"/>
      <w:r w:rsidRPr="002D5CEB">
        <w:rPr>
          <w:rFonts w:ascii="Times New Roman" w:hAnsi="Times New Roman" w:cs="Times New Roman"/>
          <w:sz w:val="24"/>
          <w:szCs w:val="24"/>
        </w:rPr>
        <w:t>irAE</w:t>
      </w:r>
      <w:proofErr w:type="spellEnd"/>
      <w:r w:rsidRPr="002D5CEB">
        <w:rPr>
          <w:rFonts w:ascii="Times New Roman" w:hAnsi="Times New Roman" w:cs="Times New Roman"/>
          <w:sz w:val="24"/>
          <w:szCs w:val="24"/>
        </w:rPr>
        <w:t xml:space="preserve"> may involve cellular immune (T cell infiltration and activation), humoral immune (B cell and auto-antibodies), genetic susceptibility (up-regulating HLA-DR), and cytokine (increased IFN-γ and IL-2; decreased IL-10).</w:t>
      </w:r>
    </w:p>
    <w:p w14:paraId="26CB2A18" w14:textId="77777777" w:rsidR="00270700" w:rsidRPr="002D5CEB" w:rsidRDefault="00270700"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Differential Diagnosis</w:t>
      </w:r>
    </w:p>
    <w:p w14:paraId="5B1A95FC" w14:textId="77777777" w:rsidR="00270700" w:rsidRPr="002D5CEB" w:rsidRDefault="00270700" w:rsidP="002D5CEB">
      <w:pPr>
        <w:pStyle w:val="BL-MID"/>
        <w:numPr>
          <w:ilvl w:val="0"/>
          <w:numId w:val="21"/>
        </w:numPr>
        <w:spacing w:line="480" w:lineRule="auto"/>
        <w:contextualSpacing/>
        <w:rPr>
          <w:rFonts w:ascii="Times New Roman" w:hAnsi="Times New Roman" w:cs="Times New Roman"/>
          <w:sz w:val="24"/>
          <w:szCs w:val="24"/>
        </w:rPr>
      </w:pPr>
      <w:r w:rsidRPr="002D5CEB">
        <w:rPr>
          <w:rFonts w:ascii="Times New Roman" w:hAnsi="Times New Roman" w:cs="Times New Roman"/>
          <w:sz w:val="24"/>
          <w:szCs w:val="24"/>
        </w:rPr>
        <w:t>Adrenal crisis, heart failure, sepsis, hepatic encephalopathy</w:t>
      </w:r>
    </w:p>
    <w:p w14:paraId="25F8D863" w14:textId="77777777" w:rsidR="00270700" w:rsidRPr="002D5CEB" w:rsidRDefault="00270700" w:rsidP="002D5CEB">
      <w:pPr>
        <w:pStyle w:val="BL-MID"/>
        <w:numPr>
          <w:ilvl w:val="0"/>
          <w:numId w:val="21"/>
        </w:numPr>
        <w:spacing w:line="480" w:lineRule="auto"/>
        <w:contextualSpacing/>
        <w:rPr>
          <w:rFonts w:ascii="Times New Roman" w:hAnsi="Times New Roman" w:cs="Times New Roman"/>
          <w:sz w:val="24"/>
          <w:szCs w:val="24"/>
        </w:rPr>
      </w:pPr>
      <w:r w:rsidRPr="002D5CEB">
        <w:rPr>
          <w:rFonts w:ascii="Times New Roman" w:hAnsi="Times New Roman" w:cs="Times New Roman"/>
          <w:sz w:val="24"/>
          <w:szCs w:val="24"/>
        </w:rPr>
        <w:t>Work-up:</w:t>
      </w:r>
    </w:p>
    <w:p w14:paraId="569220C2" w14:textId="77777777" w:rsidR="00270700" w:rsidRPr="002D5CEB" w:rsidRDefault="00270700" w:rsidP="002D5CEB">
      <w:pPr>
        <w:pStyle w:val="BL-MID"/>
        <w:numPr>
          <w:ilvl w:val="0"/>
          <w:numId w:val="25"/>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TSH, free T4, cortisol</w:t>
      </w:r>
    </w:p>
    <w:p w14:paraId="3EFFA7AA" w14:textId="460B385E" w:rsidR="00270700" w:rsidRPr="002D5CEB" w:rsidRDefault="00270700" w:rsidP="002D5CEB">
      <w:pPr>
        <w:pStyle w:val="BL-MID"/>
        <w:numPr>
          <w:ilvl w:val="0"/>
          <w:numId w:val="25"/>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 xml:space="preserve">Na, </w:t>
      </w:r>
      <w:r w:rsidR="0029574D" w:rsidRPr="002D5CEB">
        <w:rPr>
          <w:rFonts w:ascii="Times New Roman" w:hAnsi="Times New Roman" w:cs="Times New Roman"/>
          <w:sz w:val="24"/>
          <w:szCs w:val="24"/>
        </w:rPr>
        <w:t>glucose</w:t>
      </w:r>
      <w:r w:rsidRPr="002D5CEB">
        <w:rPr>
          <w:rFonts w:ascii="Times New Roman" w:hAnsi="Times New Roman" w:cs="Times New Roman"/>
          <w:sz w:val="24"/>
          <w:szCs w:val="24"/>
        </w:rPr>
        <w:t>, ABG, EKG</w:t>
      </w:r>
    </w:p>
    <w:p w14:paraId="70D001E4" w14:textId="377E5ACC" w:rsidR="00270700" w:rsidRPr="002D5CEB" w:rsidRDefault="00270700" w:rsidP="002D5CEB">
      <w:pPr>
        <w:pStyle w:val="BL-MID"/>
        <w:numPr>
          <w:ilvl w:val="0"/>
          <w:numId w:val="25"/>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To rule out other etiology: CXR, blood culture, CBC, LFT</w:t>
      </w:r>
      <w:r w:rsidR="0029574D" w:rsidRPr="002D5CEB">
        <w:rPr>
          <w:rFonts w:ascii="Times New Roman" w:hAnsi="Times New Roman" w:cs="Times New Roman"/>
          <w:sz w:val="24"/>
          <w:szCs w:val="24"/>
        </w:rPr>
        <w:t>s</w:t>
      </w:r>
    </w:p>
    <w:p w14:paraId="76E57F8F" w14:textId="77777777" w:rsidR="00270700" w:rsidRPr="002D5CEB" w:rsidRDefault="00270700" w:rsidP="002D5CEB">
      <w:pPr>
        <w:pStyle w:val="BL-LA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Management and Treatment</w:t>
      </w:r>
    </w:p>
    <w:p w14:paraId="5D5B9B57" w14:textId="77777777" w:rsidR="00270700" w:rsidRPr="002D5CEB" w:rsidRDefault="00270700" w:rsidP="002D5CEB">
      <w:pPr>
        <w:pStyle w:val="BL-FIRST"/>
        <w:numPr>
          <w:ilvl w:val="0"/>
          <w:numId w:val="22"/>
        </w:numPr>
        <w:spacing w:line="480" w:lineRule="auto"/>
        <w:ind w:left="720"/>
        <w:rPr>
          <w:rFonts w:ascii="Times New Roman" w:hAnsi="Times New Roman" w:cs="Times New Roman"/>
          <w:sz w:val="24"/>
          <w:szCs w:val="24"/>
        </w:rPr>
      </w:pPr>
      <w:bookmarkStart w:id="8" w:name="_Hlk171429776"/>
      <w:r w:rsidRPr="002D5CEB">
        <w:rPr>
          <w:rFonts w:ascii="Times New Roman" w:hAnsi="Times New Roman" w:cs="Times New Roman"/>
          <w:sz w:val="24"/>
          <w:szCs w:val="24"/>
        </w:rPr>
        <w:t xml:space="preserve">Life-threatening emergency requiring admission and endocrinology consultation </w:t>
      </w:r>
    </w:p>
    <w:p w14:paraId="1E634554" w14:textId="4CEC7904" w:rsidR="00270700" w:rsidRPr="002D5CEB" w:rsidRDefault="00270700" w:rsidP="002D5CEB">
      <w:pPr>
        <w:pStyle w:val="BL-MID"/>
        <w:numPr>
          <w:ilvl w:val="0"/>
          <w:numId w:val="22"/>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 xml:space="preserve">Draw cortisol and empirically treat adrenal insufficiency: hydrocortisone 100 mg Q8H until exclusion of adrenal insufficiency. Give steroids BEFORE thyroid hormone </w:t>
      </w:r>
      <w:r w:rsidRPr="002D5CEB">
        <w:rPr>
          <w:rFonts w:ascii="Times New Roman" w:hAnsi="Times New Roman" w:cs="Times New Roman"/>
          <w:sz w:val="24"/>
          <w:szCs w:val="24"/>
        </w:rPr>
        <w:lastRenderedPageBreak/>
        <w:t>replacement to avoid precipitating possible adrenal crisis</w:t>
      </w:r>
      <w:r w:rsidR="005A3ADA" w:rsidRPr="002D5CEB">
        <w:rPr>
          <w:rFonts w:ascii="Times New Roman" w:hAnsi="Times New Roman" w:cs="Times New Roman"/>
          <w:sz w:val="24"/>
          <w:szCs w:val="24"/>
        </w:rPr>
        <w:t xml:space="preserve"> (according to American Thyroid Association guidelines)</w:t>
      </w:r>
    </w:p>
    <w:p w14:paraId="6167707E" w14:textId="15A6B1D4" w:rsidR="00270700" w:rsidRPr="002D5CEB" w:rsidRDefault="00270700" w:rsidP="002D5CEB">
      <w:pPr>
        <w:pStyle w:val="BL-MID"/>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Thyroid hormone replacement</w:t>
      </w:r>
      <w:r w:rsidR="007D4EE6" w:rsidRPr="002D5CEB">
        <w:rPr>
          <w:rFonts w:ascii="Times New Roman" w:hAnsi="Times New Roman" w:cs="Times New Roman"/>
          <w:sz w:val="24"/>
          <w:szCs w:val="24"/>
        </w:rPr>
        <w:t xml:space="preserve"> (according to American Thyroid Association guidelines)</w:t>
      </w:r>
    </w:p>
    <w:bookmarkEnd w:id="8"/>
    <w:p w14:paraId="58538ED4" w14:textId="0F842349" w:rsidR="00270700" w:rsidRPr="002D5CEB" w:rsidRDefault="00270700" w:rsidP="002D5CEB">
      <w:pPr>
        <w:pStyle w:val="BL-MID"/>
        <w:numPr>
          <w:ilvl w:val="0"/>
          <w:numId w:val="42"/>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 xml:space="preserve">Levothyroxine (T4): Loading dose 200-400 </w:t>
      </w:r>
      <w:proofErr w:type="spellStart"/>
      <w:r w:rsidRPr="002D5CEB">
        <w:rPr>
          <w:rFonts w:ascii="Times New Roman" w:hAnsi="Times New Roman" w:cs="Times New Roman"/>
          <w:sz w:val="24"/>
          <w:szCs w:val="24"/>
        </w:rPr>
        <w:t>μg</w:t>
      </w:r>
      <w:proofErr w:type="spellEnd"/>
      <w:r w:rsidRPr="002D5CEB">
        <w:rPr>
          <w:rFonts w:ascii="Times New Roman" w:hAnsi="Times New Roman" w:cs="Times New Roman"/>
          <w:sz w:val="24"/>
          <w:szCs w:val="24"/>
        </w:rPr>
        <w:t xml:space="preserve"> IV followed by 50-100 </w:t>
      </w:r>
      <w:proofErr w:type="spellStart"/>
      <w:r w:rsidRPr="002D5CEB">
        <w:rPr>
          <w:rFonts w:ascii="Times New Roman" w:hAnsi="Times New Roman" w:cs="Times New Roman"/>
          <w:sz w:val="24"/>
          <w:szCs w:val="24"/>
        </w:rPr>
        <w:t>μg</w:t>
      </w:r>
      <w:proofErr w:type="spellEnd"/>
      <w:r w:rsidRPr="002D5CEB">
        <w:rPr>
          <w:rFonts w:ascii="Times New Roman" w:hAnsi="Times New Roman" w:cs="Times New Roman"/>
          <w:sz w:val="24"/>
          <w:szCs w:val="24"/>
        </w:rPr>
        <w:t xml:space="preserve"> IV QD until able to take T4 orally</w:t>
      </w:r>
      <w:r w:rsidR="00711DAA" w:rsidRPr="002D5CEB">
        <w:rPr>
          <w:rFonts w:ascii="Times New Roman" w:hAnsi="Times New Roman" w:cs="Times New Roman"/>
          <w:sz w:val="24"/>
          <w:szCs w:val="24"/>
        </w:rPr>
        <w:t xml:space="preserve">; daily replacement dose: 1.6 </w:t>
      </w:r>
      <w:proofErr w:type="spellStart"/>
      <w:r w:rsidR="00711DAA" w:rsidRPr="002D5CEB">
        <w:rPr>
          <w:rFonts w:ascii="Times New Roman" w:hAnsi="Times New Roman" w:cs="Times New Roman"/>
          <w:sz w:val="24"/>
          <w:szCs w:val="24"/>
        </w:rPr>
        <w:t>μg</w:t>
      </w:r>
      <w:proofErr w:type="spellEnd"/>
      <w:r w:rsidR="00711DAA" w:rsidRPr="002D5CEB">
        <w:rPr>
          <w:rFonts w:ascii="Times New Roman" w:hAnsi="Times New Roman" w:cs="Times New Roman"/>
          <w:sz w:val="24"/>
          <w:szCs w:val="24"/>
        </w:rPr>
        <w:t>/kg/d PO, reduced to 75% if IV administered</w:t>
      </w:r>
    </w:p>
    <w:p w14:paraId="189B3AED" w14:textId="267DE8F2" w:rsidR="00270700" w:rsidRPr="002D5CEB" w:rsidRDefault="00270700" w:rsidP="002D5CEB">
      <w:pPr>
        <w:pStyle w:val="BL-MID"/>
        <w:numPr>
          <w:ilvl w:val="0"/>
          <w:numId w:val="24"/>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 xml:space="preserve">Liothyronine (T3): Loading dose 5-20 </w:t>
      </w:r>
      <w:proofErr w:type="spellStart"/>
      <w:r w:rsidRPr="002D5CEB">
        <w:rPr>
          <w:rFonts w:ascii="Times New Roman" w:hAnsi="Times New Roman" w:cs="Times New Roman"/>
          <w:sz w:val="24"/>
          <w:szCs w:val="24"/>
        </w:rPr>
        <w:t>μg</w:t>
      </w:r>
      <w:proofErr w:type="spellEnd"/>
      <w:r w:rsidRPr="002D5CEB">
        <w:rPr>
          <w:rFonts w:ascii="Times New Roman" w:hAnsi="Times New Roman" w:cs="Times New Roman"/>
          <w:sz w:val="24"/>
          <w:szCs w:val="24"/>
        </w:rPr>
        <w:t xml:space="preserve"> followed by 2.5-10 </w:t>
      </w:r>
      <w:proofErr w:type="spellStart"/>
      <w:r w:rsidRPr="002D5CEB">
        <w:rPr>
          <w:rFonts w:ascii="Times New Roman" w:hAnsi="Times New Roman" w:cs="Times New Roman"/>
          <w:sz w:val="24"/>
          <w:szCs w:val="24"/>
        </w:rPr>
        <w:t>μg</w:t>
      </w:r>
      <w:proofErr w:type="spellEnd"/>
      <w:r w:rsidRPr="002D5CEB">
        <w:rPr>
          <w:rFonts w:ascii="Times New Roman" w:hAnsi="Times New Roman" w:cs="Times New Roman"/>
          <w:sz w:val="24"/>
          <w:szCs w:val="24"/>
        </w:rPr>
        <w:t xml:space="preserve"> Q8H</w:t>
      </w:r>
      <w:r w:rsidR="00295EE3" w:rsidRPr="002D5CEB">
        <w:rPr>
          <w:rFonts w:ascii="Times New Roman" w:hAnsi="Times New Roman" w:cs="Times New Roman"/>
          <w:sz w:val="24"/>
          <w:szCs w:val="24"/>
        </w:rPr>
        <w:t xml:space="preserve"> (in myxedema)</w:t>
      </w:r>
    </w:p>
    <w:p w14:paraId="16305CC2" w14:textId="77777777" w:rsidR="00270700" w:rsidRPr="002D5CEB" w:rsidRDefault="00270700" w:rsidP="002D5CEB">
      <w:pPr>
        <w:pStyle w:val="BL-MID"/>
        <w:numPr>
          <w:ilvl w:val="0"/>
          <w:numId w:val="24"/>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Monitor FT4 and T3 Q1-2 days, avoiding very high T3 levels</w:t>
      </w:r>
    </w:p>
    <w:p w14:paraId="58633CF7" w14:textId="02ED0EED" w:rsidR="00270700" w:rsidRPr="002D5CEB" w:rsidRDefault="00270700" w:rsidP="002D5CEB">
      <w:pPr>
        <w:pStyle w:val="BL-MID"/>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Supportive measures, such as mechanical ventilation, fluids and vasopressor drugs for hypotension, IV dextrose, and monitoring</w:t>
      </w:r>
      <w:r w:rsidR="0029574D" w:rsidRPr="002D5CEB">
        <w:rPr>
          <w:rFonts w:ascii="Times New Roman" w:hAnsi="Times New Roman" w:cs="Times New Roman"/>
          <w:sz w:val="24"/>
          <w:szCs w:val="24"/>
        </w:rPr>
        <w:t xml:space="preserve"> for arrythmia </w:t>
      </w:r>
    </w:p>
    <w:p w14:paraId="7226BC4C" w14:textId="77777777" w:rsidR="00270700" w:rsidRPr="002D5CEB" w:rsidRDefault="00270700"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Outcomes</w:t>
      </w:r>
    </w:p>
    <w:p w14:paraId="5312B761" w14:textId="77777777" w:rsidR="00270700" w:rsidRPr="002D5CEB" w:rsidRDefault="00270700" w:rsidP="002D5CEB">
      <w:pPr>
        <w:pStyle w:val="BL-MID"/>
        <w:numPr>
          <w:ilvl w:val="0"/>
          <w:numId w:val="23"/>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Life-threatening form of hypothyroidism with a mortality rate ranging from 25 to 60%</w:t>
      </w:r>
    </w:p>
    <w:p w14:paraId="1011E32D" w14:textId="77777777" w:rsidR="00270700" w:rsidRPr="002D5CEB" w:rsidRDefault="00270700" w:rsidP="002D5CEB">
      <w:pPr>
        <w:pStyle w:val="BL-LAST"/>
        <w:numPr>
          <w:ilvl w:val="0"/>
          <w:numId w:val="23"/>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Clinical and biochemical improvement typically occur within a week after adequate treatment</w:t>
      </w:r>
    </w:p>
    <w:p w14:paraId="70C2D3C4" w14:textId="77777777" w:rsidR="007B7017" w:rsidRPr="002D5CEB" w:rsidRDefault="00270700" w:rsidP="002D5CEB">
      <w:pPr>
        <w:pStyle w:val="NL-FIRST"/>
        <w:numPr>
          <w:ilvl w:val="0"/>
          <w:numId w:val="23"/>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ICI therapy can be resumed once patient is stabilized on replacement hormones and symptoms resolve to baseline</w:t>
      </w:r>
    </w:p>
    <w:p w14:paraId="356EE010" w14:textId="77777777" w:rsidR="00D16C1C" w:rsidRDefault="00D16C1C">
      <w:pPr>
        <w:spacing w:after="160" w:line="259" w:lineRule="auto"/>
        <w:rPr>
          <w:rFonts w:ascii="Times New Roman" w:eastAsia="Times New Roman" w:hAnsi="Times New Roman" w:cs="Times New Roman"/>
          <w:b/>
          <w:bCs/>
          <w:color w:val="0000FF"/>
          <w:sz w:val="24"/>
          <w:szCs w:val="24"/>
          <w:lang w:val="en-IN"/>
        </w:rPr>
      </w:pPr>
      <w:r>
        <w:rPr>
          <w:rFonts w:ascii="Times New Roman" w:eastAsia="Times New Roman" w:hAnsi="Times New Roman" w:cs="Times New Roman"/>
          <w:b/>
          <w:bCs/>
          <w:color w:val="0000FF"/>
          <w:sz w:val="24"/>
          <w:szCs w:val="24"/>
          <w:lang w:val="en-IN"/>
        </w:rPr>
        <w:br w:type="page"/>
      </w:r>
    </w:p>
    <w:p w14:paraId="2A72A607" w14:textId="501279F7" w:rsidR="002F7A42" w:rsidRPr="002D5CEB" w:rsidRDefault="002F7A42" w:rsidP="002F7A42">
      <w:pPr>
        <w:pStyle w:val="NormalWeb"/>
        <w:spacing w:before="0" w:beforeAutospacing="0" w:after="0" w:afterAutospacing="0" w:line="480" w:lineRule="auto"/>
      </w:pPr>
      <w:r>
        <w:lastRenderedPageBreak/>
        <w:t>&lt;</w:t>
      </w:r>
      <w:proofErr w:type="gramStart"/>
      <w:r>
        <w:t>body-</w:t>
      </w:r>
      <w:r>
        <w:t>close</w:t>
      </w:r>
      <w:proofErr w:type="gramEnd"/>
      <w:r>
        <w:t>&gt;</w:t>
      </w:r>
    </w:p>
    <w:p w14:paraId="2286DA55" w14:textId="56B8C667" w:rsidR="002F7A42" w:rsidRPr="002F7A42" w:rsidRDefault="002F7A42">
      <w:pPr>
        <w:spacing w:after="160" w:line="259" w:lineRule="auto"/>
      </w:pPr>
      <w:r w:rsidRPr="002F7A42">
        <w:t>&lt;</w:t>
      </w:r>
      <w:proofErr w:type="gramStart"/>
      <w:r w:rsidRPr="002F7A42">
        <w:t>ref-open</w:t>
      </w:r>
      <w:proofErr w:type="gramEnd"/>
      <w:r w:rsidRPr="002F7A42">
        <w:t>&gt;</w:t>
      </w:r>
    </w:p>
    <w:p w14:paraId="28201B1A" w14:textId="4642006F" w:rsidR="0DAECABE" w:rsidRDefault="0DAECABE" w:rsidP="00D16C1C">
      <w:pPr>
        <w:pStyle w:val="SRH1"/>
        <w:spacing w:line="480" w:lineRule="auto"/>
        <w:jc w:val="both"/>
        <w:rPr>
          <w:rFonts w:ascii="Times New Roman" w:eastAsia="Times New Roman" w:hAnsi="Times New Roman" w:cs="Times New Roman"/>
          <w:color w:val="FF0000"/>
          <w:sz w:val="24"/>
          <w:szCs w:val="24"/>
        </w:rPr>
      </w:pPr>
      <w:commentRangeStart w:id="9"/>
      <w:r w:rsidRPr="2CA8CE82">
        <w:rPr>
          <w:rFonts w:ascii="Times New Roman" w:eastAsia="Times New Roman" w:hAnsi="Times New Roman" w:cs="Times New Roman"/>
          <w:b/>
          <w:bCs/>
          <w:color w:val="0000FF"/>
          <w:sz w:val="24"/>
          <w:szCs w:val="24"/>
          <w:lang w:val="en-IN"/>
        </w:rPr>
        <w:t>&lt;</w:t>
      </w:r>
      <w:r w:rsidR="00D16C1C">
        <w:rPr>
          <w:rFonts w:ascii="Times New Roman" w:eastAsia="Times New Roman" w:hAnsi="Times New Roman" w:cs="Times New Roman"/>
          <w:b/>
          <w:bCs/>
          <w:color w:val="0000FF"/>
          <w:sz w:val="24"/>
          <w:szCs w:val="24"/>
          <w:lang w:val="en-IN"/>
        </w:rPr>
        <w:t>REF</w:t>
      </w:r>
      <w:r w:rsidRPr="2CA8CE82">
        <w:rPr>
          <w:rFonts w:ascii="Times New Roman" w:eastAsia="Times New Roman" w:hAnsi="Times New Roman" w:cs="Times New Roman"/>
          <w:b/>
          <w:bCs/>
          <w:color w:val="0000FF"/>
          <w:sz w:val="24"/>
          <w:szCs w:val="24"/>
          <w:lang w:val="en-IN"/>
        </w:rPr>
        <w:t>&gt;</w:t>
      </w:r>
      <w:r w:rsidRPr="2CA8CE82">
        <w:rPr>
          <w:rFonts w:ascii="Times New Roman" w:eastAsia="Times New Roman" w:hAnsi="Times New Roman" w:cs="Times New Roman"/>
          <w:b/>
          <w:bCs/>
          <w:color w:val="FF0000"/>
          <w:sz w:val="24"/>
          <w:szCs w:val="24"/>
          <w:lang w:val="en-IN"/>
        </w:rPr>
        <w:t xml:space="preserve">Suggested </w:t>
      </w:r>
      <w:r w:rsidR="00D16C1C">
        <w:rPr>
          <w:rFonts w:ascii="Times New Roman" w:eastAsia="Times New Roman" w:hAnsi="Times New Roman" w:cs="Times New Roman"/>
          <w:b/>
          <w:bCs/>
          <w:color w:val="FF0000"/>
          <w:sz w:val="24"/>
          <w:szCs w:val="24"/>
          <w:lang w:val="en-IN"/>
        </w:rPr>
        <w:t>R</w:t>
      </w:r>
      <w:r w:rsidRPr="2CA8CE82">
        <w:rPr>
          <w:rFonts w:ascii="Times New Roman" w:eastAsia="Times New Roman" w:hAnsi="Times New Roman" w:cs="Times New Roman"/>
          <w:b/>
          <w:bCs/>
          <w:color w:val="FF0000"/>
          <w:sz w:val="24"/>
          <w:szCs w:val="24"/>
          <w:lang w:val="en-IN"/>
        </w:rPr>
        <w:t>eadings</w:t>
      </w:r>
      <w:commentRangeEnd w:id="9"/>
      <w:r w:rsidR="00D16C1C">
        <w:rPr>
          <w:rStyle w:val="CommentReference"/>
        </w:rPr>
        <w:commentReference w:id="9"/>
      </w:r>
    </w:p>
    <w:p w14:paraId="328FDF50" w14:textId="79EB960A"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proofErr w:type="spellStart"/>
      <w:r w:rsidRPr="2CA8CE82">
        <w:rPr>
          <w:rFonts w:ascii="Times New Roman" w:eastAsia="Times New Roman" w:hAnsi="Times New Roman" w:cs="Times New Roman"/>
          <w:color w:val="000000" w:themeColor="text1"/>
          <w:sz w:val="24"/>
          <w:szCs w:val="24"/>
          <w:lang w:val="en-IN"/>
        </w:rPr>
        <w:t>Brahmer</w:t>
      </w:r>
      <w:proofErr w:type="spellEnd"/>
      <w:r w:rsidRPr="2CA8CE82">
        <w:rPr>
          <w:rFonts w:ascii="Times New Roman" w:eastAsia="Times New Roman" w:hAnsi="Times New Roman" w:cs="Times New Roman"/>
          <w:color w:val="000000" w:themeColor="text1"/>
          <w:sz w:val="24"/>
          <w:szCs w:val="24"/>
          <w:lang w:val="en-IN"/>
        </w:rPr>
        <w:t xml:space="preserve"> JR, Abu-</w:t>
      </w:r>
      <w:proofErr w:type="spellStart"/>
      <w:r w:rsidRPr="2CA8CE82">
        <w:rPr>
          <w:rFonts w:ascii="Times New Roman" w:eastAsia="Times New Roman" w:hAnsi="Times New Roman" w:cs="Times New Roman"/>
          <w:color w:val="000000" w:themeColor="text1"/>
          <w:sz w:val="24"/>
          <w:szCs w:val="24"/>
          <w:lang w:val="en-IN"/>
        </w:rPr>
        <w:t>Sbeih</w:t>
      </w:r>
      <w:proofErr w:type="spellEnd"/>
      <w:r w:rsidRPr="2CA8CE82">
        <w:rPr>
          <w:rFonts w:ascii="Times New Roman" w:eastAsia="Times New Roman" w:hAnsi="Times New Roman" w:cs="Times New Roman"/>
          <w:color w:val="000000" w:themeColor="text1"/>
          <w:sz w:val="24"/>
          <w:szCs w:val="24"/>
          <w:lang w:val="en-IN"/>
        </w:rPr>
        <w:t xml:space="preserve"> H, </w:t>
      </w:r>
      <w:proofErr w:type="spellStart"/>
      <w:r w:rsidRPr="2CA8CE82">
        <w:rPr>
          <w:rFonts w:ascii="Times New Roman" w:eastAsia="Times New Roman" w:hAnsi="Times New Roman" w:cs="Times New Roman"/>
          <w:color w:val="000000" w:themeColor="text1"/>
          <w:sz w:val="24"/>
          <w:szCs w:val="24"/>
          <w:lang w:val="en-IN"/>
        </w:rPr>
        <w:t>Ascierto</w:t>
      </w:r>
      <w:proofErr w:type="spellEnd"/>
      <w:r w:rsidRPr="2CA8CE82">
        <w:rPr>
          <w:rFonts w:ascii="Times New Roman" w:eastAsia="Times New Roman" w:hAnsi="Times New Roman" w:cs="Times New Roman"/>
          <w:color w:val="000000" w:themeColor="text1"/>
          <w:sz w:val="24"/>
          <w:szCs w:val="24"/>
          <w:lang w:val="en-IN"/>
        </w:rPr>
        <w:t xml:space="preserve"> PA, et al. Society for Immunotherapy of Cancer (SITC) clinical practice guideline on immune checkpoint inhibitor-related adverse events.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2021</w:t>
      </w:r>
      <w:proofErr w:type="gramStart"/>
      <w:r w:rsidRPr="2CA8CE82">
        <w:rPr>
          <w:rFonts w:ascii="Times New Roman" w:eastAsia="Times New Roman" w:hAnsi="Times New Roman" w:cs="Times New Roman"/>
          <w:color w:val="000000" w:themeColor="text1"/>
          <w:sz w:val="24"/>
          <w:szCs w:val="24"/>
          <w:lang w:val="en-IN"/>
        </w:rPr>
        <w:t>;9</w:t>
      </w:r>
      <w:proofErr w:type="gramEnd"/>
      <w:r w:rsidRPr="2CA8CE82">
        <w:rPr>
          <w:rFonts w:ascii="Times New Roman" w:eastAsia="Times New Roman" w:hAnsi="Times New Roman" w:cs="Times New Roman"/>
          <w:color w:val="000000" w:themeColor="text1"/>
          <w:sz w:val="24"/>
          <w:szCs w:val="24"/>
          <w:lang w:val="en-IN"/>
        </w:rPr>
        <w:t>(6):e002435. doi:10.1136/jitc-2021-002435</w:t>
      </w:r>
    </w:p>
    <w:p w14:paraId="27724CE9" w14:textId="1FE7832E"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Schneider BJ, Naidoo J, Santomasso BD, et al. </w:t>
      </w:r>
      <w:r w:rsidRPr="2CA8CE82">
        <w:rPr>
          <w:rFonts w:ascii="Times New Roman" w:eastAsia="Times New Roman" w:hAnsi="Times New Roman" w:cs="Times New Roman"/>
          <w:color w:val="000000" w:themeColor="text1"/>
          <w:sz w:val="24"/>
          <w:szCs w:val="24"/>
          <w:lang w:val="en-IN"/>
        </w:rPr>
        <w:t>Management of Immune-Related Adverse Events in Patients Treated With Immune Checkpoint Inhibitor Therapy: ASCO Guideline Update [published correction appears in J Clin Oncol. 2022 Jan 20</w:t>
      </w:r>
      <w:proofErr w:type="gramStart"/>
      <w:r w:rsidRPr="2CA8CE82">
        <w:rPr>
          <w:rFonts w:ascii="Times New Roman" w:eastAsia="Times New Roman" w:hAnsi="Times New Roman" w:cs="Times New Roman"/>
          <w:color w:val="000000" w:themeColor="text1"/>
          <w:sz w:val="24"/>
          <w:szCs w:val="24"/>
          <w:lang w:val="en-IN"/>
        </w:rPr>
        <w:t>;40</w:t>
      </w:r>
      <w:proofErr w:type="gramEnd"/>
      <w:r w:rsidRPr="2CA8CE82">
        <w:rPr>
          <w:rFonts w:ascii="Times New Roman" w:eastAsia="Times New Roman" w:hAnsi="Times New Roman" w:cs="Times New Roman"/>
          <w:color w:val="000000" w:themeColor="text1"/>
          <w:sz w:val="24"/>
          <w:szCs w:val="24"/>
          <w:lang w:val="en-IN"/>
        </w:rPr>
        <w:t xml:space="preserve">(3):315. </w:t>
      </w:r>
      <w:proofErr w:type="spellStart"/>
      <w:r w:rsidRPr="2CA8CE82">
        <w:rPr>
          <w:rFonts w:ascii="Times New Roman" w:eastAsia="Times New Roman" w:hAnsi="Times New Roman" w:cs="Times New Roman"/>
          <w:color w:val="000000" w:themeColor="text1"/>
          <w:sz w:val="24"/>
          <w:szCs w:val="24"/>
          <w:lang w:val="en-IN"/>
        </w:rPr>
        <w:t>doi</w:t>
      </w:r>
      <w:proofErr w:type="spellEnd"/>
      <w:r w:rsidRPr="2CA8CE82">
        <w:rPr>
          <w:rFonts w:ascii="Times New Roman" w:eastAsia="Times New Roman" w:hAnsi="Times New Roman" w:cs="Times New Roman"/>
          <w:color w:val="000000" w:themeColor="text1"/>
          <w:sz w:val="24"/>
          <w:szCs w:val="24"/>
          <w:lang w:val="en-IN"/>
        </w:rPr>
        <w:t>: 10.1200/JCO.21.02786]. J Clin Oncol. 2021;39(36):4073-4126. doi:10.1200/JCO.21.01440</w:t>
      </w:r>
    </w:p>
    <w:p w14:paraId="75289A4B" w14:textId="14458070" w:rsidR="0DAECABE" w:rsidRDefault="0DAECABE" w:rsidP="00D16C1C">
      <w:pPr>
        <w:pStyle w:val="SR"/>
        <w:numPr>
          <w:ilvl w:val="0"/>
          <w:numId w:val="1"/>
        </w:numPr>
        <w:spacing w:line="480" w:lineRule="auto"/>
        <w:jc w:val="both"/>
        <w:rPr>
          <w:rFonts w:ascii="Times New Roman" w:eastAsia="Times New Roman" w:hAnsi="Times New Roman" w:cs="Times New Roman"/>
          <w:color w:val="212121"/>
          <w:sz w:val="24"/>
          <w:szCs w:val="24"/>
        </w:rPr>
      </w:pPr>
      <w:r w:rsidRPr="00D16C1C">
        <w:rPr>
          <w:rFonts w:ascii="Times New Roman" w:eastAsia="Times New Roman" w:hAnsi="Times New Roman" w:cs="Times New Roman"/>
          <w:color w:val="212121"/>
          <w:sz w:val="24"/>
          <w:szCs w:val="24"/>
          <w:lang w:val="nl-NL"/>
        </w:rPr>
        <w:t xml:space="preserve">Haanen J, Obeid M, Spain L, et al. </w:t>
      </w:r>
      <w:r w:rsidRPr="2CA8CE82">
        <w:rPr>
          <w:rFonts w:ascii="Times New Roman" w:eastAsia="Times New Roman" w:hAnsi="Times New Roman" w:cs="Times New Roman"/>
          <w:color w:val="212121"/>
          <w:sz w:val="24"/>
          <w:szCs w:val="24"/>
          <w:lang w:val="en-IN"/>
        </w:rPr>
        <w:t>Management of toxicities from immunotherapy: ESMO Clinical Practice Guideline for diagnosis, treatment and follow-up. </w:t>
      </w:r>
      <w:r w:rsidRPr="2CA8CE82">
        <w:rPr>
          <w:rFonts w:ascii="Times New Roman" w:eastAsia="Times New Roman" w:hAnsi="Times New Roman" w:cs="Times New Roman"/>
          <w:i/>
          <w:iCs/>
          <w:color w:val="212121"/>
          <w:sz w:val="24"/>
          <w:szCs w:val="24"/>
          <w:lang w:val="en-IN"/>
        </w:rPr>
        <w:t>Ann Oncol</w:t>
      </w:r>
      <w:r w:rsidRPr="2CA8CE82">
        <w:rPr>
          <w:rFonts w:ascii="Times New Roman" w:eastAsia="Times New Roman" w:hAnsi="Times New Roman" w:cs="Times New Roman"/>
          <w:color w:val="212121"/>
          <w:sz w:val="24"/>
          <w:szCs w:val="24"/>
          <w:lang w:val="en-IN"/>
        </w:rPr>
        <w:t>. 2022;33(12):1217-1238. doi:10.1016/j.annonc.2022.10.001</w:t>
      </w:r>
    </w:p>
    <w:p w14:paraId="50B686B6" w14:textId="4C46FCE2"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Martins F, </w:t>
      </w:r>
      <w:proofErr w:type="spellStart"/>
      <w:r w:rsidRPr="2CA8CE82">
        <w:rPr>
          <w:rFonts w:ascii="Times New Roman" w:eastAsia="Times New Roman" w:hAnsi="Times New Roman" w:cs="Times New Roman"/>
          <w:color w:val="000000" w:themeColor="text1"/>
          <w:sz w:val="24"/>
          <w:szCs w:val="24"/>
          <w:lang w:val="en-IN"/>
        </w:rPr>
        <w:t>Sofiya</w:t>
      </w:r>
      <w:proofErr w:type="spellEnd"/>
      <w:r w:rsidRPr="2CA8CE82">
        <w:rPr>
          <w:rFonts w:ascii="Times New Roman" w:eastAsia="Times New Roman" w:hAnsi="Times New Roman" w:cs="Times New Roman"/>
          <w:color w:val="000000" w:themeColor="text1"/>
          <w:sz w:val="24"/>
          <w:szCs w:val="24"/>
          <w:lang w:val="en-IN"/>
        </w:rPr>
        <w:t xml:space="preserve"> L, </w:t>
      </w:r>
      <w:proofErr w:type="spellStart"/>
      <w:r w:rsidRPr="2CA8CE82">
        <w:rPr>
          <w:rFonts w:ascii="Times New Roman" w:eastAsia="Times New Roman" w:hAnsi="Times New Roman" w:cs="Times New Roman"/>
          <w:color w:val="000000" w:themeColor="text1"/>
          <w:sz w:val="24"/>
          <w:szCs w:val="24"/>
          <w:lang w:val="en-IN"/>
        </w:rPr>
        <w:t>Sykiotis</w:t>
      </w:r>
      <w:proofErr w:type="spellEnd"/>
      <w:r w:rsidRPr="2CA8CE82">
        <w:rPr>
          <w:rFonts w:ascii="Times New Roman" w:eastAsia="Times New Roman" w:hAnsi="Times New Roman" w:cs="Times New Roman"/>
          <w:color w:val="000000" w:themeColor="text1"/>
          <w:sz w:val="24"/>
          <w:szCs w:val="24"/>
          <w:lang w:val="en-IN"/>
        </w:rPr>
        <w:t xml:space="preserve"> GP, et al. Adverse effects of immune checkpoint inhibitors: epidemiology, management and surveillance. Nat Rev Clin Oncol. 2019</w:t>
      </w:r>
      <w:proofErr w:type="gramStart"/>
      <w:r w:rsidRPr="2CA8CE82">
        <w:rPr>
          <w:rFonts w:ascii="Times New Roman" w:eastAsia="Times New Roman" w:hAnsi="Times New Roman" w:cs="Times New Roman"/>
          <w:color w:val="000000" w:themeColor="text1"/>
          <w:sz w:val="24"/>
          <w:szCs w:val="24"/>
          <w:lang w:val="en-IN"/>
        </w:rPr>
        <w:t>;16:563</w:t>
      </w:r>
      <w:proofErr w:type="gramEnd"/>
      <w:r w:rsidRPr="2CA8CE82">
        <w:rPr>
          <w:rFonts w:ascii="Times New Roman" w:eastAsia="Times New Roman" w:hAnsi="Times New Roman" w:cs="Times New Roman"/>
          <w:color w:val="000000" w:themeColor="text1"/>
          <w:sz w:val="24"/>
          <w:szCs w:val="24"/>
          <w:lang w:val="en-IN"/>
        </w:rPr>
        <w:t>-580.</w:t>
      </w:r>
    </w:p>
    <w:p w14:paraId="7ACACF6E" w14:textId="71602BC9"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Naidoo J, Wang X, Woo KM, et al: Pneumonitis in patients treated with anti-programmed death-1/programmed death ligand 1 therapy. J Clin Oncol 35: 709-717, 2017</w:t>
      </w:r>
    </w:p>
    <w:p w14:paraId="74139C5D" w14:textId="57D24654"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Nishino M, </w:t>
      </w:r>
      <w:proofErr w:type="spellStart"/>
      <w:r w:rsidRPr="2CA8CE82">
        <w:rPr>
          <w:rFonts w:ascii="Times New Roman" w:eastAsia="Times New Roman" w:hAnsi="Times New Roman" w:cs="Times New Roman"/>
          <w:color w:val="000000" w:themeColor="text1"/>
          <w:sz w:val="24"/>
          <w:szCs w:val="24"/>
          <w:lang w:val="en-IN"/>
        </w:rPr>
        <w:t>Giobbie-Hurder</w:t>
      </w:r>
      <w:proofErr w:type="spellEnd"/>
      <w:r w:rsidRPr="2CA8CE82">
        <w:rPr>
          <w:rFonts w:ascii="Times New Roman" w:eastAsia="Times New Roman" w:hAnsi="Times New Roman" w:cs="Times New Roman"/>
          <w:color w:val="000000" w:themeColor="text1"/>
          <w:sz w:val="24"/>
          <w:szCs w:val="24"/>
          <w:lang w:val="en-IN"/>
        </w:rPr>
        <w:t xml:space="preserve"> A, </w:t>
      </w:r>
      <w:proofErr w:type="spellStart"/>
      <w:r w:rsidRPr="2CA8CE82">
        <w:rPr>
          <w:rFonts w:ascii="Times New Roman" w:eastAsia="Times New Roman" w:hAnsi="Times New Roman" w:cs="Times New Roman"/>
          <w:color w:val="000000" w:themeColor="text1"/>
          <w:sz w:val="24"/>
          <w:szCs w:val="24"/>
          <w:lang w:val="en-IN"/>
        </w:rPr>
        <w:t>Hatabu</w:t>
      </w:r>
      <w:proofErr w:type="spellEnd"/>
      <w:r w:rsidRPr="2CA8CE82">
        <w:rPr>
          <w:rFonts w:ascii="Times New Roman" w:eastAsia="Times New Roman" w:hAnsi="Times New Roman" w:cs="Times New Roman"/>
          <w:color w:val="000000" w:themeColor="text1"/>
          <w:sz w:val="24"/>
          <w:szCs w:val="24"/>
          <w:lang w:val="en-IN"/>
        </w:rPr>
        <w:t xml:space="preserve"> H, et al. Incidence of programmed cell death 1 inhibitor-related pneumonitis in patients with advanced cancer: A systematic review and meta-analysis. JAMA Oncol 2:1607-1616, 2016</w:t>
      </w:r>
    </w:p>
    <w:p w14:paraId="28FE5B94" w14:textId="7D3909DA"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Delaunay M, Prevot G, Collot S, et al. Management of pulmonary toxicity associated with immune checkpoint inhibitors. </w:t>
      </w:r>
      <w:proofErr w:type="spellStart"/>
      <w:r w:rsidRPr="2CA8CE82">
        <w:rPr>
          <w:rFonts w:ascii="Times New Roman" w:eastAsia="Times New Roman" w:hAnsi="Times New Roman" w:cs="Times New Roman"/>
          <w:color w:val="000000" w:themeColor="text1"/>
          <w:sz w:val="24"/>
          <w:szCs w:val="24"/>
          <w:lang w:val="en-IN"/>
        </w:rPr>
        <w:t>Eur</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Respir</w:t>
      </w:r>
      <w:proofErr w:type="spellEnd"/>
      <w:r w:rsidRPr="2CA8CE82">
        <w:rPr>
          <w:rFonts w:ascii="Times New Roman" w:eastAsia="Times New Roman" w:hAnsi="Times New Roman" w:cs="Times New Roman"/>
          <w:color w:val="000000" w:themeColor="text1"/>
          <w:sz w:val="24"/>
          <w:szCs w:val="24"/>
          <w:lang w:val="en-IN"/>
        </w:rPr>
        <w:t xml:space="preserve"> Rev. 2019;28(154):190012.</w:t>
      </w:r>
    </w:p>
    <w:p w14:paraId="729A6EB6" w14:textId="7E47BCAB"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lastRenderedPageBreak/>
        <w:t xml:space="preserve">Stroud CR, Hegde A, Cherry C, </w:t>
      </w:r>
      <w:proofErr w:type="spellStart"/>
      <w:r w:rsidRPr="2CA8CE82">
        <w:rPr>
          <w:rFonts w:ascii="Times New Roman" w:eastAsia="Times New Roman" w:hAnsi="Times New Roman" w:cs="Times New Roman"/>
          <w:color w:val="000000" w:themeColor="text1"/>
          <w:sz w:val="24"/>
          <w:szCs w:val="24"/>
          <w:lang w:val="en-IN"/>
        </w:rPr>
        <w:t>Naqash</w:t>
      </w:r>
      <w:proofErr w:type="spellEnd"/>
      <w:r w:rsidRPr="2CA8CE82">
        <w:rPr>
          <w:rFonts w:ascii="Times New Roman" w:eastAsia="Times New Roman" w:hAnsi="Times New Roman" w:cs="Times New Roman"/>
          <w:color w:val="000000" w:themeColor="text1"/>
          <w:sz w:val="24"/>
          <w:szCs w:val="24"/>
          <w:lang w:val="en-IN"/>
        </w:rPr>
        <w:t xml:space="preserve"> AR, et al. Tocilizumab for the management of immune mediated adverse events secondary to PD-1 blockade. J </w:t>
      </w:r>
      <w:proofErr w:type="spellStart"/>
      <w:r w:rsidRPr="2CA8CE82">
        <w:rPr>
          <w:rFonts w:ascii="Times New Roman" w:eastAsia="Times New Roman" w:hAnsi="Times New Roman" w:cs="Times New Roman"/>
          <w:color w:val="000000" w:themeColor="text1"/>
          <w:sz w:val="24"/>
          <w:szCs w:val="24"/>
          <w:lang w:val="en-IN"/>
        </w:rPr>
        <w:t>Oncol</w:t>
      </w:r>
      <w:proofErr w:type="spellEnd"/>
      <w:r w:rsidRPr="2CA8CE82">
        <w:rPr>
          <w:rFonts w:ascii="Times New Roman" w:eastAsia="Times New Roman" w:hAnsi="Times New Roman" w:cs="Times New Roman"/>
          <w:color w:val="000000" w:themeColor="text1"/>
          <w:sz w:val="24"/>
          <w:szCs w:val="24"/>
          <w:lang w:val="en-IN"/>
        </w:rPr>
        <w:t xml:space="preserve"> Pharm </w:t>
      </w:r>
      <w:proofErr w:type="spellStart"/>
      <w:r w:rsidRPr="2CA8CE82">
        <w:rPr>
          <w:rFonts w:ascii="Times New Roman" w:eastAsia="Times New Roman" w:hAnsi="Times New Roman" w:cs="Times New Roman"/>
          <w:color w:val="000000" w:themeColor="text1"/>
          <w:sz w:val="24"/>
          <w:szCs w:val="24"/>
          <w:lang w:val="en-IN"/>
        </w:rPr>
        <w:t>Pract</w:t>
      </w:r>
      <w:proofErr w:type="spellEnd"/>
      <w:r w:rsidRPr="2CA8CE82">
        <w:rPr>
          <w:rFonts w:ascii="Times New Roman" w:eastAsia="Times New Roman" w:hAnsi="Times New Roman" w:cs="Times New Roman"/>
          <w:color w:val="000000" w:themeColor="text1"/>
          <w:sz w:val="24"/>
          <w:szCs w:val="24"/>
          <w:lang w:val="en-IN"/>
        </w:rPr>
        <w:t xml:space="preserve"> 2019</w:t>
      </w:r>
      <w:proofErr w:type="gramStart"/>
      <w:r w:rsidRPr="2CA8CE82">
        <w:rPr>
          <w:rFonts w:ascii="Times New Roman" w:eastAsia="Times New Roman" w:hAnsi="Times New Roman" w:cs="Times New Roman"/>
          <w:color w:val="000000" w:themeColor="text1"/>
          <w:sz w:val="24"/>
          <w:szCs w:val="24"/>
          <w:lang w:val="en-IN"/>
        </w:rPr>
        <w:t>;25:e21712</w:t>
      </w:r>
      <w:proofErr w:type="gramEnd"/>
      <w:r w:rsidRPr="2CA8CE82">
        <w:rPr>
          <w:rFonts w:ascii="Times New Roman" w:eastAsia="Times New Roman" w:hAnsi="Times New Roman" w:cs="Times New Roman"/>
          <w:color w:val="000000" w:themeColor="text1"/>
          <w:sz w:val="24"/>
          <w:szCs w:val="24"/>
          <w:lang w:val="en-IN"/>
        </w:rPr>
        <w:t>.</w:t>
      </w:r>
    </w:p>
    <w:p w14:paraId="0E9F7A30" w14:textId="242B9573"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Beattie J, Rizvi H, Fuentes P, et al: Success and failure of additional immune modulators in steroid-refractory/resistant pneumonitis related to immune checkpoint blockade.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9:e001884, 2021</w:t>
      </w:r>
    </w:p>
    <w:p w14:paraId="70644071" w14:textId="3A249040"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Balaji A, Hsu M, Lin CT, et al: Steroid-refractory PD-(L)1 pneumonitis: Incidence, clinical features, treatment, and outcomes.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9: e001731, 2021</w:t>
      </w:r>
    </w:p>
    <w:p w14:paraId="6BEE3BF0" w14:textId="5AB14386"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Petri CR, </w:t>
      </w:r>
      <w:proofErr w:type="spellStart"/>
      <w:r w:rsidRPr="2CA8CE82">
        <w:rPr>
          <w:rFonts w:ascii="Times New Roman" w:eastAsia="Times New Roman" w:hAnsi="Times New Roman" w:cs="Times New Roman"/>
          <w:color w:val="000000" w:themeColor="text1"/>
          <w:sz w:val="24"/>
          <w:szCs w:val="24"/>
          <w:lang w:val="en-IN"/>
        </w:rPr>
        <w:t>Patell</w:t>
      </w:r>
      <w:proofErr w:type="spellEnd"/>
      <w:r w:rsidRPr="2CA8CE82">
        <w:rPr>
          <w:rFonts w:ascii="Times New Roman" w:eastAsia="Times New Roman" w:hAnsi="Times New Roman" w:cs="Times New Roman"/>
          <w:color w:val="000000" w:themeColor="text1"/>
          <w:sz w:val="24"/>
          <w:szCs w:val="24"/>
          <w:lang w:val="en-IN"/>
        </w:rPr>
        <w:t xml:space="preserve"> R, </w:t>
      </w:r>
      <w:proofErr w:type="spellStart"/>
      <w:r w:rsidRPr="2CA8CE82">
        <w:rPr>
          <w:rFonts w:ascii="Times New Roman" w:eastAsia="Times New Roman" w:hAnsi="Times New Roman" w:cs="Times New Roman"/>
          <w:color w:val="000000" w:themeColor="text1"/>
          <w:sz w:val="24"/>
          <w:szCs w:val="24"/>
          <w:lang w:val="en-IN"/>
        </w:rPr>
        <w:t>Batalini</w:t>
      </w:r>
      <w:proofErr w:type="spellEnd"/>
      <w:r w:rsidRPr="2CA8CE82">
        <w:rPr>
          <w:rFonts w:ascii="Times New Roman" w:eastAsia="Times New Roman" w:hAnsi="Times New Roman" w:cs="Times New Roman"/>
          <w:color w:val="000000" w:themeColor="text1"/>
          <w:sz w:val="24"/>
          <w:szCs w:val="24"/>
          <w:lang w:val="en-IN"/>
        </w:rPr>
        <w:t xml:space="preserve"> F, et al. Severe pulmonary toxicity from immune checkpoint inhibitor treated successfully with intravenous immunoglobulin: case report and review of the literature. Respir Med Case Rep 2019</w:t>
      </w:r>
      <w:proofErr w:type="gramStart"/>
      <w:r w:rsidRPr="2CA8CE82">
        <w:rPr>
          <w:rFonts w:ascii="Times New Roman" w:eastAsia="Times New Roman" w:hAnsi="Times New Roman" w:cs="Times New Roman"/>
          <w:color w:val="000000" w:themeColor="text1"/>
          <w:sz w:val="24"/>
          <w:szCs w:val="24"/>
          <w:lang w:val="en-IN"/>
        </w:rPr>
        <w:t>;27:100834</w:t>
      </w:r>
      <w:proofErr w:type="gramEnd"/>
      <w:r w:rsidRPr="2CA8CE82">
        <w:rPr>
          <w:rFonts w:ascii="Times New Roman" w:eastAsia="Times New Roman" w:hAnsi="Times New Roman" w:cs="Times New Roman"/>
          <w:color w:val="000000" w:themeColor="text1"/>
          <w:sz w:val="24"/>
          <w:szCs w:val="24"/>
          <w:lang w:val="en-IN"/>
        </w:rPr>
        <w:t>.</w:t>
      </w:r>
    </w:p>
    <w:p w14:paraId="534308F4" w14:textId="112224D3"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Suresh K, Naidoo J, Zhong Q, et al. </w:t>
      </w:r>
      <w:r w:rsidRPr="2CA8CE82">
        <w:rPr>
          <w:rFonts w:ascii="Times New Roman" w:eastAsia="Times New Roman" w:hAnsi="Times New Roman" w:cs="Times New Roman"/>
          <w:color w:val="000000" w:themeColor="text1"/>
          <w:sz w:val="24"/>
          <w:szCs w:val="24"/>
          <w:lang w:val="en-IN"/>
        </w:rPr>
        <w:t>The alveolar immune cell landscape is dysregulated in checkpoint inhibitor pneumonitis. J Clin Invest 2019</w:t>
      </w:r>
      <w:proofErr w:type="gramStart"/>
      <w:r w:rsidRPr="2CA8CE82">
        <w:rPr>
          <w:rFonts w:ascii="Times New Roman" w:eastAsia="Times New Roman" w:hAnsi="Times New Roman" w:cs="Times New Roman"/>
          <w:color w:val="000000" w:themeColor="text1"/>
          <w:sz w:val="24"/>
          <w:szCs w:val="24"/>
          <w:lang w:val="en-IN"/>
        </w:rPr>
        <w:t>;129:4305</w:t>
      </w:r>
      <w:proofErr w:type="gramEnd"/>
      <w:r w:rsidRPr="2CA8CE82">
        <w:rPr>
          <w:rFonts w:ascii="Times New Roman" w:eastAsia="Times New Roman" w:hAnsi="Times New Roman" w:cs="Times New Roman"/>
          <w:color w:val="000000" w:themeColor="text1"/>
          <w:sz w:val="24"/>
          <w:szCs w:val="24"/>
          <w:lang w:val="en-IN"/>
        </w:rPr>
        <w:t>–15.</w:t>
      </w:r>
    </w:p>
    <w:p w14:paraId="3E93229B" w14:textId="79C93BDA"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Suresh K, Voong KR, Shankar B, et al. </w:t>
      </w:r>
      <w:r w:rsidRPr="2CA8CE82">
        <w:rPr>
          <w:rFonts w:ascii="Times New Roman" w:eastAsia="Times New Roman" w:hAnsi="Times New Roman" w:cs="Times New Roman"/>
          <w:color w:val="000000" w:themeColor="text1"/>
          <w:sz w:val="24"/>
          <w:szCs w:val="24"/>
          <w:lang w:val="en-IN"/>
        </w:rPr>
        <w:t xml:space="preserve">Pneumonitis in non-small cell lung cancer patients receiving immune checkpoint immunotherapy: incidence and risk factors. J </w:t>
      </w:r>
      <w:proofErr w:type="spellStart"/>
      <w:r w:rsidRPr="2CA8CE82">
        <w:rPr>
          <w:rFonts w:ascii="Times New Roman" w:eastAsia="Times New Roman" w:hAnsi="Times New Roman" w:cs="Times New Roman"/>
          <w:color w:val="000000" w:themeColor="text1"/>
          <w:sz w:val="24"/>
          <w:szCs w:val="24"/>
          <w:lang w:val="en-IN"/>
        </w:rPr>
        <w:t>Thorac</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Oncol</w:t>
      </w:r>
      <w:proofErr w:type="spellEnd"/>
      <w:r w:rsidRPr="2CA8CE82">
        <w:rPr>
          <w:rFonts w:ascii="Times New Roman" w:eastAsia="Times New Roman" w:hAnsi="Times New Roman" w:cs="Times New Roman"/>
          <w:color w:val="000000" w:themeColor="text1"/>
          <w:sz w:val="24"/>
          <w:szCs w:val="24"/>
          <w:lang w:val="en-IN"/>
        </w:rPr>
        <w:t xml:space="preserve"> 2018</w:t>
      </w:r>
      <w:proofErr w:type="gramStart"/>
      <w:r w:rsidRPr="2CA8CE82">
        <w:rPr>
          <w:rFonts w:ascii="Times New Roman" w:eastAsia="Times New Roman" w:hAnsi="Times New Roman" w:cs="Times New Roman"/>
          <w:color w:val="000000" w:themeColor="text1"/>
          <w:sz w:val="24"/>
          <w:szCs w:val="24"/>
          <w:lang w:val="en-IN"/>
        </w:rPr>
        <w:t>;13:1930</w:t>
      </w:r>
      <w:proofErr w:type="gramEnd"/>
      <w:r w:rsidRPr="2CA8CE82">
        <w:rPr>
          <w:rFonts w:ascii="Times New Roman" w:eastAsia="Times New Roman" w:hAnsi="Times New Roman" w:cs="Times New Roman"/>
          <w:color w:val="000000" w:themeColor="text1"/>
          <w:sz w:val="24"/>
          <w:szCs w:val="24"/>
          <w:lang w:val="en-IN"/>
        </w:rPr>
        <w:t>–9.</w:t>
      </w:r>
    </w:p>
    <w:p w14:paraId="1484D900" w14:textId="49BC21BC"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Galant-Swafford J, Troesch A, Tran L, et al. Landscape of immune related pneumonitis in cancer patients with asthma being treated with immune checkpoint blockade. Oncology 2020</w:t>
      </w:r>
      <w:proofErr w:type="gramStart"/>
      <w:r w:rsidRPr="2CA8CE82">
        <w:rPr>
          <w:rFonts w:ascii="Times New Roman" w:eastAsia="Times New Roman" w:hAnsi="Times New Roman" w:cs="Times New Roman"/>
          <w:color w:val="000000" w:themeColor="text1"/>
          <w:sz w:val="24"/>
          <w:szCs w:val="24"/>
          <w:lang w:val="en-IN"/>
        </w:rPr>
        <w:t>;98:123</w:t>
      </w:r>
      <w:proofErr w:type="gramEnd"/>
      <w:r w:rsidRPr="2CA8CE82">
        <w:rPr>
          <w:rFonts w:ascii="Times New Roman" w:eastAsia="Times New Roman" w:hAnsi="Times New Roman" w:cs="Times New Roman"/>
          <w:color w:val="000000" w:themeColor="text1"/>
          <w:sz w:val="24"/>
          <w:szCs w:val="24"/>
          <w:lang w:val="en-IN"/>
        </w:rPr>
        <w:t>–30.</w:t>
      </w:r>
    </w:p>
    <w:p w14:paraId="086DD62B" w14:textId="72C76D3B" w:rsidR="0DAECABE" w:rsidRDefault="0DAECABE" w:rsidP="00D16C1C">
      <w:pPr>
        <w:pStyle w:val="SR"/>
        <w:numPr>
          <w:ilvl w:val="0"/>
          <w:numId w:val="1"/>
        </w:numPr>
        <w:spacing w:line="480" w:lineRule="auto"/>
        <w:jc w:val="both"/>
        <w:rPr>
          <w:rFonts w:ascii="Times New Roman" w:eastAsia="Times New Roman" w:hAnsi="Times New Roman" w:cs="Times New Roman"/>
          <w:color w:val="212121"/>
          <w:sz w:val="24"/>
          <w:szCs w:val="24"/>
        </w:rPr>
      </w:pPr>
      <w:r w:rsidRPr="2CA8CE82">
        <w:rPr>
          <w:rFonts w:ascii="Times New Roman" w:eastAsia="Times New Roman" w:hAnsi="Times New Roman" w:cs="Times New Roman"/>
          <w:color w:val="212121"/>
          <w:sz w:val="24"/>
          <w:szCs w:val="24"/>
          <w:lang w:val="en-IN"/>
        </w:rPr>
        <w:t>O'Leary CL, Pierce N, Patel SP, Naidoo J. Immune-Related Toxicity in NSCLC: Current State-of-the-Art and Emerging Clinical Challenges. </w:t>
      </w:r>
      <w:r w:rsidRPr="2CA8CE82">
        <w:rPr>
          <w:rFonts w:ascii="Times New Roman" w:eastAsia="Times New Roman" w:hAnsi="Times New Roman" w:cs="Times New Roman"/>
          <w:i/>
          <w:iCs/>
          <w:color w:val="212121"/>
          <w:sz w:val="24"/>
          <w:szCs w:val="24"/>
          <w:lang w:val="en-IN"/>
        </w:rPr>
        <w:t xml:space="preserve">J </w:t>
      </w:r>
      <w:proofErr w:type="spellStart"/>
      <w:r w:rsidRPr="2CA8CE82">
        <w:rPr>
          <w:rFonts w:ascii="Times New Roman" w:eastAsia="Times New Roman" w:hAnsi="Times New Roman" w:cs="Times New Roman"/>
          <w:i/>
          <w:iCs/>
          <w:color w:val="212121"/>
          <w:sz w:val="24"/>
          <w:szCs w:val="24"/>
          <w:lang w:val="en-IN"/>
        </w:rPr>
        <w:t>Thorac</w:t>
      </w:r>
      <w:proofErr w:type="spellEnd"/>
      <w:r w:rsidRPr="2CA8CE82">
        <w:rPr>
          <w:rFonts w:ascii="Times New Roman" w:eastAsia="Times New Roman" w:hAnsi="Times New Roman" w:cs="Times New Roman"/>
          <w:i/>
          <w:iCs/>
          <w:color w:val="212121"/>
          <w:sz w:val="24"/>
          <w:szCs w:val="24"/>
          <w:lang w:val="en-IN"/>
        </w:rPr>
        <w:t xml:space="preserve"> </w:t>
      </w:r>
      <w:proofErr w:type="spellStart"/>
      <w:r w:rsidRPr="2CA8CE82">
        <w:rPr>
          <w:rFonts w:ascii="Times New Roman" w:eastAsia="Times New Roman" w:hAnsi="Times New Roman" w:cs="Times New Roman"/>
          <w:i/>
          <w:iCs/>
          <w:color w:val="212121"/>
          <w:sz w:val="24"/>
          <w:szCs w:val="24"/>
          <w:lang w:val="en-IN"/>
        </w:rPr>
        <w:t>Oncol</w:t>
      </w:r>
      <w:proofErr w:type="spellEnd"/>
      <w:r w:rsidRPr="2CA8CE82">
        <w:rPr>
          <w:rFonts w:ascii="Times New Roman" w:eastAsia="Times New Roman" w:hAnsi="Times New Roman" w:cs="Times New Roman"/>
          <w:color w:val="212121"/>
          <w:sz w:val="24"/>
          <w:szCs w:val="24"/>
          <w:lang w:val="en-IN"/>
        </w:rPr>
        <w:t>. 2024;19(3):395-408. doi:10.1016/j.jtho.2023.11.018</w:t>
      </w:r>
    </w:p>
    <w:p w14:paraId="5935E4D0" w14:textId="1CF26EA4"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lastRenderedPageBreak/>
        <w:t xml:space="preserve">Arnaud-Coffin P, Maillet D, Gan HK, et al. </w:t>
      </w:r>
      <w:r w:rsidRPr="2CA8CE82">
        <w:rPr>
          <w:rFonts w:ascii="Times New Roman" w:eastAsia="Times New Roman" w:hAnsi="Times New Roman" w:cs="Times New Roman"/>
          <w:color w:val="000000" w:themeColor="text1"/>
          <w:sz w:val="24"/>
          <w:szCs w:val="24"/>
          <w:lang w:val="en-IN"/>
        </w:rPr>
        <w:t>A systematic review of adverse events in randomized trials assessing immune checkpoint inhibitors. International Journal of Cancer 2019</w:t>
      </w:r>
      <w:proofErr w:type="gramStart"/>
      <w:r w:rsidRPr="2CA8CE82">
        <w:rPr>
          <w:rFonts w:ascii="Times New Roman" w:eastAsia="Times New Roman" w:hAnsi="Times New Roman" w:cs="Times New Roman"/>
          <w:color w:val="000000" w:themeColor="text1"/>
          <w:sz w:val="24"/>
          <w:szCs w:val="24"/>
          <w:lang w:val="en-IN"/>
        </w:rPr>
        <w:t>;145:639</w:t>
      </w:r>
      <w:proofErr w:type="gramEnd"/>
      <w:r w:rsidRPr="2CA8CE82">
        <w:rPr>
          <w:rFonts w:ascii="Times New Roman" w:eastAsia="Times New Roman" w:hAnsi="Times New Roman" w:cs="Times New Roman"/>
          <w:color w:val="000000" w:themeColor="text1"/>
          <w:sz w:val="24"/>
          <w:szCs w:val="24"/>
          <w:lang w:val="en-IN"/>
        </w:rPr>
        <w:t>–48.</w:t>
      </w:r>
    </w:p>
    <w:p w14:paraId="56966B04" w14:textId="29698D4C"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Wang DY, Ye F, Zhao S, et al. </w:t>
      </w:r>
      <w:r w:rsidRPr="2CA8CE82">
        <w:rPr>
          <w:rFonts w:ascii="Times New Roman" w:eastAsia="Times New Roman" w:hAnsi="Times New Roman" w:cs="Times New Roman"/>
          <w:color w:val="000000" w:themeColor="text1"/>
          <w:sz w:val="24"/>
          <w:szCs w:val="24"/>
          <w:lang w:val="en-IN"/>
        </w:rPr>
        <w:t xml:space="preserve">Incidence of immune checkpoint inhibitor-related colitis in solid </w:t>
      </w:r>
      <w:proofErr w:type="spellStart"/>
      <w:r w:rsidRPr="2CA8CE82">
        <w:rPr>
          <w:rFonts w:ascii="Times New Roman" w:eastAsia="Times New Roman" w:hAnsi="Times New Roman" w:cs="Times New Roman"/>
          <w:color w:val="000000" w:themeColor="text1"/>
          <w:sz w:val="24"/>
          <w:szCs w:val="24"/>
          <w:lang w:val="en-IN"/>
        </w:rPr>
        <w:t>tumor</w:t>
      </w:r>
      <w:proofErr w:type="spellEnd"/>
      <w:r w:rsidRPr="2CA8CE82">
        <w:rPr>
          <w:rFonts w:ascii="Times New Roman" w:eastAsia="Times New Roman" w:hAnsi="Times New Roman" w:cs="Times New Roman"/>
          <w:color w:val="000000" w:themeColor="text1"/>
          <w:sz w:val="24"/>
          <w:szCs w:val="24"/>
          <w:lang w:val="en-IN"/>
        </w:rPr>
        <w:t xml:space="preserve"> patients: a systematic review and meta-analysis. </w:t>
      </w:r>
      <w:proofErr w:type="spellStart"/>
      <w:r w:rsidRPr="2CA8CE82">
        <w:rPr>
          <w:rFonts w:ascii="Times New Roman" w:eastAsia="Times New Roman" w:hAnsi="Times New Roman" w:cs="Times New Roman"/>
          <w:color w:val="000000" w:themeColor="text1"/>
          <w:sz w:val="24"/>
          <w:szCs w:val="24"/>
          <w:lang w:val="en-IN"/>
        </w:rPr>
        <w:t>Oncoimmunology</w:t>
      </w:r>
      <w:proofErr w:type="spellEnd"/>
      <w:r w:rsidRPr="2CA8CE82">
        <w:rPr>
          <w:rFonts w:ascii="Times New Roman" w:eastAsia="Times New Roman" w:hAnsi="Times New Roman" w:cs="Times New Roman"/>
          <w:color w:val="000000" w:themeColor="text1"/>
          <w:sz w:val="24"/>
          <w:szCs w:val="24"/>
          <w:lang w:val="en-IN"/>
        </w:rPr>
        <w:t xml:space="preserve"> 2017</w:t>
      </w:r>
      <w:proofErr w:type="gramStart"/>
      <w:r w:rsidRPr="2CA8CE82">
        <w:rPr>
          <w:rFonts w:ascii="Times New Roman" w:eastAsia="Times New Roman" w:hAnsi="Times New Roman" w:cs="Times New Roman"/>
          <w:color w:val="000000" w:themeColor="text1"/>
          <w:sz w:val="24"/>
          <w:szCs w:val="24"/>
          <w:lang w:val="en-IN"/>
        </w:rPr>
        <w:t>;6:e1344805</w:t>
      </w:r>
      <w:proofErr w:type="gramEnd"/>
      <w:r w:rsidRPr="2CA8CE82">
        <w:rPr>
          <w:rFonts w:ascii="Times New Roman" w:eastAsia="Times New Roman" w:hAnsi="Times New Roman" w:cs="Times New Roman"/>
          <w:color w:val="000000" w:themeColor="text1"/>
          <w:sz w:val="24"/>
          <w:szCs w:val="24"/>
          <w:lang w:val="en-IN"/>
        </w:rPr>
        <w:t>.</w:t>
      </w:r>
    </w:p>
    <w:p w14:paraId="0D53BFE3" w14:textId="374C3888"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Wang Y, Zhou S, Yang F, et al. </w:t>
      </w:r>
      <w:r w:rsidRPr="2CA8CE82">
        <w:rPr>
          <w:rFonts w:ascii="Times New Roman" w:eastAsia="Times New Roman" w:hAnsi="Times New Roman" w:cs="Times New Roman"/>
          <w:color w:val="000000" w:themeColor="text1"/>
          <w:sz w:val="24"/>
          <w:szCs w:val="24"/>
          <w:lang w:val="en-IN"/>
        </w:rPr>
        <w:t>Treatment-Related adverse events of PD-1 and PD-L1 inhibitors in clinical trials: a systematic review and meta-analysis. JAMA Oncol 2019</w:t>
      </w:r>
      <w:proofErr w:type="gramStart"/>
      <w:r w:rsidRPr="2CA8CE82">
        <w:rPr>
          <w:rFonts w:ascii="Times New Roman" w:eastAsia="Times New Roman" w:hAnsi="Times New Roman" w:cs="Times New Roman"/>
          <w:color w:val="000000" w:themeColor="text1"/>
          <w:sz w:val="24"/>
          <w:szCs w:val="24"/>
          <w:lang w:val="en-IN"/>
        </w:rPr>
        <w:t>;5:1008</w:t>
      </w:r>
      <w:proofErr w:type="gramEnd"/>
      <w:r w:rsidRPr="2CA8CE82">
        <w:rPr>
          <w:rFonts w:ascii="Times New Roman" w:eastAsia="Times New Roman" w:hAnsi="Times New Roman" w:cs="Times New Roman"/>
          <w:color w:val="000000" w:themeColor="text1"/>
          <w:sz w:val="24"/>
          <w:szCs w:val="24"/>
          <w:lang w:val="en-IN"/>
        </w:rPr>
        <w:t>–19. doi:10.1001/jamaoncol.2019.0393</w:t>
      </w:r>
    </w:p>
    <w:p w14:paraId="0715C203" w14:textId="5B240340"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proofErr w:type="spellStart"/>
      <w:r w:rsidRPr="2CA8CE82">
        <w:rPr>
          <w:rFonts w:ascii="Times New Roman" w:eastAsia="Times New Roman" w:hAnsi="Times New Roman" w:cs="Times New Roman"/>
          <w:color w:val="000000" w:themeColor="text1"/>
          <w:sz w:val="24"/>
          <w:szCs w:val="24"/>
          <w:lang w:val="en-IN"/>
        </w:rPr>
        <w:t>Coutzac</w:t>
      </w:r>
      <w:proofErr w:type="spellEnd"/>
      <w:r w:rsidRPr="2CA8CE82">
        <w:rPr>
          <w:rFonts w:ascii="Times New Roman" w:eastAsia="Times New Roman" w:hAnsi="Times New Roman" w:cs="Times New Roman"/>
          <w:color w:val="000000" w:themeColor="text1"/>
          <w:sz w:val="24"/>
          <w:szCs w:val="24"/>
          <w:lang w:val="en-IN"/>
        </w:rPr>
        <w:t xml:space="preserve"> C, Adam J, </w:t>
      </w:r>
      <w:proofErr w:type="spellStart"/>
      <w:r w:rsidRPr="2CA8CE82">
        <w:rPr>
          <w:rFonts w:ascii="Times New Roman" w:eastAsia="Times New Roman" w:hAnsi="Times New Roman" w:cs="Times New Roman"/>
          <w:color w:val="000000" w:themeColor="text1"/>
          <w:sz w:val="24"/>
          <w:szCs w:val="24"/>
          <w:lang w:val="en-IN"/>
        </w:rPr>
        <w:t>Soularue</w:t>
      </w:r>
      <w:proofErr w:type="spellEnd"/>
      <w:r w:rsidRPr="2CA8CE82">
        <w:rPr>
          <w:rFonts w:ascii="Times New Roman" w:eastAsia="Times New Roman" w:hAnsi="Times New Roman" w:cs="Times New Roman"/>
          <w:color w:val="000000" w:themeColor="text1"/>
          <w:sz w:val="24"/>
          <w:szCs w:val="24"/>
          <w:lang w:val="en-IN"/>
        </w:rPr>
        <w:t xml:space="preserve"> E, et al. Colon immune-related adverse events: anti-CTLA-4 and anti-PD-1 blockade induce distinct immunopathological entities. Journal of Crohn's and Colitis 2017</w:t>
      </w:r>
      <w:proofErr w:type="gramStart"/>
      <w:r w:rsidRPr="2CA8CE82">
        <w:rPr>
          <w:rFonts w:ascii="Times New Roman" w:eastAsia="Times New Roman" w:hAnsi="Times New Roman" w:cs="Times New Roman"/>
          <w:color w:val="000000" w:themeColor="text1"/>
          <w:sz w:val="24"/>
          <w:szCs w:val="24"/>
          <w:lang w:val="en-IN"/>
        </w:rPr>
        <w:t>;11:1238</w:t>
      </w:r>
      <w:proofErr w:type="gramEnd"/>
      <w:r w:rsidRPr="2CA8CE82">
        <w:rPr>
          <w:rFonts w:ascii="Times New Roman" w:eastAsia="Times New Roman" w:hAnsi="Times New Roman" w:cs="Times New Roman"/>
          <w:color w:val="000000" w:themeColor="text1"/>
          <w:sz w:val="24"/>
          <w:szCs w:val="24"/>
          <w:lang w:val="en-IN"/>
        </w:rPr>
        <w:t>–46.</w:t>
      </w:r>
    </w:p>
    <w:p w14:paraId="57058ADE" w14:textId="71B97738"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proofErr w:type="spellStart"/>
      <w:r w:rsidRPr="2CA8CE82">
        <w:rPr>
          <w:rFonts w:ascii="Times New Roman" w:eastAsia="Times New Roman" w:hAnsi="Times New Roman" w:cs="Times New Roman"/>
          <w:color w:val="000000" w:themeColor="text1"/>
          <w:sz w:val="24"/>
          <w:szCs w:val="24"/>
          <w:lang w:val="en-IN"/>
        </w:rPr>
        <w:t>Chaput</w:t>
      </w:r>
      <w:proofErr w:type="spellEnd"/>
      <w:r w:rsidRPr="2CA8CE82">
        <w:rPr>
          <w:rFonts w:ascii="Times New Roman" w:eastAsia="Times New Roman" w:hAnsi="Times New Roman" w:cs="Times New Roman"/>
          <w:color w:val="000000" w:themeColor="text1"/>
          <w:sz w:val="24"/>
          <w:szCs w:val="24"/>
          <w:lang w:val="en-IN"/>
        </w:rPr>
        <w:t xml:space="preserve"> N, </w:t>
      </w:r>
      <w:proofErr w:type="spellStart"/>
      <w:r w:rsidRPr="2CA8CE82">
        <w:rPr>
          <w:rFonts w:ascii="Times New Roman" w:eastAsia="Times New Roman" w:hAnsi="Times New Roman" w:cs="Times New Roman"/>
          <w:color w:val="000000" w:themeColor="text1"/>
          <w:sz w:val="24"/>
          <w:szCs w:val="24"/>
          <w:lang w:val="en-IN"/>
        </w:rPr>
        <w:t>Lepage</w:t>
      </w:r>
      <w:proofErr w:type="spellEnd"/>
      <w:r w:rsidRPr="2CA8CE82">
        <w:rPr>
          <w:rFonts w:ascii="Times New Roman" w:eastAsia="Times New Roman" w:hAnsi="Times New Roman" w:cs="Times New Roman"/>
          <w:color w:val="000000" w:themeColor="text1"/>
          <w:sz w:val="24"/>
          <w:szCs w:val="24"/>
          <w:lang w:val="en-IN"/>
        </w:rPr>
        <w:t xml:space="preserve"> P, </w:t>
      </w:r>
      <w:proofErr w:type="spellStart"/>
      <w:r w:rsidRPr="2CA8CE82">
        <w:rPr>
          <w:rFonts w:ascii="Times New Roman" w:eastAsia="Times New Roman" w:hAnsi="Times New Roman" w:cs="Times New Roman"/>
          <w:color w:val="000000" w:themeColor="text1"/>
          <w:sz w:val="24"/>
          <w:szCs w:val="24"/>
          <w:lang w:val="en-IN"/>
        </w:rPr>
        <w:t>Coutzac</w:t>
      </w:r>
      <w:proofErr w:type="spellEnd"/>
      <w:r w:rsidRPr="2CA8CE82">
        <w:rPr>
          <w:rFonts w:ascii="Times New Roman" w:eastAsia="Times New Roman" w:hAnsi="Times New Roman" w:cs="Times New Roman"/>
          <w:color w:val="000000" w:themeColor="text1"/>
          <w:sz w:val="24"/>
          <w:szCs w:val="24"/>
          <w:lang w:val="en-IN"/>
        </w:rPr>
        <w:t xml:space="preserve"> C, et al. Baseline gut microbiota predicts clinical response and colitis in metastatic melanoma patients treated with ipilimumab. Annals of Oncology 2017</w:t>
      </w:r>
      <w:proofErr w:type="gramStart"/>
      <w:r w:rsidRPr="2CA8CE82">
        <w:rPr>
          <w:rFonts w:ascii="Times New Roman" w:eastAsia="Times New Roman" w:hAnsi="Times New Roman" w:cs="Times New Roman"/>
          <w:color w:val="000000" w:themeColor="text1"/>
          <w:sz w:val="24"/>
          <w:szCs w:val="24"/>
          <w:lang w:val="en-IN"/>
        </w:rPr>
        <w:t>;28:1368</w:t>
      </w:r>
      <w:proofErr w:type="gramEnd"/>
      <w:r w:rsidRPr="2CA8CE82">
        <w:rPr>
          <w:rFonts w:ascii="Times New Roman" w:eastAsia="Times New Roman" w:hAnsi="Times New Roman" w:cs="Times New Roman"/>
          <w:color w:val="000000" w:themeColor="text1"/>
          <w:sz w:val="24"/>
          <w:szCs w:val="24"/>
          <w:lang w:val="en-IN"/>
        </w:rPr>
        <w:t>–79.</w:t>
      </w:r>
    </w:p>
    <w:p w14:paraId="2A2CF658" w14:textId="4EEA79ED"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Dubin K, Callahan MK, Ren B, et al. </w:t>
      </w:r>
      <w:r w:rsidRPr="2CA8CE82">
        <w:rPr>
          <w:rFonts w:ascii="Times New Roman" w:eastAsia="Times New Roman" w:hAnsi="Times New Roman" w:cs="Times New Roman"/>
          <w:color w:val="000000" w:themeColor="text1"/>
          <w:sz w:val="24"/>
          <w:szCs w:val="24"/>
          <w:lang w:val="en-IN"/>
        </w:rPr>
        <w:t>Intestinal microbiome analyses identify melanoma patients at risk for checkpoint-blockade-induced colitis. Nat Commun 2016</w:t>
      </w:r>
      <w:proofErr w:type="gramStart"/>
      <w:r w:rsidRPr="2CA8CE82">
        <w:rPr>
          <w:rFonts w:ascii="Times New Roman" w:eastAsia="Times New Roman" w:hAnsi="Times New Roman" w:cs="Times New Roman"/>
          <w:color w:val="000000" w:themeColor="text1"/>
          <w:sz w:val="24"/>
          <w:szCs w:val="24"/>
          <w:lang w:val="en-IN"/>
        </w:rPr>
        <w:t>;7:10391</w:t>
      </w:r>
      <w:proofErr w:type="gramEnd"/>
      <w:r w:rsidRPr="2CA8CE82">
        <w:rPr>
          <w:rFonts w:ascii="Times New Roman" w:eastAsia="Times New Roman" w:hAnsi="Times New Roman" w:cs="Times New Roman"/>
          <w:color w:val="000000" w:themeColor="text1"/>
          <w:sz w:val="24"/>
          <w:szCs w:val="24"/>
          <w:lang w:val="en-IN"/>
        </w:rPr>
        <w:t>.</w:t>
      </w:r>
    </w:p>
    <w:p w14:paraId="0BB8F436" w14:textId="430F5B67"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Qin Q, Patel VG, Wang B, et al: Type, timing, and patient characteristics associated with immune-related adverse event development in patients with advanced solid </w:t>
      </w:r>
      <w:proofErr w:type="spellStart"/>
      <w:r w:rsidRPr="2CA8CE82">
        <w:rPr>
          <w:rFonts w:ascii="Times New Roman" w:eastAsia="Times New Roman" w:hAnsi="Times New Roman" w:cs="Times New Roman"/>
          <w:color w:val="000000" w:themeColor="text1"/>
          <w:sz w:val="24"/>
          <w:szCs w:val="24"/>
          <w:lang w:val="en-IN"/>
        </w:rPr>
        <w:t>tumors</w:t>
      </w:r>
      <w:proofErr w:type="spellEnd"/>
      <w:r w:rsidRPr="2CA8CE82">
        <w:rPr>
          <w:rFonts w:ascii="Times New Roman" w:eastAsia="Times New Roman" w:hAnsi="Times New Roman" w:cs="Times New Roman"/>
          <w:color w:val="000000" w:themeColor="text1"/>
          <w:sz w:val="24"/>
          <w:szCs w:val="24"/>
          <w:lang w:val="en-IN"/>
        </w:rPr>
        <w:t xml:space="preserve"> treated with immune checkpoint inhibitors. J Clin Oncol 38:e15160, 2020</w:t>
      </w:r>
    </w:p>
    <w:p w14:paraId="38C09FD7" w14:textId="080CF9FE"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Tang SQ, Tang LL, Mao YP, et al: The pattern of time to onset and resolution of immune-related adverse events caused by immune checkpoint inhibitors in cancer: A </w:t>
      </w:r>
      <w:r w:rsidRPr="2CA8CE82">
        <w:rPr>
          <w:rFonts w:ascii="Times New Roman" w:eastAsia="Times New Roman" w:hAnsi="Times New Roman" w:cs="Times New Roman"/>
          <w:color w:val="000000" w:themeColor="text1"/>
          <w:sz w:val="24"/>
          <w:szCs w:val="24"/>
          <w:lang w:val="en-IN"/>
        </w:rPr>
        <w:lastRenderedPageBreak/>
        <w:t>pooled analysis of 23 clinical trials and 8,436 patients. Cancer Res Treat 53:339-354, 2021</w:t>
      </w:r>
    </w:p>
    <w:p w14:paraId="1D792210" w14:textId="698DFE56"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Abdel-</w:t>
      </w:r>
      <w:proofErr w:type="spellStart"/>
      <w:r w:rsidRPr="2CA8CE82">
        <w:rPr>
          <w:rFonts w:ascii="Times New Roman" w:eastAsia="Times New Roman" w:hAnsi="Times New Roman" w:cs="Times New Roman"/>
          <w:color w:val="000000" w:themeColor="text1"/>
          <w:sz w:val="24"/>
          <w:szCs w:val="24"/>
          <w:lang w:val="en-IN"/>
        </w:rPr>
        <w:t>Rahman</w:t>
      </w:r>
      <w:proofErr w:type="spellEnd"/>
      <w:r w:rsidRPr="2CA8CE82">
        <w:rPr>
          <w:rFonts w:ascii="Times New Roman" w:eastAsia="Times New Roman" w:hAnsi="Times New Roman" w:cs="Times New Roman"/>
          <w:color w:val="000000" w:themeColor="text1"/>
          <w:sz w:val="24"/>
          <w:szCs w:val="24"/>
          <w:lang w:val="en-IN"/>
        </w:rPr>
        <w:t xml:space="preserve"> O, </w:t>
      </w:r>
      <w:proofErr w:type="spellStart"/>
      <w:r w:rsidRPr="2CA8CE82">
        <w:rPr>
          <w:rFonts w:ascii="Times New Roman" w:eastAsia="Times New Roman" w:hAnsi="Times New Roman" w:cs="Times New Roman"/>
          <w:color w:val="000000" w:themeColor="text1"/>
          <w:sz w:val="24"/>
          <w:szCs w:val="24"/>
          <w:lang w:val="en-IN"/>
        </w:rPr>
        <w:t>Elhalawani</w:t>
      </w:r>
      <w:proofErr w:type="spellEnd"/>
      <w:r w:rsidRPr="2CA8CE82">
        <w:rPr>
          <w:rFonts w:ascii="Times New Roman" w:eastAsia="Times New Roman" w:hAnsi="Times New Roman" w:cs="Times New Roman"/>
          <w:color w:val="000000" w:themeColor="text1"/>
          <w:sz w:val="24"/>
          <w:szCs w:val="24"/>
          <w:lang w:val="en-IN"/>
        </w:rPr>
        <w:t xml:space="preserve"> H, </w:t>
      </w:r>
      <w:proofErr w:type="spellStart"/>
      <w:r w:rsidRPr="2CA8CE82">
        <w:rPr>
          <w:rFonts w:ascii="Times New Roman" w:eastAsia="Times New Roman" w:hAnsi="Times New Roman" w:cs="Times New Roman"/>
          <w:color w:val="000000" w:themeColor="text1"/>
          <w:sz w:val="24"/>
          <w:szCs w:val="24"/>
          <w:lang w:val="en-IN"/>
        </w:rPr>
        <w:t>Fouad</w:t>
      </w:r>
      <w:proofErr w:type="spellEnd"/>
      <w:r w:rsidRPr="2CA8CE82">
        <w:rPr>
          <w:rFonts w:ascii="Times New Roman" w:eastAsia="Times New Roman" w:hAnsi="Times New Roman" w:cs="Times New Roman"/>
          <w:color w:val="000000" w:themeColor="text1"/>
          <w:sz w:val="24"/>
          <w:szCs w:val="24"/>
          <w:lang w:val="en-IN"/>
        </w:rPr>
        <w:t xml:space="preserve"> M: Risk of gastrointestinal complications in cancer patients treated with immune checkpoint inhibitors: A meta-analysis. Immunotherapy 7:1213-1227, 2015</w:t>
      </w:r>
    </w:p>
    <w:p w14:paraId="24D12568" w14:textId="71716540"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Gupta A, De Felice KM, Loftus EV, et al: Systematic review: Colitis associated with anti-CTLA-4 therapy. Aliment </w:t>
      </w:r>
      <w:proofErr w:type="spellStart"/>
      <w:r w:rsidRPr="2CA8CE82">
        <w:rPr>
          <w:rFonts w:ascii="Times New Roman" w:eastAsia="Times New Roman" w:hAnsi="Times New Roman" w:cs="Times New Roman"/>
          <w:color w:val="000000" w:themeColor="text1"/>
          <w:sz w:val="24"/>
          <w:szCs w:val="24"/>
          <w:lang w:val="en-IN"/>
        </w:rPr>
        <w:t>Pharmacol</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Ther</w:t>
      </w:r>
      <w:proofErr w:type="spellEnd"/>
      <w:r w:rsidRPr="2CA8CE82">
        <w:rPr>
          <w:rFonts w:ascii="Times New Roman" w:eastAsia="Times New Roman" w:hAnsi="Times New Roman" w:cs="Times New Roman"/>
          <w:color w:val="000000" w:themeColor="text1"/>
          <w:sz w:val="24"/>
          <w:szCs w:val="24"/>
          <w:lang w:val="en-IN"/>
        </w:rPr>
        <w:t xml:space="preserve"> 42:406-417, 2015</w:t>
      </w:r>
    </w:p>
    <w:p w14:paraId="750C9610" w14:textId="49454763"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Wang Y, Abu-</w:t>
      </w:r>
      <w:proofErr w:type="spellStart"/>
      <w:r w:rsidRPr="2CA8CE82">
        <w:rPr>
          <w:rFonts w:ascii="Times New Roman" w:eastAsia="Times New Roman" w:hAnsi="Times New Roman" w:cs="Times New Roman"/>
          <w:color w:val="000000" w:themeColor="text1"/>
          <w:sz w:val="24"/>
          <w:szCs w:val="24"/>
          <w:lang w:val="en-IN"/>
        </w:rPr>
        <w:t>Sbeih</w:t>
      </w:r>
      <w:proofErr w:type="spellEnd"/>
      <w:r w:rsidRPr="2CA8CE82">
        <w:rPr>
          <w:rFonts w:ascii="Times New Roman" w:eastAsia="Times New Roman" w:hAnsi="Times New Roman" w:cs="Times New Roman"/>
          <w:color w:val="000000" w:themeColor="text1"/>
          <w:sz w:val="24"/>
          <w:szCs w:val="24"/>
          <w:lang w:val="en-IN"/>
        </w:rPr>
        <w:t xml:space="preserve"> H, Mao E, et al: Endoscopic and histologic features of immune checkpoint inhibitor-related colitis. </w:t>
      </w:r>
      <w:proofErr w:type="spellStart"/>
      <w:r w:rsidRPr="2CA8CE82">
        <w:rPr>
          <w:rFonts w:ascii="Times New Roman" w:eastAsia="Times New Roman" w:hAnsi="Times New Roman" w:cs="Times New Roman"/>
          <w:color w:val="000000" w:themeColor="text1"/>
          <w:sz w:val="24"/>
          <w:szCs w:val="24"/>
          <w:lang w:val="en-IN"/>
        </w:rPr>
        <w:t>Inflamm</w:t>
      </w:r>
      <w:proofErr w:type="spellEnd"/>
      <w:r w:rsidRPr="2CA8CE82">
        <w:rPr>
          <w:rFonts w:ascii="Times New Roman" w:eastAsia="Times New Roman" w:hAnsi="Times New Roman" w:cs="Times New Roman"/>
          <w:color w:val="000000" w:themeColor="text1"/>
          <w:sz w:val="24"/>
          <w:szCs w:val="24"/>
          <w:lang w:val="en-IN"/>
        </w:rPr>
        <w:t xml:space="preserve"> Bowel Dis 24:1695-1705, 2018</w:t>
      </w:r>
    </w:p>
    <w:p w14:paraId="3987044A" w14:textId="1CE03339"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Zou F, Wang X, </w:t>
      </w:r>
      <w:proofErr w:type="spellStart"/>
      <w:r w:rsidRPr="2CA8CE82">
        <w:rPr>
          <w:rFonts w:ascii="Times New Roman" w:eastAsia="Times New Roman" w:hAnsi="Times New Roman" w:cs="Times New Roman"/>
          <w:color w:val="000000" w:themeColor="text1"/>
          <w:sz w:val="24"/>
          <w:szCs w:val="24"/>
          <w:lang w:val="en-IN"/>
        </w:rPr>
        <w:t>Glitza</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Oliva</w:t>
      </w:r>
      <w:proofErr w:type="spellEnd"/>
      <w:r w:rsidRPr="2CA8CE82">
        <w:rPr>
          <w:rFonts w:ascii="Times New Roman" w:eastAsia="Times New Roman" w:hAnsi="Times New Roman" w:cs="Times New Roman"/>
          <w:color w:val="000000" w:themeColor="text1"/>
          <w:sz w:val="24"/>
          <w:szCs w:val="24"/>
          <w:lang w:val="en-IN"/>
        </w:rPr>
        <w:t xml:space="preserve"> IC, et al: </w:t>
      </w:r>
      <w:proofErr w:type="spellStart"/>
      <w:r w:rsidRPr="2CA8CE82">
        <w:rPr>
          <w:rFonts w:ascii="Times New Roman" w:eastAsia="Times New Roman" w:hAnsi="Times New Roman" w:cs="Times New Roman"/>
          <w:color w:val="000000" w:themeColor="text1"/>
          <w:sz w:val="24"/>
          <w:szCs w:val="24"/>
          <w:lang w:val="en-IN"/>
        </w:rPr>
        <w:t>Fecal</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calprotectin</w:t>
      </w:r>
      <w:proofErr w:type="spellEnd"/>
      <w:r w:rsidRPr="2CA8CE82">
        <w:rPr>
          <w:rFonts w:ascii="Times New Roman" w:eastAsia="Times New Roman" w:hAnsi="Times New Roman" w:cs="Times New Roman"/>
          <w:color w:val="000000" w:themeColor="text1"/>
          <w:sz w:val="24"/>
          <w:szCs w:val="24"/>
          <w:lang w:val="en-IN"/>
        </w:rPr>
        <w:t xml:space="preserve"> concentration to assess endoscopic and histologic remission in patients with cancer with immune-mediated </w:t>
      </w:r>
      <w:proofErr w:type="spellStart"/>
      <w:r w:rsidRPr="2CA8CE82">
        <w:rPr>
          <w:rFonts w:ascii="Times New Roman" w:eastAsia="Times New Roman" w:hAnsi="Times New Roman" w:cs="Times New Roman"/>
          <w:color w:val="000000" w:themeColor="text1"/>
          <w:sz w:val="24"/>
          <w:szCs w:val="24"/>
          <w:lang w:val="en-IN"/>
        </w:rPr>
        <w:t>diarrhea</w:t>
      </w:r>
      <w:proofErr w:type="spellEnd"/>
      <w:r w:rsidRPr="2CA8CE82">
        <w:rPr>
          <w:rFonts w:ascii="Times New Roman" w:eastAsia="Times New Roman" w:hAnsi="Times New Roman" w:cs="Times New Roman"/>
          <w:color w:val="000000" w:themeColor="text1"/>
          <w:sz w:val="24"/>
          <w:szCs w:val="24"/>
          <w:lang w:val="en-IN"/>
        </w:rPr>
        <w:t xml:space="preserve"> and colitis.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9:e002058, 2021</w:t>
      </w:r>
    </w:p>
    <w:p w14:paraId="3B3DD300" w14:textId="2FF08E27"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Wang Y, </w:t>
      </w:r>
      <w:proofErr w:type="spellStart"/>
      <w:r w:rsidRPr="2CA8CE82">
        <w:rPr>
          <w:rFonts w:ascii="Times New Roman" w:eastAsia="Times New Roman" w:hAnsi="Times New Roman" w:cs="Times New Roman"/>
          <w:color w:val="000000" w:themeColor="text1"/>
          <w:sz w:val="24"/>
          <w:szCs w:val="24"/>
          <w:lang w:val="en-IN"/>
        </w:rPr>
        <w:t>Wiesnoski</w:t>
      </w:r>
      <w:proofErr w:type="spellEnd"/>
      <w:r w:rsidRPr="2CA8CE82">
        <w:rPr>
          <w:rFonts w:ascii="Times New Roman" w:eastAsia="Times New Roman" w:hAnsi="Times New Roman" w:cs="Times New Roman"/>
          <w:color w:val="000000" w:themeColor="text1"/>
          <w:sz w:val="24"/>
          <w:szCs w:val="24"/>
          <w:lang w:val="en-IN"/>
        </w:rPr>
        <w:t xml:space="preserve"> DH, </w:t>
      </w:r>
      <w:proofErr w:type="spellStart"/>
      <w:r w:rsidRPr="2CA8CE82">
        <w:rPr>
          <w:rFonts w:ascii="Times New Roman" w:eastAsia="Times New Roman" w:hAnsi="Times New Roman" w:cs="Times New Roman"/>
          <w:color w:val="000000" w:themeColor="text1"/>
          <w:sz w:val="24"/>
          <w:szCs w:val="24"/>
          <w:lang w:val="en-IN"/>
        </w:rPr>
        <w:t>Helmink</w:t>
      </w:r>
      <w:proofErr w:type="spellEnd"/>
      <w:r w:rsidRPr="2CA8CE82">
        <w:rPr>
          <w:rFonts w:ascii="Times New Roman" w:eastAsia="Times New Roman" w:hAnsi="Times New Roman" w:cs="Times New Roman"/>
          <w:color w:val="000000" w:themeColor="text1"/>
          <w:sz w:val="24"/>
          <w:szCs w:val="24"/>
          <w:lang w:val="en-IN"/>
        </w:rPr>
        <w:t xml:space="preserve"> BA, et al: </w:t>
      </w:r>
      <w:proofErr w:type="spellStart"/>
      <w:r w:rsidRPr="2CA8CE82">
        <w:rPr>
          <w:rFonts w:ascii="Times New Roman" w:eastAsia="Times New Roman" w:hAnsi="Times New Roman" w:cs="Times New Roman"/>
          <w:color w:val="000000" w:themeColor="text1"/>
          <w:sz w:val="24"/>
          <w:szCs w:val="24"/>
          <w:lang w:val="en-IN"/>
        </w:rPr>
        <w:t>Fecal</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microbiota</w:t>
      </w:r>
      <w:proofErr w:type="spellEnd"/>
      <w:r w:rsidRPr="2CA8CE82">
        <w:rPr>
          <w:rFonts w:ascii="Times New Roman" w:eastAsia="Times New Roman" w:hAnsi="Times New Roman" w:cs="Times New Roman"/>
          <w:color w:val="000000" w:themeColor="text1"/>
          <w:sz w:val="24"/>
          <w:szCs w:val="24"/>
          <w:lang w:val="en-IN"/>
        </w:rPr>
        <w:t xml:space="preserve"> transplantation for refractory immune checkpoint inhibitor-associated colitis. Nat Med 24:1804-1808, 2018</w:t>
      </w:r>
    </w:p>
    <w:p w14:paraId="680F531D" w14:textId="59B91347"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Abu-</w:t>
      </w:r>
      <w:proofErr w:type="spellStart"/>
      <w:r w:rsidRPr="2CA8CE82">
        <w:rPr>
          <w:rFonts w:ascii="Times New Roman" w:eastAsia="Times New Roman" w:hAnsi="Times New Roman" w:cs="Times New Roman"/>
          <w:color w:val="000000" w:themeColor="text1"/>
          <w:sz w:val="24"/>
          <w:szCs w:val="24"/>
          <w:lang w:val="en-IN"/>
        </w:rPr>
        <w:t>Sbeih</w:t>
      </w:r>
      <w:proofErr w:type="spellEnd"/>
      <w:r w:rsidRPr="2CA8CE82">
        <w:rPr>
          <w:rFonts w:ascii="Times New Roman" w:eastAsia="Times New Roman" w:hAnsi="Times New Roman" w:cs="Times New Roman"/>
          <w:color w:val="000000" w:themeColor="text1"/>
          <w:sz w:val="24"/>
          <w:szCs w:val="24"/>
          <w:lang w:val="en-IN"/>
        </w:rPr>
        <w:t xml:space="preserve"> H, Ali FS, Wang Y: Clinical review on the utility of </w:t>
      </w:r>
      <w:proofErr w:type="spellStart"/>
      <w:r w:rsidRPr="2CA8CE82">
        <w:rPr>
          <w:rFonts w:ascii="Times New Roman" w:eastAsia="Times New Roman" w:hAnsi="Times New Roman" w:cs="Times New Roman"/>
          <w:color w:val="000000" w:themeColor="text1"/>
          <w:sz w:val="24"/>
          <w:szCs w:val="24"/>
          <w:lang w:val="en-IN"/>
        </w:rPr>
        <w:t>fecal</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microbiota</w:t>
      </w:r>
      <w:proofErr w:type="spellEnd"/>
      <w:r w:rsidRPr="2CA8CE82">
        <w:rPr>
          <w:rFonts w:ascii="Times New Roman" w:eastAsia="Times New Roman" w:hAnsi="Times New Roman" w:cs="Times New Roman"/>
          <w:color w:val="000000" w:themeColor="text1"/>
          <w:sz w:val="24"/>
          <w:szCs w:val="24"/>
          <w:lang w:val="en-IN"/>
        </w:rPr>
        <w:t xml:space="preserve"> transplantation in immunocompromised patients. Curr Gastroenterol Rep 21:8, 2019</w:t>
      </w:r>
    </w:p>
    <w:p w14:paraId="568E5A0F" w14:textId="563A6123"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Esfahani K, Hudson M, Batist G: Tofacitinib for refractory immune-related colitis from PD-1 therapy. N Engl J Med 382:2374-2375, 2020</w:t>
      </w:r>
    </w:p>
    <w:p w14:paraId="6F6C8AE6" w14:textId="799315EA"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Thomas AS, Ma W, Wang Y: Ustekinumab for refractory colitis associated with immune checkpoint inhibitors. N Engl J Med 384:581-583, 2021</w:t>
      </w:r>
    </w:p>
    <w:p w14:paraId="268A3E8D" w14:textId="5D8911F6"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Abu-</w:t>
      </w:r>
      <w:proofErr w:type="spellStart"/>
      <w:r w:rsidRPr="2CA8CE82">
        <w:rPr>
          <w:rFonts w:ascii="Times New Roman" w:eastAsia="Times New Roman" w:hAnsi="Times New Roman" w:cs="Times New Roman"/>
          <w:color w:val="000000" w:themeColor="text1"/>
          <w:sz w:val="24"/>
          <w:szCs w:val="24"/>
          <w:lang w:val="en-IN"/>
        </w:rPr>
        <w:t>Sbeih</w:t>
      </w:r>
      <w:proofErr w:type="spellEnd"/>
      <w:r w:rsidRPr="2CA8CE82">
        <w:rPr>
          <w:rFonts w:ascii="Times New Roman" w:eastAsia="Times New Roman" w:hAnsi="Times New Roman" w:cs="Times New Roman"/>
          <w:color w:val="000000" w:themeColor="text1"/>
          <w:sz w:val="24"/>
          <w:szCs w:val="24"/>
          <w:lang w:val="en-IN"/>
        </w:rPr>
        <w:t xml:space="preserve"> H, Tang T, Ali FS, et al: The impact of immune checkpoint inhibitor-related adverse events and their immunosuppressive treatment on patients’ outcomes.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Precis</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Oncol</w:t>
      </w:r>
      <w:proofErr w:type="spellEnd"/>
      <w:r w:rsidRPr="2CA8CE82">
        <w:rPr>
          <w:rFonts w:ascii="Times New Roman" w:eastAsia="Times New Roman" w:hAnsi="Times New Roman" w:cs="Times New Roman"/>
          <w:color w:val="000000" w:themeColor="text1"/>
          <w:sz w:val="24"/>
          <w:szCs w:val="24"/>
          <w:lang w:val="en-IN"/>
        </w:rPr>
        <w:t xml:space="preserve"> 1:7-18, 2020</w:t>
      </w:r>
    </w:p>
    <w:p w14:paraId="5231CE26" w14:textId="33ED126B" w:rsidR="0DAECABE" w:rsidRDefault="0DAECABE" w:rsidP="00D16C1C">
      <w:pPr>
        <w:pStyle w:val="SR"/>
        <w:numPr>
          <w:ilvl w:val="0"/>
          <w:numId w:val="1"/>
        </w:numPr>
        <w:spacing w:line="480" w:lineRule="auto"/>
        <w:rPr>
          <w:rFonts w:ascii="Times New Roman" w:eastAsia="Times New Roman" w:hAnsi="Times New Roman" w:cs="Times New Roman"/>
          <w:color w:val="212121"/>
          <w:sz w:val="24"/>
          <w:szCs w:val="24"/>
        </w:rPr>
      </w:pPr>
      <w:r w:rsidRPr="00D16C1C">
        <w:rPr>
          <w:rFonts w:ascii="Times New Roman" w:eastAsia="Times New Roman" w:hAnsi="Times New Roman" w:cs="Times New Roman"/>
          <w:color w:val="212121"/>
          <w:sz w:val="24"/>
          <w:szCs w:val="24"/>
          <w:lang w:val="nl-NL"/>
        </w:rPr>
        <w:lastRenderedPageBreak/>
        <w:t xml:space="preserve">Lenti MV, Ribaldone DG, Borrelli de Andreis F, et al. </w:t>
      </w:r>
      <w:r w:rsidRPr="2CA8CE82">
        <w:rPr>
          <w:rFonts w:ascii="Times New Roman" w:eastAsia="Times New Roman" w:hAnsi="Times New Roman" w:cs="Times New Roman"/>
          <w:color w:val="212121"/>
          <w:sz w:val="24"/>
          <w:szCs w:val="24"/>
          <w:lang w:val="en-IN"/>
        </w:rPr>
        <w:t>A 1-year follow-up study on checkpoint inhibitor-induced colitis: results from a European consortium. </w:t>
      </w:r>
      <w:r w:rsidRPr="2CA8CE82">
        <w:rPr>
          <w:rFonts w:ascii="Times New Roman" w:eastAsia="Times New Roman" w:hAnsi="Times New Roman" w:cs="Times New Roman"/>
          <w:i/>
          <w:iCs/>
          <w:color w:val="212121"/>
          <w:sz w:val="24"/>
          <w:szCs w:val="24"/>
          <w:lang w:val="en-IN"/>
        </w:rPr>
        <w:t>ESMO Open</w:t>
      </w:r>
      <w:r w:rsidRPr="2CA8CE82">
        <w:rPr>
          <w:rFonts w:ascii="Times New Roman" w:eastAsia="Times New Roman" w:hAnsi="Times New Roman" w:cs="Times New Roman"/>
          <w:color w:val="212121"/>
          <w:sz w:val="24"/>
          <w:szCs w:val="24"/>
          <w:lang w:val="en-IN"/>
        </w:rPr>
        <w:t>. Published online July 5, 2024. doi:10.1016/j.esmoop.2024.103632</w:t>
      </w:r>
    </w:p>
    <w:p w14:paraId="0F1FD20F" w14:textId="1BBF8C41"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Thomas MF, </w:t>
      </w:r>
      <w:proofErr w:type="spellStart"/>
      <w:r w:rsidRPr="2CA8CE82">
        <w:rPr>
          <w:rFonts w:ascii="Times New Roman" w:eastAsia="Times New Roman" w:hAnsi="Times New Roman" w:cs="Times New Roman"/>
          <w:color w:val="000000" w:themeColor="text1"/>
          <w:sz w:val="24"/>
          <w:szCs w:val="24"/>
          <w:lang w:val="en-IN"/>
        </w:rPr>
        <w:t>Slowikowski</w:t>
      </w:r>
      <w:proofErr w:type="spellEnd"/>
      <w:r w:rsidRPr="2CA8CE82">
        <w:rPr>
          <w:rFonts w:ascii="Times New Roman" w:eastAsia="Times New Roman" w:hAnsi="Times New Roman" w:cs="Times New Roman"/>
          <w:color w:val="000000" w:themeColor="text1"/>
          <w:sz w:val="24"/>
          <w:szCs w:val="24"/>
          <w:lang w:val="en-IN"/>
        </w:rPr>
        <w:t xml:space="preserve"> K, </w:t>
      </w:r>
      <w:proofErr w:type="spellStart"/>
      <w:r w:rsidRPr="2CA8CE82">
        <w:rPr>
          <w:rFonts w:ascii="Times New Roman" w:eastAsia="Times New Roman" w:hAnsi="Times New Roman" w:cs="Times New Roman"/>
          <w:color w:val="000000" w:themeColor="text1"/>
          <w:sz w:val="24"/>
          <w:szCs w:val="24"/>
          <w:lang w:val="en-IN"/>
        </w:rPr>
        <w:t>Manakongtreecheep</w:t>
      </w:r>
      <w:proofErr w:type="spellEnd"/>
      <w:r w:rsidRPr="2CA8CE82">
        <w:rPr>
          <w:rFonts w:ascii="Times New Roman" w:eastAsia="Times New Roman" w:hAnsi="Times New Roman" w:cs="Times New Roman"/>
          <w:color w:val="000000" w:themeColor="text1"/>
          <w:sz w:val="24"/>
          <w:szCs w:val="24"/>
          <w:lang w:val="en-IN"/>
        </w:rPr>
        <w:t xml:space="preserve"> K, et al. Single-cell transcriptomic analyses reveal distinct immune cell contributions to epithelial barrier dysfunction in checkpoint inhibitor colitis. Nat Med. 2024;30(5):1349-1362. doi:10.1038/s41591-024-02895-</w:t>
      </w:r>
    </w:p>
    <w:p w14:paraId="71C6B033" w14:textId="76AD6FD8"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Luoma AM, Suo S, Williams HL, et al. Molecular Pathways of Colon Inflammation Induced by Cancer Immunotherapy. Cell. 2020;182(3):655-671.e22. doi:10.1016/j.cell.2020.06.001</w:t>
      </w:r>
    </w:p>
    <w:p w14:paraId="516B5F85" w14:textId="78EA11AA"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Lyon AR, López-Fernández T, Couch LS, et al. 2022 ESC Guidelines on cardio-oncology developed in collaboration with the European </w:t>
      </w:r>
      <w:proofErr w:type="spellStart"/>
      <w:r w:rsidRPr="2CA8CE82">
        <w:rPr>
          <w:rFonts w:ascii="Times New Roman" w:eastAsia="Times New Roman" w:hAnsi="Times New Roman" w:cs="Times New Roman"/>
          <w:color w:val="000000" w:themeColor="text1"/>
          <w:sz w:val="24"/>
          <w:szCs w:val="24"/>
          <w:lang w:val="en-IN"/>
        </w:rPr>
        <w:t>Hematology</w:t>
      </w:r>
      <w:proofErr w:type="spellEnd"/>
      <w:r w:rsidRPr="2CA8CE82">
        <w:rPr>
          <w:rFonts w:ascii="Times New Roman" w:eastAsia="Times New Roman" w:hAnsi="Times New Roman" w:cs="Times New Roman"/>
          <w:color w:val="000000" w:themeColor="text1"/>
          <w:sz w:val="24"/>
          <w:szCs w:val="24"/>
          <w:lang w:val="en-IN"/>
        </w:rPr>
        <w:t xml:space="preserve"> Association (EHA), the European Society for Therapeutic Radiology and Oncology (ESTRO) and the International Cardio-Oncology Society (IC-OS). </w:t>
      </w:r>
      <w:proofErr w:type="spellStart"/>
      <w:r w:rsidRPr="2CA8CE82">
        <w:rPr>
          <w:rFonts w:ascii="Times New Roman" w:eastAsia="Times New Roman" w:hAnsi="Times New Roman" w:cs="Times New Roman"/>
          <w:color w:val="000000" w:themeColor="text1"/>
          <w:sz w:val="24"/>
          <w:szCs w:val="24"/>
          <w:lang w:val="en-IN"/>
        </w:rPr>
        <w:t>Eur</w:t>
      </w:r>
      <w:proofErr w:type="spellEnd"/>
      <w:r w:rsidRPr="2CA8CE82">
        <w:rPr>
          <w:rFonts w:ascii="Times New Roman" w:eastAsia="Times New Roman" w:hAnsi="Times New Roman" w:cs="Times New Roman"/>
          <w:color w:val="000000" w:themeColor="text1"/>
          <w:sz w:val="24"/>
          <w:szCs w:val="24"/>
          <w:lang w:val="en-IN"/>
        </w:rPr>
        <w:t xml:space="preserve"> Heart J. 2022 Nov 1;43(41):4229-4361.</w:t>
      </w:r>
    </w:p>
    <w:p w14:paraId="0B527AB9" w14:textId="5F0307D8"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Mahmood SS, Fradley MG, Cohen JV, et al. Myocarditis in Patients Treated With Immune Checkpoint Inhibitors. J Am </w:t>
      </w:r>
      <w:proofErr w:type="spellStart"/>
      <w:r w:rsidRPr="2CA8CE82">
        <w:rPr>
          <w:rFonts w:ascii="Times New Roman" w:eastAsia="Times New Roman" w:hAnsi="Times New Roman" w:cs="Times New Roman"/>
          <w:color w:val="000000" w:themeColor="text1"/>
          <w:sz w:val="24"/>
          <w:szCs w:val="24"/>
          <w:lang w:val="en-IN"/>
        </w:rPr>
        <w:t>Coll</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Cardiol</w:t>
      </w:r>
      <w:proofErr w:type="spellEnd"/>
      <w:r w:rsidRPr="2CA8CE82">
        <w:rPr>
          <w:rFonts w:ascii="Times New Roman" w:eastAsia="Times New Roman" w:hAnsi="Times New Roman" w:cs="Times New Roman"/>
          <w:color w:val="000000" w:themeColor="text1"/>
          <w:sz w:val="24"/>
          <w:szCs w:val="24"/>
          <w:lang w:val="en-IN"/>
        </w:rPr>
        <w:t>. 2018 Apr 24;71(16):1755-1764.</w:t>
      </w:r>
    </w:p>
    <w:p w14:paraId="4B28BF44" w14:textId="7F4EF87A"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Tawbi HA, Schadendorf D, Lipson EJ, et al. </w:t>
      </w:r>
      <w:proofErr w:type="spellStart"/>
      <w:r w:rsidRPr="2CA8CE82">
        <w:rPr>
          <w:rFonts w:ascii="Times New Roman" w:eastAsia="Times New Roman" w:hAnsi="Times New Roman" w:cs="Times New Roman"/>
          <w:color w:val="000000" w:themeColor="text1"/>
          <w:sz w:val="24"/>
          <w:szCs w:val="24"/>
          <w:lang w:val="en-IN"/>
        </w:rPr>
        <w:t>Relatlimab</w:t>
      </w:r>
      <w:proofErr w:type="spellEnd"/>
      <w:r w:rsidRPr="2CA8CE82">
        <w:rPr>
          <w:rFonts w:ascii="Times New Roman" w:eastAsia="Times New Roman" w:hAnsi="Times New Roman" w:cs="Times New Roman"/>
          <w:color w:val="000000" w:themeColor="text1"/>
          <w:sz w:val="24"/>
          <w:szCs w:val="24"/>
          <w:lang w:val="en-IN"/>
        </w:rPr>
        <w:t xml:space="preserve"> and </w:t>
      </w:r>
      <w:proofErr w:type="spellStart"/>
      <w:r w:rsidRPr="2CA8CE82">
        <w:rPr>
          <w:rFonts w:ascii="Times New Roman" w:eastAsia="Times New Roman" w:hAnsi="Times New Roman" w:cs="Times New Roman"/>
          <w:color w:val="000000" w:themeColor="text1"/>
          <w:sz w:val="24"/>
          <w:szCs w:val="24"/>
          <w:lang w:val="en-IN"/>
        </w:rPr>
        <w:t>Nivolumab</w:t>
      </w:r>
      <w:proofErr w:type="spellEnd"/>
      <w:r w:rsidRPr="2CA8CE82">
        <w:rPr>
          <w:rFonts w:ascii="Times New Roman" w:eastAsia="Times New Roman" w:hAnsi="Times New Roman" w:cs="Times New Roman"/>
          <w:color w:val="000000" w:themeColor="text1"/>
          <w:sz w:val="24"/>
          <w:szCs w:val="24"/>
          <w:lang w:val="en-IN"/>
        </w:rPr>
        <w:t xml:space="preserve"> versus Nivolumab in Untreated Advanced Melanoma. N Engl J Med. 2022 Jan 6;386(1):24-34.</w:t>
      </w:r>
    </w:p>
    <w:p w14:paraId="0D824C43" w14:textId="3DF43699"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Moslehi JJ, Salem JE, Sosman JA, et al. </w:t>
      </w:r>
      <w:r w:rsidRPr="2CA8CE82">
        <w:rPr>
          <w:rFonts w:ascii="Times New Roman" w:eastAsia="Times New Roman" w:hAnsi="Times New Roman" w:cs="Times New Roman"/>
          <w:color w:val="000000" w:themeColor="text1"/>
          <w:sz w:val="24"/>
          <w:szCs w:val="24"/>
          <w:lang w:val="en-IN"/>
        </w:rPr>
        <w:t>Increased reporting of fatal immune checkpoint inhibitor-associated myocarditis. Lancet. 2018 Mar 10;391(10124):933.</w:t>
      </w:r>
    </w:p>
    <w:p w14:paraId="45951BC1" w14:textId="59648F9E"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Blum SM, Zlotoff DA, Smith NP, et al. Immune Responses in Checkpoint Myocarditis Across Heart, Blood, and </w:t>
      </w:r>
      <w:proofErr w:type="spellStart"/>
      <w:r w:rsidRPr="2CA8CE82">
        <w:rPr>
          <w:rFonts w:ascii="Times New Roman" w:eastAsia="Times New Roman" w:hAnsi="Times New Roman" w:cs="Times New Roman"/>
          <w:color w:val="000000" w:themeColor="text1"/>
          <w:sz w:val="24"/>
          <w:szCs w:val="24"/>
          <w:lang w:val="en-IN"/>
        </w:rPr>
        <w:t>Tumor</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bioRxiv</w:t>
      </w:r>
      <w:proofErr w:type="spellEnd"/>
      <w:r w:rsidRPr="2CA8CE82">
        <w:rPr>
          <w:rFonts w:ascii="Times New Roman" w:eastAsia="Times New Roman" w:hAnsi="Times New Roman" w:cs="Times New Roman"/>
          <w:color w:val="000000" w:themeColor="text1"/>
          <w:sz w:val="24"/>
          <w:szCs w:val="24"/>
          <w:lang w:val="en-IN"/>
        </w:rPr>
        <w:t xml:space="preserve"> [Preprint]. 2023 Nov 29:2023.09.15.557794.</w:t>
      </w:r>
    </w:p>
    <w:p w14:paraId="5DA42C91" w14:textId="678CA69E"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lastRenderedPageBreak/>
        <w:t xml:space="preserve">Wei SC, Meijers WC, Axelrod ML, et al. </w:t>
      </w:r>
      <w:r w:rsidRPr="2CA8CE82">
        <w:rPr>
          <w:rFonts w:ascii="Times New Roman" w:eastAsia="Times New Roman" w:hAnsi="Times New Roman" w:cs="Times New Roman"/>
          <w:color w:val="000000" w:themeColor="text1"/>
          <w:sz w:val="24"/>
          <w:szCs w:val="24"/>
          <w:lang w:val="en-IN"/>
        </w:rPr>
        <w:t xml:space="preserve">A Genetic Mouse Model Recapitulates Immune Checkpoint Inhibitor-Associated Myocarditis and Supports a Mechanism-Based Therapeutic Intervention. Cancer </w:t>
      </w:r>
      <w:proofErr w:type="spellStart"/>
      <w:r w:rsidRPr="2CA8CE82">
        <w:rPr>
          <w:rFonts w:ascii="Times New Roman" w:eastAsia="Times New Roman" w:hAnsi="Times New Roman" w:cs="Times New Roman"/>
          <w:color w:val="000000" w:themeColor="text1"/>
          <w:sz w:val="24"/>
          <w:szCs w:val="24"/>
          <w:lang w:val="en-IN"/>
        </w:rPr>
        <w:t>Discov</w:t>
      </w:r>
      <w:proofErr w:type="spellEnd"/>
      <w:r w:rsidRPr="2CA8CE82">
        <w:rPr>
          <w:rFonts w:ascii="Times New Roman" w:eastAsia="Times New Roman" w:hAnsi="Times New Roman" w:cs="Times New Roman"/>
          <w:color w:val="000000" w:themeColor="text1"/>
          <w:sz w:val="24"/>
          <w:szCs w:val="24"/>
          <w:lang w:val="en-IN"/>
        </w:rPr>
        <w:t>. 2021 Mar;11(3):614-625.</w:t>
      </w:r>
    </w:p>
    <w:p w14:paraId="1E27517B" w14:textId="7B63266D"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Reynolds KL, Zlotoff DA, Mooradian M, et al. </w:t>
      </w:r>
      <w:r w:rsidRPr="2CA8CE82">
        <w:rPr>
          <w:rFonts w:ascii="Times New Roman" w:eastAsia="Times New Roman" w:hAnsi="Times New Roman" w:cs="Times New Roman"/>
          <w:color w:val="000000" w:themeColor="text1"/>
          <w:sz w:val="24"/>
          <w:szCs w:val="24"/>
          <w:lang w:val="en-IN"/>
        </w:rPr>
        <w:t>Abatacept for immune checkpoint inhibitor associated myocarditis (ATRIUM): Phase 3, investigator-initiated, randomized, placebo-controlled study to evaluate the efficacy and safety of abatacept compared to placebo in hospitalized patients with immune checkpoint inhibitor associated myocarditis. JCO 41, TPS2680-TPS2680(2023).</w:t>
      </w:r>
    </w:p>
    <w:p w14:paraId="30A59063" w14:textId="1713CAA8"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Salem JE, Bretagne M, Abbar B, et al. </w:t>
      </w:r>
      <w:proofErr w:type="spellStart"/>
      <w:r w:rsidRPr="2CA8CE82">
        <w:rPr>
          <w:rFonts w:ascii="Times New Roman" w:eastAsia="Times New Roman" w:hAnsi="Times New Roman" w:cs="Times New Roman"/>
          <w:color w:val="000000" w:themeColor="text1"/>
          <w:sz w:val="24"/>
          <w:szCs w:val="24"/>
          <w:lang w:val="en-IN"/>
        </w:rPr>
        <w:t>Abatacept</w:t>
      </w:r>
      <w:proofErr w:type="spellEnd"/>
      <w:r w:rsidRPr="2CA8CE82">
        <w:rPr>
          <w:rFonts w:ascii="Times New Roman" w:eastAsia="Times New Roman" w:hAnsi="Times New Roman" w:cs="Times New Roman"/>
          <w:color w:val="000000" w:themeColor="text1"/>
          <w:sz w:val="24"/>
          <w:szCs w:val="24"/>
          <w:lang w:val="en-IN"/>
        </w:rPr>
        <w:t>/</w:t>
      </w:r>
      <w:proofErr w:type="spellStart"/>
      <w:r w:rsidRPr="2CA8CE82">
        <w:rPr>
          <w:rFonts w:ascii="Times New Roman" w:eastAsia="Times New Roman" w:hAnsi="Times New Roman" w:cs="Times New Roman"/>
          <w:color w:val="000000" w:themeColor="text1"/>
          <w:sz w:val="24"/>
          <w:szCs w:val="24"/>
          <w:lang w:val="en-IN"/>
        </w:rPr>
        <w:t>Ruxolitinib</w:t>
      </w:r>
      <w:proofErr w:type="spellEnd"/>
      <w:r w:rsidRPr="2CA8CE82">
        <w:rPr>
          <w:rFonts w:ascii="Times New Roman" w:eastAsia="Times New Roman" w:hAnsi="Times New Roman" w:cs="Times New Roman"/>
          <w:color w:val="000000" w:themeColor="text1"/>
          <w:sz w:val="24"/>
          <w:szCs w:val="24"/>
          <w:lang w:val="en-IN"/>
        </w:rPr>
        <w:t xml:space="preserve"> and Screening for Concomitant Respiratory Muscle Failure to Mitigate Fatality of Immune-Checkpoint Inhibitor Myocarditis. Cancer </w:t>
      </w:r>
      <w:proofErr w:type="spellStart"/>
      <w:r w:rsidRPr="2CA8CE82">
        <w:rPr>
          <w:rFonts w:ascii="Times New Roman" w:eastAsia="Times New Roman" w:hAnsi="Times New Roman" w:cs="Times New Roman"/>
          <w:color w:val="000000" w:themeColor="text1"/>
          <w:sz w:val="24"/>
          <w:szCs w:val="24"/>
          <w:lang w:val="en-IN"/>
        </w:rPr>
        <w:t>Discov</w:t>
      </w:r>
      <w:proofErr w:type="spellEnd"/>
      <w:r w:rsidRPr="2CA8CE82">
        <w:rPr>
          <w:rFonts w:ascii="Times New Roman" w:eastAsia="Times New Roman" w:hAnsi="Times New Roman" w:cs="Times New Roman"/>
          <w:color w:val="000000" w:themeColor="text1"/>
          <w:sz w:val="24"/>
          <w:szCs w:val="24"/>
          <w:lang w:val="en-IN"/>
        </w:rPr>
        <w:t>. 2023 May 4;13(5):1100-1115.</w:t>
      </w:r>
    </w:p>
    <w:p w14:paraId="1AC0942C" w14:textId="748BEB05"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Nguyen LS, Bretagne M, Arrondeau J, et al. </w:t>
      </w:r>
      <w:r w:rsidRPr="2CA8CE82">
        <w:rPr>
          <w:rFonts w:ascii="Times New Roman" w:eastAsia="Times New Roman" w:hAnsi="Times New Roman" w:cs="Times New Roman"/>
          <w:color w:val="000000" w:themeColor="text1"/>
          <w:sz w:val="24"/>
          <w:szCs w:val="24"/>
          <w:lang w:val="en-IN"/>
        </w:rPr>
        <w:t xml:space="preserve">Reversal of immune-checkpoint inhibitor fulminant myocarditis using personalized-dose-adjusted </w:t>
      </w:r>
      <w:proofErr w:type="spellStart"/>
      <w:r w:rsidRPr="2CA8CE82">
        <w:rPr>
          <w:rFonts w:ascii="Times New Roman" w:eastAsia="Times New Roman" w:hAnsi="Times New Roman" w:cs="Times New Roman"/>
          <w:color w:val="000000" w:themeColor="text1"/>
          <w:sz w:val="24"/>
          <w:szCs w:val="24"/>
          <w:lang w:val="en-IN"/>
        </w:rPr>
        <w:t>abatacept</w:t>
      </w:r>
      <w:proofErr w:type="spellEnd"/>
      <w:r w:rsidRPr="2CA8CE82">
        <w:rPr>
          <w:rFonts w:ascii="Times New Roman" w:eastAsia="Times New Roman" w:hAnsi="Times New Roman" w:cs="Times New Roman"/>
          <w:color w:val="000000" w:themeColor="text1"/>
          <w:sz w:val="24"/>
          <w:szCs w:val="24"/>
          <w:lang w:val="en-IN"/>
        </w:rPr>
        <w:t xml:space="preserve"> and </w:t>
      </w:r>
      <w:proofErr w:type="spellStart"/>
      <w:r w:rsidRPr="2CA8CE82">
        <w:rPr>
          <w:rFonts w:ascii="Times New Roman" w:eastAsia="Times New Roman" w:hAnsi="Times New Roman" w:cs="Times New Roman"/>
          <w:color w:val="000000" w:themeColor="text1"/>
          <w:sz w:val="24"/>
          <w:szCs w:val="24"/>
          <w:lang w:val="en-IN"/>
        </w:rPr>
        <w:t>ruxolitinib</w:t>
      </w:r>
      <w:proofErr w:type="spellEnd"/>
      <w:r w:rsidRPr="2CA8CE82">
        <w:rPr>
          <w:rFonts w:ascii="Times New Roman" w:eastAsia="Times New Roman" w:hAnsi="Times New Roman" w:cs="Times New Roman"/>
          <w:color w:val="000000" w:themeColor="text1"/>
          <w:sz w:val="24"/>
          <w:szCs w:val="24"/>
          <w:lang w:val="en-IN"/>
        </w:rPr>
        <w:t xml:space="preserve">: proof of concept.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2022 Apr</w:t>
      </w:r>
      <w:proofErr w:type="gramStart"/>
      <w:r w:rsidRPr="2CA8CE82">
        <w:rPr>
          <w:rFonts w:ascii="Times New Roman" w:eastAsia="Times New Roman" w:hAnsi="Times New Roman" w:cs="Times New Roman"/>
          <w:color w:val="000000" w:themeColor="text1"/>
          <w:sz w:val="24"/>
          <w:szCs w:val="24"/>
          <w:lang w:val="en-IN"/>
        </w:rPr>
        <w:t>;10</w:t>
      </w:r>
      <w:proofErr w:type="gramEnd"/>
      <w:r w:rsidRPr="2CA8CE82">
        <w:rPr>
          <w:rFonts w:ascii="Times New Roman" w:eastAsia="Times New Roman" w:hAnsi="Times New Roman" w:cs="Times New Roman"/>
          <w:color w:val="000000" w:themeColor="text1"/>
          <w:sz w:val="24"/>
          <w:szCs w:val="24"/>
          <w:lang w:val="en-IN"/>
        </w:rPr>
        <w:t>(4):e004699.</w:t>
      </w:r>
    </w:p>
    <w:p w14:paraId="311730E3" w14:textId="5AD22FA3"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Reynolds KL, Guidon AC: Diagnosis and management of immune checkpoint inhibitor-associated neurologic toxicity: Illustrative case and review of the literature. Oncologist 24:435-443, 2019</w:t>
      </w:r>
    </w:p>
    <w:p w14:paraId="50B338EB" w14:textId="7D939C31" w:rsidR="0DAECABE" w:rsidRDefault="0DAECABE" w:rsidP="00D16C1C">
      <w:pPr>
        <w:pStyle w:val="SR"/>
        <w:numPr>
          <w:ilvl w:val="0"/>
          <w:numId w:val="1"/>
        </w:numPr>
        <w:spacing w:line="480" w:lineRule="auto"/>
        <w:jc w:val="both"/>
        <w:rPr>
          <w:rFonts w:ascii="Times New Roman" w:eastAsia="Times New Roman" w:hAnsi="Times New Roman" w:cs="Times New Roman"/>
          <w:color w:val="212121"/>
          <w:sz w:val="24"/>
          <w:szCs w:val="24"/>
        </w:rPr>
      </w:pPr>
      <w:r w:rsidRPr="2CA8CE82">
        <w:rPr>
          <w:rFonts w:ascii="Times New Roman" w:eastAsia="Times New Roman" w:hAnsi="Times New Roman" w:cs="Times New Roman"/>
          <w:color w:val="212121"/>
          <w:sz w:val="24"/>
          <w:szCs w:val="24"/>
          <w:lang w:val="en-IN"/>
        </w:rPr>
        <w:t xml:space="preserve">Burton LB, </w:t>
      </w:r>
      <w:proofErr w:type="spellStart"/>
      <w:r w:rsidRPr="2CA8CE82">
        <w:rPr>
          <w:rFonts w:ascii="Times New Roman" w:eastAsia="Times New Roman" w:hAnsi="Times New Roman" w:cs="Times New Roman"/>
          <w:color w:val="212121"/>
          <w:sz w:val="24"/>
          <w:szCs w:val="24"/>
          <w:lang w:val="en-IN"/>
        </w:rPr>
        <w:t>Eskian</w:t>
      </w:r>
      <w:proofErr w:type="spellEnd"/>
      <w:r w:rsidRPr="2CA8CE82">
        <w:rPr>
          <w:rFonts w:ascii="Times New Roman" w:eastAsia="Times New Roman" w:hAnsi="Times New Roman" w:cs="Times New Roman"/>
          <w:color w:val="212121"/>
          <w:sz w:val="24"/>
          <w:szCs w:val="24"/>
          <w:lang w:val="en-IN"/>
        </w:rPr>
        <w:t xml:space="preserve"> M, </w:t>
      </w:r>
      <w:proofErr w:type="spellStart"/>
      <w:r w:rsidRPr="2CA8CE82">
        <w:rPr>
          <w:rFonts w:ascii="Times New Roman" w:eastAsia="Times New Roman" w:hAnsi="Times New Roman" w:cs="Times New Roman"/>
          <w:color w:val="212121"/>
          <w:sz w:val="24"/>
          <w:szCs w:val="24"/>
          <w:lang w:val="en-IN"/>
        </w:rPr>
        <w:t>Guidon</w:t>
      </w:r>
      <w:proofErr w:type="spellEnd"/>
      <w:r w:rsidRPr="2CA8CE82">
        <w:rPr>
          <w:rFonts w:ascii="Times New Roman" w:eastAsia="Times New Roman" w:hAnsi="Times New Roman" w:cs="Times New Roman"/>
          <w:color w:val="212121"/>
          <w:sz w:val="24"/>
          <w:szCs w:val="24"/>
          <w:lang w:val="en-IN"/>
        </w:rPr>
        <w:t xml:space="preserve"> AC, Reynolds KL. A review of </w:t>
      </w:r>
      <w:proofErr w:type="spellStart"/>
      <w:r w:rsidRPr="2CA8CE82">
        <w:rPr>
          <w:rFonts w:ascii="Times New Roman" w:eastAsia="Times New Roman" w:hAnsi="Times New Roman" w:cs="Times New Roman"/>
          <w:color w:val="212121"/>
          <w:sz w:val="24"/>
          <w:szCs w:val="24"/>
          <w:lang w:val="en-IN"/>
        </w:rPr>
        <w:t>neurotoxicities</w:t>
      </w:r>
      <w:proofErr w:type="spellEnd"/>
      <w:r w:rsidRPr="2CA8CE82">
        <w:rPr>
          <w:rFonts w:ascii="Times New Roman" w:eastAsia="Times New Roman" w:hAnsi="Times New Roman" w:cs="Times New Roman"/>
          <w:color w:val="212121"/>
          <w:sz w:val="24"/>
          <w:szCs w:val="24"/>
          <w:lang w:val="en-IN"/>
        </w:rPr>
        <w:t xml:space="preserve"> associated with immunotherapy and a framework for evaluation. </w:t>
      </w:r>
      <w:proofErr w:type="spellStart"/>
      <w:r w:rsidRPr="2CA8CE82">
        <w:rPr>
          <w:rFonts w:ascii="Times New Roman" w:eastAsia="Times New Roman" w:hAnsi="Times New Roman" w:cs="Times New Roman"/>
          <w:color w:val="212121"/>
          <w:sz w:val="24"/>
          <w:szCs w:val="24"/>
          <w:lang w:val="en-IN"/>
        </w:rPr>
        <w:t>Neurooncol</w:t>
      </w:r>
      <w:proofErr w:type="spellEnd"/>
      <w:r w:rsidRPr="2CA8CE82">
        <w:rPr>
          <w:rFonts w:ascii="Times New Roman" w:eastAsia="Times New Roman" w:hAnsi="Times New Roman" w:cs="Times New Roman"/>
          <w:color w:val="212121"/>
          <w:sz w:val="24"/>
          <w:szCs w:val="24"/>
          <w:lang w:val="en-IN"/>
        </w:rPr>
        <w:t xml:space="preserve"> Adv. 2021 Nov 27</w:t>
      </w:r>
      <w:proofErr w:type="gramStart"/>
      <w:r w:rsidRPr="2CA8CE82">
        <w:rPr>
          <w:rFonts w:ascii="Times New Roman" w:eastAsia="Times New Roman" w:hAnsi="Times New Roman" w:cs="Times New Roman"/>
          <w:color w:val="212121"/>
          <w:sz w:val="24"/>
          <w:szCs w:val="24"/>
          <w:lang w:val="en-IN"/>
        </w:rPr>
        <w:t>;3</w:t>
      </w:r>
      <w:proofErr w:type="gramEnd"/>
      <w:r w:rsidRPr="2CA8CE82">
        <w:rPr>
          <w:rFonts w:ascii="Times New Roman" w:eastAsia="Times New Roman" w:hAnsi="Times New Roman" w:cs="Times New Roman"/>
          <w:color w:val="212121"/>
          <w:sz w:val="24"/>
          <w:szCs w:val="24"/>
          <w:lang w:val="en-IN"/>
        </w:rPr>
        <w:t>(</w:t>
      </w:r>
      <w:proofErr w:type="spellStart"/>
      <w:r w:rsidRPr="2CA8CE82">
        <w:rPr>
          <w:rFonts w:ascii="Times New Roman" w:eastAsia="Times New Roman" w:hAnsi="Times New Roman" w:cs="Times New Roman"/>
          <w:color w:val="212121"/>
          <w:sz w:val="24"/>
          <w:szCs w:val="24"/>
          <w:lang w:val="en-IN"/>
        </w:rPr>
        <w:t>Suppl</w:t>
      </w:r>
      <w:proofErr w:type="spellEnd"/>
      <w:r w:rsidRPr="2CA8CE82">
        <w:rPr>
          <w:rFonts w:ascii="Times New Roman" w:eastAsia="Times New Roman" w:hAnsi="Times New Roman" w:cs="Times New Roman"/>
          <w:color w:val="212121"/>
          <w:sz w:val="24"/>
          <w:szCs w:val="24"/>
          <w:lang w:val="en-IN"/>
        </w:rPr>
        <w:t xml:space="preserve"> 5):v108-v120. </w:t>
      </w:r>
      <w:proofErr w:type="spellStart"/>
      <w:r w:rsidRPr="2CA8CE82">
        <w:rPr>
          <w:rFonts w:ascii="Times New Roman" w:eastAsia="Times New Roman" w:hAnsi="Times New Roman" w:cs="Times New Roman"/>
          <w:color w:val="212121"/>
          <w:sz w:val="24"/>
          <w:szCs w:val="24"/>
          <w:lang w:val="en-IN"/>
        </w:rPr>
        <w:t>doi</w:t>
      </w:r>
      <w:proofErr w:type="spellEnd"/>
      <w:r w:rsidRPr="2CA8CE82">
        <w:rPr>
          <w:rFonts w:ascii="Times New Roman" w:eastAsia="Times New Roman" w:hAnsi="Times New Roman" w:cs="Times New Roman"/>
          <w:color w:val="212121"/>
          <w:sz w:val="24"/>
          <w:szCs w:val="24"/>
          <w:lang w:val="en-IN"/>
        </w:rPr>
        <w:t>: 10.1093/</w:t>
      </w:r>
      <w:proofErr w:type="spellStart"/>
      <w:r w:rsidRPr="2CA8CE82">
        <w:rPr>
          <w:rFonts w:ascii="Times New Roman" w:eastAsia="Times New Roman" w:hAnsi="Times New Roman" w:cs="Times New Roman"/>
          <w:color w:val="212121"/>
          <w:sz w:val="24"/>
          <w:szCs w:val="24"/>
          <w:lang w:val="en-IN"/>
        </w:rPr>
        <w:t>noajnl</w:t>
      </w:r>
      <w:proofErr w:type="spellEnd"/>
      <w:r w:rsidRPr="2CA8CE82">
        <w:rPr>
          <w:rFonts w:ascii="Times New Roman" w:eastAsia="Times New Roman" w:hAnsi="Times New Roman" w:cs="Times New Roman"/>
          <w:color w:val="212121"/>
          <w:sz w:val="24"/>
          <w:szCs w:val="24"/>
          <w:lang w:val="en-IN"/>
        </w:rPr>
        <w:t>/vdab107. PMID: 34859238; PMCID: PMC8633791.</w:t>
      </w:r>
    </w:p>
    <w:p w14:paraId="32C96219" w14:textId="313BA0BB"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Cuzzubbo S, Javeri F, Tissier M, et al. </w:t>
      </w:r>
      <w:r w:rsidRPr="2CA8CE82">
        <w:rPr>
          <w:rFonts w:ascii="Times New Roman" w:eastAsia="Times New Roman" w:hAnsi="Times New Roman" w:cs="Times New Roman"/>
          <w:color w:val="000000" w:themeColor="text1"/>
          <w:sz w:val="24"/>
          <w:szCs w:val="24"/>
          <w:lang w:val="en-IN"/>
        </w:rPr>
        <w:t xml:space="preserve">Neurological adverse events associated with immune checkpoint inhibitors: review of the literature. </w:t>
      </w:r>
      <w:proofErr w:type="spellStart"/>
      <w:r w:rsidRPr="2CA8CE82">
        <w:rPr>
          <w:rFonts w:ascii="Times New Roman" w:eastAsia="Times New Roman" w:hAnsi="Times New Roman" w:cs="Times New Roman"/>
          <w:color w:val="000000" w:themeColor="text1"/>
          <w:sz w:val="24"/>
          <w:szCs w:val="24"/>
          <w:lang w:val="en-IN"/>
        </w:rPr>
        <w:t>Eur</w:t>
      </w:r>
      <w:proofErr w:type="spellEnd"/>
      <w:r w:rsidRPr="2CA8CE82">
        <w:rPr>
          <w:rFonts w:ascii="Times New Roman" w:eastAsia="Times New Roman" w:hAnsi="Times New Roman" w:cs="Times New Roman"/>
          <w:color w:val="000000" w:themeColor="text1"/>
          <w:sz w:val="24"/>
          <w:szCs w:val="24"/>
          <w:lang w:val="en-IN"/>
        </w:rPr>
        <w:t xml:space="preserve"> J Cancer 2017</w:t>
      </w:r>
      <w:proofErr w:type="gramStart"/>
      <w:r w:rsidRPr="2CA8CE82">
        <w:rPr>
          <w:rFonts w:ascii="Times New Roman" w:eastAsia="Times New Roman" w:hAnsi="Times New Roman" w:cs="Times New Roman"/>
          <w:color w:val="000000" w:themeColor="text1"/>
          <w:sz w:val="24"/>
          <w:szCs w:val="24"/>
          <w:lang w:val="en-IN"/>
        </w:rPr>
        <w:t>;73:1</w:t>
      </w:r>
      <w:proofErr w:type="gramEnd"/>
      <w:r w:rsidRPr="2CA8CE82">
        <w:rPr>
          <w:rFonts w:ascii="Times New Roman" w:eastAsia="Times New Roman" w:hAnsi="Times New Roman" w:cs="Times New Roman"/>
          <w:color w:val="000000" w:themeColor="text1"/>
          <w:sz w:val="24"/>
          <w:szCs w:val="24"/>
          <w:lang w:val="en-IN"/>
        </w:rPr>
        <w:t>–8.</w:t>
      </w:r>
    </w:p>
    <w:p w14:paraId="0148291C" w14:textId="0C100294"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lastRenderedPageBreak/>
        <w:t xml:space="preserve">Spain L, Walls G, </w:t>
      </w:r>
      <w:proofErr w:type="spellStart"/>
      <w:r w:rsidRPr="2CA8CE82">
        <w:rPr>
          <w:rFonts w:ascii="Times New Roman" w:eastAsia="Times New Roman" w:hAnsi="Times New Roman" w:cs="Times New Roman"/>
          <w:color w:val="000000" w:themeColor="text1"/>
          <w:sz w:val="24"/>
          <w:szCs w:val="24"/>
          <w:lang w:val="en-IN"/>
        </w:rPr>
        <w:t>Julve</w:t>
      </w:r>
      <w:proofErr w:type="spellEnd"/>
      <w:r w:rsidRPr="2CA8CE82">
        <w:rPr>
          <w:rFonts w:ascii="Times New Roman" w:eastAsia="Times New Roman" w:hAnsi="Times New Roman" w:cs="Times New Roman"/>
          <w:color w:val="000000" w:themeColor="text1"/>
          <w:sz w:val="24"/>
          <w:szCs w:val="24"/>
          <w:lang w:val="en-IN"/>
        </w:rPr>
        <w:t xml:space="preserve"> M, et al. Neurotoxicity from immune-checkpoint inhibition in the treatment of melanoma: a single centre experience and review of the literature. Ann Oncol 2017</w:t>
      </w:r>
      <w:proofErr w:type="gramStart"/>
      <w:r w:rsidRPr="2CA8CE82">
        <w:rPr>
          <w:rFonts w:ascii="Times New Roman" w:eastAsia="Times New Roman" w:hAnsi="Times New Roman" w:cs="Times New Roman"/>
          <w:color w:val="000000" w:themeColor="text1"/>
          <w:sz w:val="24"/>
          <w:szCs w:val="24"/>
          <w:lang w:val="en-IN"/>
        </w:rPr>
        <w:t>;28:377</w:t>
      </w:r>
      <w:proofErr w:type="gramEnd"/>
      <w:r w:rsidRPr="2CA8CE82">
        <w:rPr>
          <w:rFonts w:ascii="Times New Roman" w:eastAsia="Times New Roman" w:hAnsi="Times New Roman" w:cs="Times New Roman"/>
          <w:color w:val="000000" w:themeColor="text1"/>
          <w:sz w:val="24"/>
          <w:szCs w:val="24"/>
          <w:lang w:val="en-IN"/>
        </w:rPr>
        <w:t>–85.</w:t>
      </w:r>
    </w:p>
    <w:p w14:paraId="353F8AB8" w14:textId="28E1ACE1"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Johnson DB, Manouchehri A, Haugh AM, et al. Neurologic toxicity associated with immune checkpoint inhibitors: a pharmacovigilance study.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2019</w:t>
      </w:r>
      <w:proofErr w:type="gramStart"/>
      <w:r w:rsidRPr="2CA8CE82">
        <w:rPr>
          <w:rFonts w:ascii="Times New Roman" w:eastAsia="Times New Roman" w:hAnsi="Times New Roman" w:cs="Times New Roman"/>
          <w:color w:val="000000" w:themeColor="text1"/>
          <w:sz w:val="24"/>
          <w:szCs w:val="24"/>
          <w:lang w:val="en-IN"/>
        </w:rPr>
        <w:t>;7:134</w:t>
      </w:r>
      <w:proofErr w:type="gramEnd"/>
      <w:r w:rsidRPr="2CA8CE82">
        <w:rPr>
          <w:rFonts w:ascii="Times New Roman" w:eastAsia="Times New Roman" w:hAnsi="Times New Roman" w:cs="Times New Roman"/>
          <w:color w:val="000000" w:themeColor="text1"/>
          <w:sz w:val="24"/>
          <w:szCs w:val="24"/>
          <w:lang w:val="en-IN"/>
        </w:rPr>
        <w:t>.</w:t>
      </w:r>
    </w:p>
    <w:p w14:paraId="465DCECD" w14:textId="78702E72"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Dubey D, David W, Reynolds K. Guidon A: immune checkpoint inhibitor related neurologic adverse events: clinical spectrum, management and outcomes (S21.003). Neurology 2019; 92:S21.003.</w:t>
      </w:r>
    </w:p>
    <w:p w14:paraId="6DE2F41A" w14:textId="728C7A74"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Manson G, Maria ATJ, </w:t>
      </w:r>
      <w:proofErr w:type="spellStart"/>
      <w:r w:rsidRPr="2CA8CE82">
        <w:rPr>
          <w:rFonts w:ascii="Times New Roman" w:eastAsia="Times New Roman" w:hAnsi="Times New Roman" w:cs="Times New Roman"/>
          <w:color w:val="000000" w:themeColor="text1"/>
          <w:sz w:val="24"/>
          <w:szCs w:val="24"/>
          <w:lang w:val="en-IN"/>
        </w:rPr>
        <w:t>Poizeau</w:t>
      </w:r>
      <w:proofErr w:type="spellEnd"/>
      <w:r w:rsidRPr="2CA8CE82">
        <w:rPr>
          <w:rFonts w:ascii="Times New Roman" w:eastAsia="Times New Roman" w:hAnsi="Times New Roman" w:cs="Times New Roman"/>
          <w:color w:val="000000" w:themeColor="text1"/>
          <w:sz w:val="24"/>
          <w:szCs w:val="24"/>
          <w:lang w:val="en-IN"/>
        </w:rPr>
        <w:t xml:space="preserve"> F, et al. Worsening and newly diagnosed paraneoplastic syndromes following anti-PD-1 or anti-PD-L1 immunotherapies, a descriptive study.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2019</w:t>
      </w:r>
      <w:proofErr w:type="gramStart"/>
      <w:r w:rsidRPr="2CA8CE82">
        <w:rPr>
          <w:rFonts w:ascii="Times New Roman" w:eastAsia="Times New Roman" w:hAnsi="Times New Roman" w:cs="Times New Roman"/>
          <w:color w:val="000000" w:themeColor="text1"/>
          <w:sz w:val="24"/>
          <w:szCs w:val="24"/>
          <w:lang w:val="en-IN"/>
        </w:rPr>
        <w:t>;7:337</w:t>
      </w:r>
      <w:proofErr w:type="gramEnd"/>
      <w:r w:rsidRPr="2CA8CE82">
        <w:rPr>
          <w:rFonts w:ascii="Times New Roman" w:eastAsia="Times New Roman" w:hAnsi="Times New Roman" w:cs="Times New Roman"/>
          <w:color w:val="000000" w:themeColor="text1"/>
          <w:sz w:val="24"/>
          <w:szCs w:val="24"/>
          <w:lang w:val="en-IN"/>
        </w:rPr>
        <w:t>.</w:t>
      </w:r>
    </w:p>
    <w:p w14:paraId="75A207D0" w14:textId="56325492"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Dubey D, David WS, Amato AA, et al. Varied phenotypes and management of immune checkpoint inhibitor-associated neuropathies. Neurology 2019</w:t>
      </w:r>
      <w:proofErr w:type="gramStart"/>
      <w:r w:rsidRPr="2CA8CE82">
        <w:rPr>
          <w:rFonts w:ascii="Times New Roman" w:eastAsia="Times New Roman" w:hAnsi="Times New Roman" w:cs="Times New Roman"/>
          <w:color w:val="000000" w:themeColor="text1"/>
          <w:sz w:val="24"/>
          <w:szCs w:val="24"/>
          <w:lang w:val="en-IN"/>
        </w:rPr>
        <w:t>;93:e1093</w:t>
      </w:r>
      <w:proofErr w:type="gramEnd"/>
      <w:r w:rsidRPr="2CA8CE82">
        <w:rPr>
          <w:rFonts w:ascii="Times New Roman" w:eastAsia="Times New Roman" w:hAnsi="Times New Roman" w:cs="Times New Roman"/>
          <w:color w:val="000000" w:themeColor="text1"/>
          <w:sz w:val="24"/>
          <w:szCs w:val="24"/>
          <w:lang w:val="en-IN"/>
        </w:rPr>
        <w:t>–103.</w:t>
      </w:r>
    </w:p>
    <w:p w14:paraId="1AEB256B" w14:textId="0018C312"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Hughes RA, </w:t>
      </w:r>
      <w:proofErr w:type="spellStart"/>
      <w:r w:rsidRPr="2CA8CE82">
        <w:rPr>
          <w:rFonts w:ascii="Times New Roman" w:eastAsia="Times New Roman" w:hAnsi="Times New Roman" w:cs="Times New Roman"/>
          <w:color w:val="000000" w:themeColor="text1"/>
          <w:sz w:val="24"/>
          <w:szCs w:val="24"/>
          <w:lang w:val="en-IN"/>
        </w:rPr>
        <w:t>Mehndiratta</w:t>
      </w:r>
      <w:proofErr w:type="spellEnd"/>
      <w:r w:rsidRPr="2CA8CE82">
        <w:rPr>
          <w:rFonts w:ascii="Times New Roman" w:eastAsia="Times New Roman" w:hAnsi="Times New Roman" w:cs="Times New Roman"/>
          <w:color w:val="000000" w:themeColor="text1"/>
          <w:sz w:val="24"/>
          <w:szCs w:val="24"/>
          <w:lang w:val="en-IN"/>
        </w:rPr>
        <w:t xml:space="preserve"> MM, </w:t>
      </w:r>
      <w:proofErr w:type="spellStart"/>
      <w:r w:rsidRPr="2CA8CE82">
        <w:rPr>
          <w:rFonts w:ascii="Times New Roman" w:eastAsia="Times New Roman" w:hAnsi="Times New Roman" w:cs="Times New Roman"/>
          <w:color w:val="000000" w:themeColor="text1"/>
          <w:sz w:val="24"/>
          <w:szCs w:val="24"/>
          <w:lang w:val="en-IN"/>
        </w:rPr>
        <w:t>Rajabally</w:t>
      </w:r>
      <w:proofErr w:type="spellEnd"/>
      <w:r w:rsidRPr="2CA8CE82">
        <w:rPr>
          <w:rFonts w:ascii="Times New Roman" w:eastAsia="Times New Roman" w:hAnsi="Times New Roman" w:cs="Times New Roman"/>
          <w:color w:val="000000" w:themeColor="text1"/>
          <w:sz w:val="24"/>
          <w:szCs w:val="24"/>
          <w:lang w:val="en-IN"/>
        </w:rPr>
        <w:t xml:space="preserve"> YA. Corticosteroids for chronic inflammatory demyelinating polyradiculoneuropathy. Cochrane Database </w:t>
      </w:r>
      <w:proofErr w:type="spellStart"/>
      <w:r w:rsidRPr="2CA8CE82">
        <w:rPr>
          <w:rFonts w:ascii="Times New Roman" w:eastAsia="Times New Roman" w:hAnsi="Times New Roman" w:cs="Times New Roman"/>
          <w:color w:val="000000" w:themeColor="text1"/>
          <w:sz w:val="24"/>
          <w:szCs w:val="24"/>
          <w:lang w:val="en-IN"/>
        </w:rPr>
        <w:t>Syst</w:t>
      </w:r>
      <w:proofErr w:type="spellEnd"/>
      <w:r w:rsidRPr="2CA8CE82">
        <w:rPr>
          <w:rFonts w:ascii="Times New Roman" w:eastAsia="Times New Roman" w:hAnsi="Times New Roman" w:cs="Times New Roman"/>
          <w:color w:val="000000" w:themeColor="text1"/>
          <w:sz w:val="24"/>
          <w:szCs w:val="24"/>
          <w:lang w:val="en-IN"/>
        </w:rPr>
        <w:t xml:space="preserve"> Rev 2017;11:CD002062.</w:t>
      </w:r>
    </w:p>
    <w:p w14:paraId="72CD80CF" w14:textId="62F4D66D"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Benatar M, Mcdermott MP, Sanders DB, et al. </w:t>
      </w:r>
      <w:r w:rsidRPr="2CA8CE82">
        <w:rPr>
          <w:rFonts w:ascii="Times New Roman" w:eastAsia="Times New Roman" w:hAnsi="Times New Roman" w:cs="Times New Roman"/>
          <w:color w:val="000000" w:themeColor="text1"/>
          <w:sz w:val="24"/>
          <w:szCs w:val="24"/>
          <w:lang w:val="en-IN"/>
        </w:rPr>
        <w:t>Efficacy of prednisone for the treatment of ocular myasthenia (epitome): a randomized, controlled trial. Muscle Nerve 2016</w:t>
      </w:r>
      <w:proofErr w:type="gramStart"/>
      <w:r w:rsidRPr="2CA8CE82">
        <w:rPr>
          <w:rFonts w:ascii="Times New Roman" w:eastAsia="Times New Roman" w:hAnsi="Times New Roman" w:cs="Times New Roman"/>
          <w:color w:val="000000" w:themeColor="text1"/>
          <w:sz w:val="24"/>
          <w:szCs w:val="24"/>
          <w:lang w:val="en-IN"/>
        </w:rPr>
        <w:t>;53:363</w:t>
      </w:r>
      <w:proofErr w:type="gramEnd"/>
      <w:r w:rsidRPr="2CA8CE82">
        <w:rPr>
          <w:rFonts w:ascii="Times New Roman" w:eastAsia="Times New Roman" w:hAnsi="Times New Roman" w:cs="Times New Roman"/>
          <w:color w:val="000000" w:themeColor="text1"/>
          <w:sz w:val="24"/>
          <w:szCs w:val="24"/>
          <w:lang w:val="en-IN"/>
        </w:rPr>
        <w:t>–9.</w:t>
      </w:r>
    </w:p>
    <w:p w14:paraId="05FD1066" w14:textId="7199D09C"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Toyozawa R, Haratake N, Toyokawa G, et al. </w:t>
      </w:r>
      <w:r w:rsidRPr="2CA8CE82">
        <w:rPr>
          <w:rFonts w:ascii="Times New Roman" w:eastAsia="Times New Roman" w:hAnsi="Times New Roman" w:cs="Times New Roman"/>
          <w:color w:val="000000" w:themeColor="text1"/>
          <w:sz w:val="24"/>
          <w:szCs w:val="24"/>
          <w:lang w:val="en-IN"/>
        </w:rPr>
        <w:t>Atezolizumab-Induced aseptic meningitis in patients with NSCLC. JTO Clinical and Research Reports 2020</w:t>
      </w:r>
      <w:proofErr w:type="gramStart"/>
      <w:r w:rsidRPr="2CA8CE82">
        <w:rPr>
          <w:rFonts w:ascii="Times New Roman" w:eastAsia="Times New Roman" w:hAnsi="Times New Roman" w:cs="Times New Roman"/>
          <w:color w:val="000000" w:themeColor="text1"/>
          <w:sz w:val="24"/>
          <w:szCs w:val="24"/>
          <w:lang w:val="en-IN"/>
        </w:rPr>
        <w:t>;1:100012</w:t>
      </w:r>
      <w:proofErr w:type="gramEnd"/>
      <w:r w:rsidRPr="2CA8CE82">
        <w:rPr>
          <w:rFonts w:ascii="Times New Roman" w:eastAsia="Times New Roman" w:hAnsi="Times New Roman" w:cs="Times New Roman"/>
          <w:color w:val="000000" w:themeColor="text1"/>
          <w:sz w:val="24"/>
          <w:szCs w:val="24"/>
          <w:lang w:val="en-IN"/>
        </w:rPr>
        <w:t>.</w:t>
      </w:r>
    </w:p>
    <w:p w14:paraId="476555CA" w14:textId="59D6FFBB"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lastRenderedPageBreak/>
        <w:t>Wang DY, Salem JE, Cohen JV, et al: Fatal toxic effects associated with immune checkpoint inhibitors: A systematic review and meta-analysis. JAMA Oncol 4:1721-1728, 2018</w:t>
      </w:r>
    </w:p>
    <w:p w14:paraId="09475BE4" w14:textId="25495ED2"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Schneider-Gold C, Gajdos P, Toyka KV, et al. </w:t>
      </w:r>
      <w:r w:rsidRPr="2CA8CE82">
        <w:rPr>
          <w:rFonts w:ascii="Times New Roman" w:eastAsia="Times New Roman" w:hAnsi="Times New Roman" w:cs="Times New Roman"/>
          <w:color w:val="000000" w:themeColor="text1"/>
          <w:sz w:val="24"/>
          <w:szCs w:val="24"/>
          <w:lang w:val="en-IN"/>
        </w:rPr>
        <w:t xml:space="preserve">Corticosteroids for myasthenia gravis. Cochrane Database </w:t>
      </w:r>
      <w:proofErr w:type="spellStart"/>
      <w:r w:rsidRPr="2CA8CE82">
        <w:rPr>
          <w:rFonts w:ascii="Times New Roman" w:eastAsia="Times New Roman" w:hAnsi="Times New Roman" w:cs="Times New Roman"/>
          <w:color w:val="000000" w:themeColor="text1"/>
          <w:sz w:val="24"/>
          <w:szCs w:val="24"/>
          <w:lang w:val="en-IN"/>
        </w:rPr>
        <w:t>Syst</w:t>
      </w:r>
      <w:proofErr w:type="spellEnd"/>
      <w:r w:rsidRPr="2CA8CE82">
        <w:rPr>
          <w:rFonts w:ascii="Times New Roman" w:eastAsia="Times New Roman" w:hAnsi="Times New Roman" w:cs="Times New Roman"/>
          <w:color w:val="000000" w:themeColor="text1"/>
          <w:sz w:val="24"/>
          <w:szCs w:val="24"/>
          <w:lang w:val="en-IN"/>
        </w:rPr>
        <w:t xml:space="preserve"> Rev 2005;150.</w:t>
      </w:r>
    </w:p>
    <w:p w14:paraId="1328C86D" w14:textId="0A19EDCA"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Hughes RAC, Swan AV, </w:t>
      </w:r>
      <w:proofErr w:type="spellStart"/>
      <w:r w:rsidRPr="2CA8CE82">
        <w:rPr>
          <w:rFonts w:ascii="Times New Roman" w:eastAsia="Times New Roman" w:hAnsi="Times New Roman" w:cs="Times New Roman"/>
          <w:color w:val="000000" w:themeColor="text1"/>
          <w:sz w:val="24"/>
          <w:szCs w:val="24"/>
          <w:lang w:val="en-IN"/>
        </w:rPr>
        <w:t>Rapha.l</w:t>
      </w:r>
      <w:proofErr w:type="spellEnd"/>
      <w:r w:rsidRPr="2CA8CE82">
        <w:rPr>
          <w:rFonts w:ascii="Times New Roman" w:eastAsia="Times New Roman" w:hAnsi="Times New Roman" w:cs="Times New Roman"/>
          <w:color w:val="000000" w:themeColor="text1"/>
          <w:sz w:val="24"/>
          <w:szCs w:val="24"/>
          <w:lang w:val="en-IN"/>
        </w:rPr>
        <w:t xml:space="preserve"> J-C, et al. Immunotherapy for Guillain-Barr. syndrome: a systematic review. Brain 2007</w:t>
      </w:r>
      <w:proofErr w:type="gramStart"/>
      <w:r w:rsidRPr="2CA8CE82">
        <w:rPr>
          <w:rFonts w:ascii="Times New Roman" w:eastAsia="Times New Roman" w:hAnsi="Times New Roman" w:cs="Times New Roman"/>
          <w:color w:val="000000" w:themeColor="text1"/>
          <w:sz w:val="24"/>
          <w:szCs w:val="24"/>
          <w:lang w:val="en-IN"/>
        </w:rPr>
        <w:t>;130:2245</w:t>
      </w:r>
      <w:proofErr w:type="gramEnd"/>
      <w:r w:rsidRPr="2CA8CE82">
        <w:rPr>
          <w:rFonts w:ascii="Times New Roman" w:eastAsia="Times New Roman" w:hAnsi="Times New Roman" w:cs="Times New Roman"/>
          <w:color w:val="000000" w:themeColor="text1"/>
          <w:sz w:val="24"/>
          <w:szCs w:val="24"/>
          <w:lang w:val="en-IN"/>
        </w:rPr>
        <w:t>–57.</w:t>
      </w:r>
    </w:p>
    <w:p w14:paraId="7590BA3F" w14:textId="157A92D6"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proofErr w:type="spellStart"/>
      <w:r w:rsidRPr="2CA8CE82">
        <w:rPr>
          <w:rFonts w:ascii="Times New Roman" w:eastAsia="Times New Roman" w:hAnsi="Times New Roman" w:cs="Times New Roman"/>
          <w:color w:val="000000" w:themeColor="text1"/>
          <w:sz w:val="24"/>
          <w:szCs w:val="24"/>
          <w:lang w:val="en-IN"/>
        </w:rPr>
        <w:t>Nosadini</w:t>
      </w:r>
      <w:proofErr w:type="spellEnd"/>
      <w:r w:rsidRPr="2CA8CE82">
        <w:rPr>
          <w:rFonts w:ascii="Times New Roman" w:eastAsia="Times New Roman" w:hAnsi="Times New Roman" w:cs="Times New Roman"/>
          <w:color w:val="000000" w:themeColor="text1"/>
          <w:sz w:val="24"/>
          <w:szCs w:val="24"/>
          <w:lang w:val="en-IN"/>
        </w:rPr>
        <w:t xml:space="preserve"> M, Mohammad SS, Ramanathan S, et al. Immune therapy in autoimmune encephalitis: a systematic review. Expert Rev </w:t>
      </w:r>
      <w:proofErr w:type="spellStart"/>
      <w:r w:rsidRPr="2CA8CE82">
        <w:rPr>
          <w:rFonts w:ascii="Times New Roman" w:eastAsia="Times New Roman" w:hAnsi="Times New Roman" w:cs="Times New Roman"/>
          <w:color w:val="000000" w:themeColor="text1"/>
          <w:sz w:val="24"/>
          <w:szCs w:val="24"/>
          <w:lang w:val="en-IN"/>
        </w:rPr>
        <w:t>Neurother</w:t>
      </w:r>
      <w:proofErr w:type="spellEnd"/>
      <w:r w:rsidRPr="2CA8CE82">
        <w:rPr>
          <w:rFonts w:ascii="Times New Roman" w:eastAsia="Times New Roman" w:hAnsi="Times New Roman" w:cs="Times New Roman"/>
          <w:color w:val="000000" w:themeColor="text1"/>
          <w:sz w:val="24"/>
          <w:szCs w:val="24"/>
          <w:lang w:val="en-IN"/>
        </w:rPr>
        <w:t xml:space="preserve"> 2015</w:t>
      </w:r>
      <w:proofErr w:type="gramStart"/>
      <w:r w:rsidRPr="2CA8CE82">
        <w:rPr>
          <w:rFonts w:ascii="Times New Roman" w:eastAsia="Times New Roman" w:hAnsi="Times New Roman" w:cs="Times New Roman"/>
          <w:color w:val="000000" w:themeColor="text1"/>
          <w:sz w:val="24"/>
          <w:szCs w:val="24"/>
          <w:lang w:val="en-IN"/>
        </w:rPr>
        <w:t>;15:1391</w:t>
      </w:r>
      <w:proofErr w:type="gramEnd"/>
      <w:r w:rsidRPr="2CA8CE82">
        <w:rPr>
          <w:rFonts w:ascii="Times New Roman" w:eastAsia="Times New Roman" w:hAnsi="Times New Roman" w:cs="Times New Roman"/>
          <w:color w:val="000000" w:themeColor="text1"/>
          <w:sz w:val="24"/>
          <w:szCs w:val="24"/>
          <w:lang w:val="en-IN"/>
        </w:rPr>
        <w:t>–419.</w:t>
      </w:r>
    </w:p>
    <w:p w14:paraId="10B5654F" w14:textId="58CBB028"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Marini  A, Bernardini  A, Gigli  GL, et  al. Neurologic adverse events of immune checkpoint inhibitors: a systematic review. Neurology. 2021;96(16):754–766.</w:t>
      </w:r>
    </w:p>
    <w:p w14:paraId="1B677CE9" w14:textId="74ECB689"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Gardin</w:t>
      </w:r>
      <w:proofErr w:type="gramStart"/>
      <w:r w:rsidRPr="2CA8CE82">
        <w:rPr>
          <w:rFonts w:ascii="Times New Roman" w:eastAsia="Times New Roman" w:hAnsi="Times New Roman" w:cs="Times New Roman"/>
          <w:color w:val="000000" w:themeColor="text1"/>
          <w:sz w:val="24"/>
          <w:szCs w:val="24"/>
          <w:lang w:val="en-IN"/>
        </w:rPr>
        <w:t>  T</w:t>
      </w:r>
      <w:proofErr w:type="gramEnd"/>
      <w:r w:rsidRPr="2CA8CE82">
        <w:rPr>
          <w:rFonts w:ascii="Times New Roman" w:eastAsia="Times New Roman" w:hAnsi="Times New Roman" w:cs="Times New Roman"/>
          <w:color w:val="000000" w:themeColor="text1"/>
          <w:sz w:val="24"/>
          <w:szCs w:val="24"/>
          <w:lang w:val="en-IN"/>
        </w:rPr>
        <w:t>, Longbrake  EE. Inducing or “Unmasking” autoimmunity? the role of immune checkpoint therapy in propagating neurologic immune-related adverse events. Neurology. 2021;96(16):733–734.</w:t>
      </w:r>
    </w:p>
    <w:p w14:paraId="46C1020B" w14:textId="66B53C61"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Safa H, Johnson DH, Trinh VA, et al. Immune checkpoint inhibitor-related myasthenia gravis: single </w:t>
      </w:r>
      <w:proofErr w:type="spellStart"/>
      <w:r w:rsidRPr="2CA8CE82">
        <w:rPr>
          <w:rFonts w:ascii="Times New Roman" w:eastAsia="Times New Roman" w:hAnsi="Times New Roman" w:cs="Times New Roman"/>
          <w:color w:val="000000" w:themeColor="text1"/>
          <w:sz w:val="24"/>
          <w:szCs w:val="24"/>
          <w:lang w:val="en-IN"/>
        </w:rPr>
        <w:t>center</w:t>
      </w:r>
      <w:proofErr w:type="spellEnd"/>
      <w:r w:rsidRPr="2CA8CE82">
        <w:rPr>
          <w:rFonts w:ascii="Times New Roman" w:eastAsia="Times New Roman" w:hAnsi="Times New Roman" w:cs="Times New Roman"/>
          <w:color w:val="000000" w:themeColor="text1"/>
          <w:sz w:val="24"/>
          <w:szCs w:val="24"/>
          <w:lang w:val="en-IN"/>
        </w:rPr>
        <w:t xml:space="preserve"> experience and systematic review of the literature.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2019;7(1):319.</w:t>
      </w:r>
    </w:p>
    <w:p w14:paraId="447CA098" w14:textId="07EABB64"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Chen ST, Semenov YR, </w:t>
      </w:r>
      <w:proofErr w:type="spellStart"/>
      <w:r w:rsidRPr="2CA8CE82">
        <w:rPr>
          <w:rFonts w:ascii="Times New Roman" w:eastAsia="Times New Roman" w:hAnsi="Times New Roman" w:cs="Times New Roman"/>
          <w:color w:val="000000" w:themeColor="text1"/>
          <w:sz w:val="24"/>
          <w:szCs w:val="24"/>
          <w:lang w:val="en-IN"/>
        </w:rPr>
        <w:t>Alloo</w:t>
      </w:r>
      <w:proofErr w:type="spellEnd"/>
      <w:r w:rsidRPr="2CA8CE82">
        <w:rPr>
          <w:rFonts w:ascii="Times New Roman" w:eastAsia="Times New Roman" w:hAnsi="Times New Roman" w:cs="Times New Roman"/>
          <w:color w:val="000000" w:themeColor="text1"/>
          <w:sz w:val="24"/>
          <w:szCs w:val="24"/>
          <w:lang w:val="en-IN"/>
        </w:rPr>
        <w:t xml:space="preserve"> A, et al. Defining D-</w:t>
      </w:r>
      <w:proofErr w:type="spellStart"/>
      <w:r w:rsidRPr="2CA8CE82">
        <w:rPr>
          <w:rFonts w:ascii="Times New Roman" w:eastAsia="Times New Roman" w:hAnsi="Times New Roman" w:cs="Times New Roman"/>
          <w:color w:val="000000" w:themeColor="text1"/>
          <w:sz w:val="24"/>
          <w:szCs w:val="24"/>
          <w:lang w:val="en-IN"/>
        </w:rPr>
        <w:t>irAEs</w:t>
      </w:r>
      <w:proofErr w:type="spellEnd"/>
      <w:r w:rsidRPr="2CA8CE82">
        <w:rPr>
          <w:rFonts w:ascii="Times New Roman" w:eastAsia="Times New Roman" w:hAnsi="Times New Roman" w:cs="Times New Roman"/>
          <w:color w:val="000000" w:themeColor="text1"/>
          <w:sz w:val="24"/>
          <w:szCs w:val="24"/>
          <w:lang w:val="en-IN"/>
        </w:rPr>
        <w:t xml:space="preserve">: consensus-based disease definitions for the diagnosis of dermatologic adverse events from immune checkpoint inhibitor therapy.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2024 Apr 10</w:t>
      </w:r>
      <w:proofErr w:type="gramStart"/>
      <w:r w:rsidRPr="2CA8CE82">
        <w:rPr>
          <w:rFonts w:ascii="Times New Roman" w:eastAsia="Times New Roman" w:hAnsi="Times New Roman" w:cs="Times New Roman"/>
          <w:color w:val="000000" w:themeColor="text1"/>
          <w:sz w:val="24"/>
          <w:szCs w:val="24"/>
          <w:lang w:val="en-IN"/>
        </w:rPr>
        <w:t>;12</w:t>
      </w:r>
      <w:proofErr w:type="gramEnd"/>
      <w:r w:rsidRPr="2CA8CE82">
        <w:rPr>
          <w:rFonts w:ascii="Times New Roman" w:eastAsia="Times New Roman" w:hAnsi="Times New Roman" w:cs="Times New Roman"/>
          <w:color w:val="000000" w:themeColor="text1"/>
          <w:sz w:val="24"/>
          <w:szCs w:val="24"/>
          <w:lang w:val="en-IN"/>
        </w:rPr>
        <w:t>(4):e007675.</w:t>
      </w:r>
    </w:p>
    <w:p w14:paraId="1A14AC9D" w14:textId="7263C07A" w:rsidR="0DAECABE" w:rsidRDefault="0DAECABE" w:rsidP="00D16C1C">
      <w:pPr>
        <w:pStyle w:val="BL-MID"/>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Satoh TK, Neulinger MM, Stadler PC, et al. </w:t>
      </w:r>
      <w:r w:rsidRPr="2CA8CE82">
        <w:rPr>
          <w:rFonts w:ascii="Times New Roman" w:eastAsia="Times New Roman" w:hAnsi="Times New Roman" w:cs="Times New Roman"/>
          <w:color w:val="000000" w:themeColor="text1"/>
          <w:sz w:val="24"/>
          <w:szCs w:val="24"/>
          <w:lang w:val="en-IN"/>
        </w:rPr>
        <w:t>Immune checkpoint inhibitor-induced epidermal necrolysis: A narrative review evaluating demographics, clinical features, and culprit medications. J Dermatol. 2024 Jan;51(1):3-11.</w:t>
      </w:r>
    </w:p>
    <w:p w14:paraId="27B22B5C" w14:textId="6BF1BE7F" w:rsidR="0DAECABE" w:rsidRDefault="0DAECABE" w:rsidP="00D16C1C">
      <w:pPr>
        <w:pStyle w:val="BL-MID"/>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lastRenderedPageBreak/>
        <w:t>Kuo AM, Markova A. High Grade Dermatologic Adverse Events Associated With Immune Checkpoint Blockade for Cancer. Front Med (Lausanne). 2022 Jun 13;9:898790</w:t>
      </w:r>
    </w:p>
    <w:p w14:paraId="485E08AD" w14:textId="4A66FA51" w:rsidR="0DAECABE" w:rsidRDefault="0DAECABE" w:rsidP="00D16C1C">
      <w:pPr>
        <w:pStyle w:val="BL-MID"/>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Molina GE, Yu Z, Foreman RK, et al. </w:t>
      </w:r>
      <w:r w:rsidRPr="2CA8CE82">
        <w:rPr>
          <w:rFonts w:ascii="Times New Roman" w:eastAsia="Times New Roman" w:hAnsi="Times New Roman" w:cs="Times New Roman"/>
          <w:color w:val="000000" w:themeColor="text1"/>
          <w:sz w:val="24"/>
          <w:szCs w:val="24"/>
          <w:lang w:val="en-IN"/>
        </w:rPr>
        <w:t xml:space="preserve">Generalized bullous mucocutaneous eruption mimicking Stevens-Johnson syndrome in the setting of immune checkpoint inhibition: A </w:t>
      </w:r>
      <w:proofErr w:type="spellStart"/>
      <w:r w:rsidRPr="2CA8CE82">
        <w:rPr>
          <w:rFonts w:ascii="Times New Roman" w:eastAsia="Times New Roman" w:hAnsi="Times New Roman" w:cs="Times New Roman"/>
          <w:color w:val="000000" w:themeColor="text1"/>
          <w:sz w:val="24"/>
          <w:szCs w:val="24"/>
          <w:lang w:val="en-IN"/>
        </w:rPr>
        <w:t>multicenter</w:t>
      </w:r>
      <w:proofErr w:type="spellEnd"/>
      <w:r w:rsidRPr="2CA8CE82">
        <w:rPr>
          <w:rFonts w:ascii="Times New Roman" w:eastAsia="Times New Roman" w:hAnsi="Times New Roman" w:cs="Times New Roman"/>
          <w:color w:val="000000" w:themeColor="text1"/>
          <w:sz w:val="24"/>
          <w:szCs w:val="24"/>
          <w:lang w:val="en-IN"/>
        </w:rPr>
        <w:t xml:space="preserve"> case series. J Am </w:t>
      </w:r>
      <w:proofErr w:type="spellStart"/>
      <w:r w:rsidRPr="2CA8CE82">
        <w:rPr>
          <w:rFonts w:ascii="Times New Roman" w:eastAsia="Times New Roman" w:hAnsi="Times New Roman" w:cs="Times New Roman"/>
          <w:color w:val="000000" w:themeColor="text1"/>
          <w:sz w:val="24"/>
          <w:szCs w:val="24"/>
          <w:lang w:val="en-IN"/>
        </w:rPr>
        <w:t>Acad</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Dermatol</w:t>
      </w:r>
      <w:proofErr w:type="spellEnd"/>
      <w:r w:rsidRPr="2CA8CE82">
        <w:rPr>
          <w:rFonts w:ascii="Times New Roman" w:eastAsia="Times New Roman" w:hAnsi="Times New Roman" w:cs="Times New Roman"/>
          <w:color w:val="000000" w:themeColor="text1"/>
          <w:sz w:val="24"/>
          <w:szCs w:val="24"/>
          <w:lang w:val="en-IN"/>
        </w:rPr>
        <w:t xml:space="preserve">. 2020 Nov;83(5):1475-1477. </w:t>
      </w:r>
    </w:p>
    <w:p w14:paraId="1AEB1ED5" w14:textId="164851F4" w:rsidR="0DAECABE" w:rsidRDefault="0DAECABE" w:rsidP="00D16C1C">
      <w:pPr>
        <w:pStyle w:val="BL-MID"/>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Chang HC, Wang TJ, Lin MH, et al. </w:t>
      </w:r>
      <w:r w:rsidRPr="2CA8CE82">
        <w:rPr>
          <w:rFonts w:ascii="Times New Roman" w:eastAsia="Times New Roman" w:hAnsi="Times New Roman" w:cs="Times New Roman"/>
          <w:color w:val="000000" w:themeColor="text1"/>
          <w:sz w:val="24"/>
          <w:szCs w:val="24"/>
          <w:lang w:val="en-IN"/>
        </w:rPr>
        <w:t xml:space="preserve">A Review of the Systemic Treatment of Stevens-Johnson Syndrome and Toxic Epidermal Necrolysis. Biomedicines. 2022 Aug 28;10(9):2105. </w:t>
      </w:r>
    </w:p>
    <w:p w14:paraId="68A3F8D5" w14:textId="047F5EC9" w:rsidR="0DAECABE" w:rsidRDefault="0DAECABE" w:rsidP="00D16C1C">
      <w:pPr>
        <w:pStyle w:val="BL-MID"/>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Guégan S, Bastuji-Garin S, Poszepczynska-Guigné E, et al. </w:t>
      </w:r>
      <w:r w:rsidRPr="2CA8CE82">
        <w:rPr>
          <w:rFonts w:ascii="Times New Roman" w:eastAsia="Times New Roman" w:hAnsi="Times New Roman" w:cs="Times New Roman"/>
          <w:color w:val="000000" w:themeColor="text1"/>
          <w:sz w:val="24"/>
          <w:szCs w:val="24"/>
          <w:lang w:val="en-IN"/>
        </w:rPr>
        <w:t>Performance of the SCORTEN during the first five days of hospitalization to predict the prognosis of epidermal necrolysis. J Invest Dermatol. 2006 Feb;126(2):272-6.</w:t>
      </w:r>
    </w:p>
    <w:p w14:paraId="6ED1944D" w14:textId="444CBEAB" w:rsidR="0DAECABE" w:rsidRDefault="0DAECABE" w:rsidP="00D16C1C">
      <w:pPr>
        <w:pStyle w:val="BL-MID"/>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Faje A, Reynolds K, Zubiri L, et al. </w:t>
      </w:r>
      <w:proofErr w:type="spellStart"/>
      <w:r w:rsidRPr="2CA8CE82">
        <w:rPr>
          <w:rFonts w:ascii="Times New Roman" w:eastAsia="Times New Roman" w:hAnsi="Times New Roman" w:cs="Times New Roman"/>
          <w:color w:val="000000" w:themeColor="text1"/>
          <w:sz w:val="24"/>
          <w:szCs w:val="24"/>
          <w:lang w:val="en-IN"/>
        </w:rPr>
        <w:t>Hypophysitis</w:t>
      </w:r>
      <w:proofErr w:type="spellEnd"/>
      <w:r w:rsidRPr="2CA8CE82">
        <w:rPr>
          <w:rFonts w:ascii="Times New Roman" w:eastAsia="Times New Roman" w:hAnsi="Times New Roman" w:cs="Times New Roman"/>
          <w:color w:val="000000" w:themeColor="text1"/>
          <w:sz w:val="24"/>
          <w:szCs w:val="24"/>
          <w:lang w:val="en-IN"/>
        </w:rPr>
        <w:t xml:space="preserve"> secondary to </w:t>
      </w:r>
      <w:proofErr w:type="spellStart"/>
      <w:r w:rsidRPr="2CA8CE82">
        <w:rPr>
          <w:rFonts w:ascii="Times New Roman" w:eastAsia="Times New Roman" w:hAnsi="Times New Roman" w:cs="Times New Roman"/>
          <w:color w:val="000000" w:themeColor="text1"/>
          <w:sz w:val="24"/>
          <w:szCs w:val="24"/>
          <w:lang w:val="en-IN"/>
        </w:rPr>
        <w:t>nivolumab</w:t>
      </w:r>
      <w:proofErr w:type="spellEnd"/>
      <w:r w:rsidRPr="2CA8CE82">
        <w:rPr>
          <w:rFonts w:ascii="Times New Roman" w:eastAsia="Times New Roman" w:hAnsi="Times New Roman" w:cs="Times New Roman"/>
          <w:color w:val="000000" w:themeColor="text1"/>
          <w:sz w:val="24"/>
          <w:szCs w:val="24"/>
          <w:lang w:val="en-IN"/>
        </w:rPr>
        <w:t xml:space="preserve"> and pembrolizumab is a clinical entity distinct from </w:t>
      </w:r>
      <w:proofErr w:type="spellStart"/>
      <w:r w:rsidRPr="2CA8CE82">
        <w:rPr>
          <w:rFonts w:ascii="Times New Roman" w:eastAsia="Times New Roman" w:hAnsi="Times New Roman" w:cs="Times New Roman"/>
          <w:color w:val="000000" w:themeColor="text1"/>
          <w:sz w:val="24"/>
          <w:szCs w:val="24"/>
          <w:lang w:val="en-IN"/>
        </w:rPr>
        <w:t>ipilimumab</w:t>
      </w:r>
      <w:proofErr w:type="spellEnd"/>
      <w:r w:rsidRPr="2CA8CE82">
        <w:rPr>
          <w:rFonts w:ascii="Times New Roman" w:eastAsia="Times New Roman" w:hAnsi="Times New Roman" w:cs="Times New Roman"/>
          <w:color w:val="000000" w:themeColor="text1"/>
          <w:sz w:val="24"/>
          <w:szCs w:val="24"/>
          <w:lang w:val="en-IN"/>
        </w:rPr>
        <w:t xml:space="preserve">-associated </w:t>
      </w:r>
      <w:proofErr w:type="spellStart"/>
      <w:r w:rsidRPr="2CA8CE82">
        <w:rPr>
          <w:rFonts w:ascii="Times New Roman" w:eastAsia="Times New Roman" w:hAnsi="Times New Roman" w:cs="Times New Roman"/>
          <w:color w:val="000000" w:themeColor="text1"/>
          <w:sz w:val="24"/>
          <w:szCs w:val="24"/>
          <w:lang w:val="en-IN"/>
        </w:rPr>
        <w:t>hypophysitis</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Eur</w:t>
      </w:r>
      <w:proofErr w:type="spellEnd"/>
      <w:r w:rsidRPr="2CA8CE82">
        <w:rPr>
          <w:rFonts w:ascii="Times New Roman" w:eastAsia="Times New Roman" w:hAnsi="Times New Roman" w:cs="Times New Roman"/>
          <w:color w:val="000000" w:themeColor="text1"/>
          <w:sz w:val="24"/>
          <w:szCs w:val="24"/>
          <w:lang w:val="en-IN"/>
        </w:rPr>
        <w:t xml:space="preserve"> J </w:t>
      </w:r>
      <w:proofErr w:type="spellStart"/>
      <w:r w:rsidRPr="2CA8CE82">
        <w:rPr>
          <w:rFonts w:ascii="Times New Roman" w:eastAsia="Times New Roman" w:hAnsi="Times New Roman" w:cs="Times New Roman"/>
          <w:color w:val="000000" w:themeColor="text1"/>
          <w:sz w:val="24"/>
          <w:szCs w:val="24"/>
          <w:lang w:val="en-IN"/>
        </w:rPr>
        <w:t>Endocrinol</w:t>
      </w:r>
      <w:proofErr w:type="spellEnd"/>
      <w:r w:rsidRPr="2CA8CE82">
        <w:rPr>
          <w:rFonts w:ascii="Times New Roman" w:eastAsia="Times New Roman" w:hAnsi="Times New Roman" w:cs="Times New Roman"/>
          <w:color w:val="000000" w:themeColor="text1"/>
          <w:sz w:val="24"/>
          <w:szCs w:val="24"/>
          <w:lang w:val="en-IN"/>
        </w:rPr>
        <w:t>. 2019 Sep;181(3):211-219.</w:t>
      </w:r>
    </w:p>
    <w:p w14:paraId="62D03B3B" w14:textId="740C4767" w:rsidR="0DAECABE" w:rsidRDefault="0DAECABE" w:rsidP="00D16C1C">
      <w:pPr>
        <w:pStyle w:val="BL-MID"/>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Arnaud-Coffin P, Maillet D, Gan HK, et al. </w:t>
      </w:r>
      <w:r w:rsidRPr="2CA8CE82">
        <w:rPr>
          <w:rFonts w:ascii="Times New Roman" w:eastAsia="Times New Roman" w:hAnsi="Times New Roman" w:cs="Times New Roman"/>
          <w:color w:val="000000" w:themeColor="text1"/>
          <w:sz w:val="24"/>
          <w:szCs w:val="24"/>
          <w:lang w:val="en-IN"/>
        </w:rPr>
        <w:t>A systematic review of adverse events in randomized trials assessing immune checkpoint inhibitors. Int J Cancer. 2019 Aug 1;145(3):639-648.</w:t>
      </w:r>
    </w:p>
    <w:p w14:paraId="3EBE53F3" w14:textId="2A64EA79" w:rsidR="0DAECABE" w:rsidRDefault="0DAECABE" w:rsidP="00D16C1C">
      <w:pPr>
        <w:pStyle w:val="BL-MID"/>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Zhan L, Feng HF, Liu HQ, et al. </w:t>
      </w:r>
      <w:r w:rsidRPr="2CA8CE82">
        <w:rPr>
          <w:rFonts w:ascii="Times New Roman" w:eastAsia="Times New Roman" w:hAnsi="Times New Roman" w:cs="Times New Roman"/>
          <w:color w:val="000000" w:themeColor="text1"/>
          <w:sz w:val="24"/>
          <w:szCs w:val="24"/>
          <w:lang w:val="en-IN"/>
        </w:rPr>
        <w:t>Immune Checkpoint Inhibitors-Related Thyroid Dysfunction: Epidemiology, Clinical Presentation, Possible Pathogenesis, and Management. Front Endocrinol (Lausanne). 2021 Jun 10</w:t>
      </w:r>
      <w:proofErr w:type="gramStart"/>
      <w:r w:rsidRPr="2CA8CE82">
        <w:rPr>
          <w:rFonts w:ascii="Times New Roman" w:eastAsia="Times New Roman" w:hAnsi="Times New Roman" w:cs="Times New Roman"/>
          <w:color w:val="000000" w:themeColor="text1"/>
          <w:sz w:val="24"/>
          <w:szCs w:val="24"/>
          <w:lang w:val="en-IN"/>
        </w:rPr>
        <w:t>;12:649863</w:t>
      </w:r>
      <w:proofErr w:type="gramEnd"/>
      <w:r w:rsidRPr="2CA8CE82">
        <w:rPr>
          <w:rFonts w:ascii="Times New Roman" w:eastAsia="Times New Roman" w:hAnsi="Times New Roman" w:cs="Times New Roman"/>
          <w:color w:val="000000" w:themeColor="text1"/>
          <w:sz w:val="24"/>
          <w:szCs w:val="24"/>
          <w:lang w:val="en-IN"/>
        </w:rPr>
        <w:t>.</w:t>
      </w:r>
    </w:p>
    <w:p w14:paraId="413AEC7C" w14:textId="6753CBD4" w:rsidR="007B7017" w:rsidRPr="002F7A42" w:rsidRDefault="0DAECABE" w:rsidP="002D5CEB">
      <w:pPr>
        <w:pStyle w:val="BL-LAST"/>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Jonklaas J, Bianco AC, Bauer AJ, et al. </w:t>
      </w:r>
      <w:r w:rsidRPr="2CA8CE82">
        <w:rPr>
          <w:rFonts w:ascii="Times New Roman" w:eastAsia="Times New Roman" w:hAnsi="Times New Roman" w:cs="Times New Roman"/>
          <w:color w:val="000000" w:themeColor="text1"/>
          <w:sz w:val="24"/>
          <w:szCs w:val="24"/>
          <w:lang w:val="en-IN"/>
        </w:rPr>
        <w:t xml:space="preserve">Guidelines for the treatment of hypothyroidism: prepared by the </w:t>
      </w:r>
      <w:proofErr w:type="spellStart"/>
      <w:r w:rsidRPr="2CA8CE82">
        <w:rPr>
          <w:rFonts w:ascii="Times New Roman" w:eastAsia="Times New Roman" w:hAnsi="Times New Roman" w:cs="Times New Roman"/>
          <w:color w:val="000000" w:themeColor="text1"/>
          <w:sz w:val="24"/>
          <w:szCs w:val="24"/>
          <w:lang w:val="en-IN"/>
        </w:rPr>
        <w:t>american</w:t>
      </w:r>
      <w:proofErr w:type="spellEnd"/>
      <w:r w:rsidRPr="2CA8CE82">
        <w:rPr>
          <w:rFonts w:ascii="Times New Roman" w:eastAsia="Times New Roman" w:hAnsi="Times New Roman" w:cs="Times New Roman"/>
          <w:color w:val="000000" w:themeColor="text1"/>
          <w:sz w:val="24"/>
          <w:szCs w:val="24"/>
          <w:lang w:val="en-IN"/>
        </w:rPr>
        <w:t xml:space="preserve"> thyroid association task force on thyroid hormone replacement. Thyroid. 2014 Dec</w:t>
      </w:r>
      <w:proofErr w:type="gramStart"/>
      <w:r w:rsidRPr="2CA8CE82">
        <w:rPr>
          <w:rFonts w:ascii="Times New Roman" w:eastAsia="Times New Roman" w:hAnsi="Times New Roman" w:cs="Times New Roman"/>
          <w:color w:val="000000" w:themeColor="text1"/>
          <w:sz w:val="24"/>
          <w:szCs w:val="24"/>
          <w:lang w:val="en-IN"/>
        </w:rPr>
        <w:t>;24</w:t>
      </w:r>
      <w:proofErr w:type="gramEnd"/>
      <w:r w:rsidRPr="2CA8CE82">
        <w:rPr>
          <w:rFonts w:ascii="Times New Roman" w:eastAsia="Times New Roman" w:hAnsi="Times New Roman" w:cs="Times New Roman"/>
          <w:color w:val="000000" w:themeColor="text1"/>
          <w:sz w:val="24"/>
          <w:szCs w:val="24"/>
          <w:lang w:val="en-IN"/>
        </w:rPr>
        <w:t>(12):1670-751.</w:t>
      </w:r>
      <w:r w:rsidR="00700985" w:rsidRPr="00D16C1C">
        <w:rPr>
          <w:rFonts w:ascii="Times New Roman" w:hAnsi="Times New Roman" w:cs="Times New Roman"/>
          <w:sz w:val="24"/>
          <w:szCs w:val="24"/>
        </w:rPr>
        <w:br w:type="page"/>
      </w:r>
    </w:p>
    <w:p w14:paraId="09A04C8A" w14:textId="265A9B8F" w:rsidR="002F7A42" w:rsidRPr="002F7A42" w:rsidRDefault="002F7A42" w:rsidP="002F7A42">
      <w:pPr>
        <w:pStyle w:val="ListParagraph"/>
        <w:spacing w:line="480" w:lineRule="auto"/>
      </w:pPr>
      <w:r w:rsidRPr="002F7A42">
        <w:lastRenderedPageBreak/>
        <w:t>&lt;</w:t>
      </w:r>
      <w:proofErr w:type="gramStart"/>
      <w:r w:rsidRPr="002F7A42">
        <w:t>ref-close</w:t>
      </w:r>
      <w:proofErr w:type="gramEnd"/>
      <w:r w:rsidRPr="002F7A42">
        <w:t>&gt;</w:t>
      </w:r>
    </w:p>
    <w:p w14:paraId="7D0E8C25" w14:textId="13435701" w:rsidR="002F7A42" w:rsidRPr="002D5CEB" w:rsidRDefault="002F7A42" w:rsidP="002F7A42">
      <w:pPr>
        <w:pStyle w:val="NormalWeb"/>
        <w:spacing w:before="0" w:beforeAutospacing="0" w:after="0" w:afterAutospacing="0" w:line="480" w:lineRule="auto"/>
      </w:pPr>
      <w:r>
        <w:t>&lt;</w:t>
      </w:r>
      <w:proofErr w:type="gramStart"/>
      <w:r>
        <w:t>float</w:t>
      </w:r>
      <w:r>
        <w:t>-open</w:t>
      </w:r>
      <w:proofErr w:type="gramEnd"/>
      <w:r>
        <w:t>&gt;</w:t>
      </w:r>
    </w:p>
    <w:p w14:paraId="68BA73B7" w14:textId="77777777" w:rsidR="002F7A42" w:rsidRDefault="002F7A42" w:rsidP="002D5CEB">
      <w:pPr>
        <w:pStyle w:val="NormalWeb"/>
        <w:spacing w:before="0" w:beforeAutospacing="0" w:after="0" w:afterAutospacing="0" w:line="480" w:lineRule="auto"/>
        <w:rPr>
          <w:b/>
          <w:bCs/>
          <w:color w:val="FF0000"/>
        </w:rPr>
      </w:pPr>
    </w:p>
    <w:p w14:paraId="7652B617" w14:textId="5AE8B74A" w:rsidR="005C4A03" w:rsidRPr="002D5CEB" w:rsidRDefault="005C4A03" w:rsidP="002D5CEB">
      <w:pPr>
        <w:pStyle w:val="T1"/>
        <w:spacing w:before="0" w:beforeAutospacing="0" w:after="0" w:afterAutospacing="0" w:line="480" w:lineRule="auto"/>
      </w:pPr>
      <w:proofErr w:type="gramStart"/>
      <w:r w:rsidRPr="002D5CEB">
        <w:rPr>
          <w:b/>
          <w:bCs/>
          <w:color w:val="FF0000"/>
        </w:rPr>
        <w:t xml:space="preserve">Table </w:t>
      </w:r>
      <w:r w:rsidR="00D16C1C">
        <w:rPr>
          <w:b/>
          <w:bCs/>
          <w:color w:val="FF0000"/>
        </w:rPr>
        <w:t>6.9.</w:t>
      </w:r>
      <w:r w:rsidRPr="002D5CEB">
        <w:rPr>
          <w:b/>
          <w:bCs/>
          <w:color w:val="FF0000"/>
        </w:rPr>
        <w:t>1.</w:t>
      </w:r>
      <w:proofErr w:type="gramEnd"/>
      <w:r w:rsidRPr="002D5CEB">
        <w:rPr>
          <w:b/>
          <w:bCs/>
          <w:color w:val="FF0000"/>
        </w:rPr>
        <w:t xml:space="preserve"> FDA approved Immune Checkpoint Inhibitors </w:t>
      </w:r>
    </w:p>
    <w:tbl>
      <w:tblPr>
        <w:tblStyle w:val="TableGrid"/>
        <w:tblW w:w="0" w:type="auto"/>
        <w:tblLook w:val="04A0" w:firstRow="1" w:lastRow="0" w:firstColumn="1" w:lastColumn="0" w:noHBand="0" w:noVBand="1"/>
      </w:tblPr>
      <w:tblGrid>
        <w:gridCol w:w="4675"/>
        <w:gridCol w:w="4675"/>
      </w:tblGrid>
      <w:tr w:rsidR="005C4A03" w:rsidRPr="002D5CEB" w14:paraId="66926737" w14:textId="77777777" w:rsidTr="002B5526">
        <w:tc>
          <w:tcPr>
            <w:tcW w:w="4675" w:type="dxa"/>
          </w:tcPr>
          <w:p w14:paraId="5E207728" w14:textId="77777777" w:rsidR="005C4A03" w:rsidRPr="002D5CEB" w:rsidRDefault="005C4A03" w:rsidP="002D5CEB">
            <w:pPr>
              <w:pStyle w:val="T2"/>
              <w:spacing w:before="0" w:beforeAutospacing="0" w:after="0" w:afterAutospacing="0" w:line="480" w:lineRule="auto"/>
            </w:pPr>
            <w:r w:rsidRPr="002D5CEB">
              <w:t>Mechanism</w:t>
            </w:r>
          </w:p>
        </w:tc>
        <w:tc>
          <w:tcPr>
            <w:tcW w:w="4675" w:type="dxa"/>
          </w:tcPr>
          <w:p w14:paraId="1E881B77" w14:textId="77777777" w:rsidR="005C4A03" w:rsidRPr="002D5CEB" w:rsidRDefault="005C4A03" w:rsidP="002D5CEB">
            <w:pPr>
              <w:pStyle w:val="T2"/>
              <w:spacing w:before="0" w:beforeAutospacing="0" w:after="0" w:afterAutospacing="0" w:line="480" w:lineRule="auto"/>
            </w:pPr>
            <w:r w:rsidRPr="002D5CEB">
              <w:t xml:space="preserve">Drug Name </w:t>
            </w:r>
          </w:p>
        </w:tc>
      </w:tr>
      <w:tr w:rsidR="005C4A03" w:rsidRPr="002D5CEB" w14:paraId="1C72341C" w14:textId="77777777" w:rsidTr="002B5526">
        <w:tc>
          <w:tcPr>
            <w:tcW w:w="4675" w:type="dxa"/>
          </w:tcPr>
          <w:p w14:paraId="198E91A8" w14:textId="77777777" w:rsidR="005C4A03" w:rsidRPr="002D5CEB" w:rsidRDefault="005C4A03" w:rsidP="002D5CEB">
            <w:pPr>
              <w:pStyle w:val="T4"/>
              <w:spacing w:before="0" w:beforeAutospacing="0" w:after="0" w:afterAutospacing="0" w:line="480" w:lineRule="auto"/>
            </w:pPr>
            <w:r w:rsidRPr="002D5CEB">
              <w:t>CTLA-4 blockade</w:t>
            </w:r>
          </w:p>
        </w:tc>
        <w:tc>
          <w:tcPr>
            <w:tcW w:w="4675" w:type="dxa"/>
          </w:tcPr>
          <w:p w14:paraId="0D76AA5C" w14:textId="77777777" w:rsidR="005C4A03" w:rsidRPr="002D5CEB" w:rsidRDefault="005C4A03" w:rsidP="002D5CEB">
            <w:pPr>
              <w:pStyle w:val="T"/>
              <w:spacing w:before="0" w:beforeAutospacing="0" w:after="0" w:afterAutospacing="0" w:line="480" w:lineRule="auto"/>
            </w:pPr>
            <w:proofErr w:type="spellStart"/>
            <w:r w:rsidRPr="002D5CEB">
              <w:t>Ipilimumab</w:t>
            </w:r>
            <w:proofErr w:type="spellEnd"/>
            <w:r w:rsidRPr="002D5CEB">
              <w:t xml:space="preserve">, </w:t>
            </w:r>
            <w:proofErr w:type="spellStart"/>
            <w:r w:rsidRPr="002D5CEB">
              <w:t>Tremelimumab</w:t>
            </w:r>
            <w:proofErr w:type="spellEnd"/>
          </w:p>
        </w:tc>
      </w:tr>
      <w:tr w:rsidR="005C4A03" w:rsidRPr="002D5CEB" w14:paraId="6A3108E4" w14:textId="77777777" w:rsidTr="002B5526">
        <w:tc>
          <w:tcPr>
            <w:tcW w:w="4675" w:type="dxa"/>
          </w:tcPr>
          <w:p w14:paraId="6445E1D9" w14:textId="77777777" w:rsidR="005C4A03" w:rsidRPr="002D5CEB" w:rsidRDefault="005C4A03" w:rsidP="002D5CEB">
            <w:pPr>
              <w:pStyle w:val="T4"/>
              <w:spacing w:before="0" w:beforeAutospacing="0" w:after="0" w:afterAutospacing="0" w:line="480" w:lineRule="auto"/>
            </w:pPr>
            <w:r w:rsidRPr="002D5CEB">
              <w:t>PD-1 blockade</w:t>
            </w:r>
          </w:p>
        </w:tc>
        <w:tc>
          <w:tcPr>
            <w:tcW w:w="4675" w:type="dxa"/>
          </w:tcPr>
          <w:p w14:paraId="67F62D34" w14:textId="77777777" w:rsidR="005C4A03" w:rsidRPr="002D5CEB" w:rsidRDefault="005C4A03" w:rsidP="002D5CEB">
            <w:pPr>
              <w:pStyle w:val="T"/>
              <w:spacing w:before="0" w:beforeAutospacing="0" w:after="0" w:afterAutospacing="0" w:line="480" w:lineRule="auto"/>
            </w:pPr>
            <w:proofErr w:type="spellStart"/>
            <w:r w:rsidRPr="002D5CEB">
              <w:t>Nivolumab</w:t>
            </w:r>
            <w:proofErr w:type="spellEnd"/>
            <w:r w:rsidRPr="002D5CEB">
              <w:t xml:space="preserve">, </w:t>
            </w:r>
            <w:proofErr w:type="spellStart"/>
            <w:r w:rsidRPr="002D5CEB">
              <w:t>Pembrolizumab</w:t>
            </w:r>
            <w:proofErr w:type="spellEnd"/>
            <w:r w:rsidRPr="002D5CEB">
              <w:t xml:space="preserve">, </w:t>
            </w:r>
            <w:proofErr w:type="spellStart"/>
            <w:r w:rsidRPr="002D5CEB">
              <w:t>Cemiplimab</w:t>
            </w:r>
            <w:proofErr w:type="spellEnd"/>
            <w:r w:rsidRPr="002D5CEB">
              <w:t xml:space="preserve">, </w:t>
            </w:r>
            <w:proofErr w:type="spellStart"/>
            <w:r w:rsidRPr="002D5CEB">
              <w:t>Dostarlimab</w:t>
            </w:r>
            <w:proofErr w:type="spellEnd"/>
            <w:r w:rsidRPr="002D5CEB">
              <w:t xml:space="preserve">, </w:t>
            </w:r>
            <w:proofErr w:type="spellStart"/>
            <w:r w:rsidRPr="002D5CEB">
              <w:t>Retifanlimab</w:t>
            </w:r>
            <w:proofErr w:type="spellEnd"/>
            <w:r w:rsidRPr="002D5CEB">
              <w:t xml:space="preserve">, </w:t>
            </w:r>
            <w:proofErr w:type="spellStart"/>
            <w:r w:rsidRPr="002D5CEB">
              <w:t>Toripalimab</w:t>
            </w:r>
            <w:proofErr w:type="spellEnd"/>
          </w:p>
        </w:tc>
      </w:tr>
      <w:tr w:rsidR="005C4A03" w:rsidRPr="002D5CEB" w14:paraId="7FE7F676" w14:textId="77777777" w:rsidTr="002B5526">
        <w:tc>
          <w:tcPr>
            <w:tcW w:w="4675" w:type="dxa"/>
          </w:tcPr>
          <w:p w14:paraId="762F0D55" w14:textId="77777777" w:rsidR="005C4A03" w:rsidRPr="002D5CEB" w:rsidRDefault="005C4A03" w:rsidP="002D5CEB">
            <w:pPr>
              <w:pStyle w:val="T4"/>
              <w:spacing w:before="0" w:beforeAutospacing="0" w:after="0" w:afterAutospacing="0" w:line="480" w:lineRule="auto"/>
            </w:pPr>
            <w:r w:rsidRPr="002D5CEB">
              <w:t>PD-L1 blockade</w:t>
            </w:r>
          </w:p>
        </w:tc>
        <w:tc>
          <w:tcPr>
            <w:tcW w:w="4675" w:type="dxa"/>
          </w:tcPr>
          <w:p w14:paraId="061F7569" w14:textId="77777777" w:rsidR="005C4A03" w:rsidRPr="002D5CEB" w:rsidRDefault="005C4A03" w:rsidP="002D5CEB">
            <w:pPr>
              <w:pStyle w:val="T"/>
              <w:spacing w:before="0" w:beforeAutospacing="0" w:after="0" w:afterAutospacing="0" w:line="480" w:lineRule="auto"/>
            </w:pPr>
            <w:r w:rsidRPr="002D5CEB">
              <w:t>Atezolizumab, Durvalumab, Avelumab</w:t>
            </w:r>
          </w:p>
        </w:tc>
      </w:tr>
      <w:tr w:rsidR="005C4A03" w:rsidRPr="002D5CEB" w14:paraId="51FE9686" w14:textId="77777777" w:rsidTr="002B5526">
        <w:tc>
          <w:tcPr>
            <w:tcW w:w="4675" w:type="dxa"/>
          </w:tcPr>
          <w:p w14:paraId="00E70B5A" w14:textId="77777777" w:rsidR="005C4A03" w:rsidRPr="002D5CEB" w:rsidRDefault="005C4A03" w:rsidP="002D5CEB">
            <w:pPr>
              <w:pStyle w:val="T4"/>
              <w:spacing w:before="0" w:beforeAutospacing="0" w:after="0" w:afterAutospacing="0" w:line="480" w:lineRule="auto"/>
            </w:pPr>
            <w:r w:rsidRPr="002D5CEB">
              <w:t>LAG-3 blockade</w:t>
            </w:r>
          </w:p>
        </w:tc>
        <w:tc>
          <w:tcPr>
            <w:tcW w:w="4675" w:type="dxa"/>
          </w:tcPr>
          <w:p w14:paraId="3AAB2030" w14:textId="77777777" w:rsidR="005C4A03" w:rsidRPr="002D5CEB" w:rsidRDefault="005C4A03" w:rsidP="002D5CEB">
            <w:pPr>
              <w:pStyle w:val="T"/>
              <w:spacing w:before="0" w:beforeAutospacing="0" w:after="0" w:afterAutospacing="0" w:line="480" w:lineRule="auto"/>
            </w:pPr>
            <w:proofErr w:type="spellStart"/>
            <w:r w:rsidRPr="002D5CEB">
              <w:t>Relatlimab</w:t>
            </w:r>
            <w:proofErr w:type="spellEnd"/>
          </w:p>
        </w:tc>
      </w:tr>
    </w:tbl>
    <w:p w14:paraId="33AD75ED" w14:textId="37686ED6" w:rsidR="002A6431" w:rsidRDefault="002A6431" w:rsidP="002D5CEB">
      <w:pPr>
        <w:spacing w:line="48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85"/>
        <w:gridCol w:w="7465"/>
      </w:tblGrid>
      <w:tr w:rsidR="00D16C1C" w:rsidRPr="002D5CEB" w14:paraId="7FE2CE19" w14:textId="77777777" w:rsidTr="00BD2E63">
        <w:tc>
          <w:tcPr>
            <w:tcW w:w="9350" w:type="dxa"/>
            <w:gridSpan w:val="2"/>
          </w:tcPr>
          <w:p w14:paraId="0773C896" w14:textId="77777777" w:rsidR="00D16C1C" w:rsidRPr="002D5CEB" w:rsidRDefault="00D16C1C" w:rsidP="00BD2E63">
            <w:pPr>
              <w:pStyle w:val="T1"/>
              <w:spacing w:line="480" w:lineRule="auto"/>
              <w:rPr>
                <w:rFonts w:ascii="Times New Roman" w:hAnsi="Times New Roman" w:cs="Times New Roman"/>
                <w:b/>
                <w:bCs/>
                <w:sz w:val="24"/>
                <w:szCs w:val="24"/>
              </w:rPr>
            </w:pPr>
            <w:commentRangeStart w:id="10"/>
            <w:r>
              <w:rPr>
                <w:rFonts w:ascii="Times New Roman" w:hAnsi="Times New Roman" w:cs="Times New Roman"/>
                <w:b/>
                <w:bCs/>
                <w:sz w:val="24"/>
                <w:szCs w:val="24"/>
              </w:rPr>
              <w:t xml:space="preserve">Table 6.9.2. </w:t>
            </w:r>
            <w:r w:rsidRPr="002D5CEB">
              <w:rPr>
                <w:rFonts w:ascii="Times New Roman" w:hAnsi="Times New Roman" w:cs="Times New Roman"/>
                <w:b/>
                <w:bCs/>
                <w:color w:val="FF0000"/>
                <w:sz w:val="24"/>
                <w:szCs w:val="24"/>
              </w:rPr>
              <w:t>ICI Myocarditis, Myositis, and Myasthenia</w:t>
            </w:r>
            <w:r>
              <w:rPr>
                <w:rFonts w:ascii="Times New Roman" w:hAnsi="Times New Roman" w:cs="Times New Roman"/>
                <w:b/>
                <w:bCs/>
                <w:color w:val="FF0000"/>
                <w:sz w:val="24"/>
                <w:szCs w:val="24"/>
              </w:rPr>
              <w:t>: Pathohistological and Clinical Diagnosis</w:t>
            </w:r>
            <w:commentRangeEnd w:id="10"/>
            <w:r>
              <w:rPr>
                <w:rStyle w:val="CommentReference"/>
              </w:rPr>
              <w:commentReference w:id="10"/>
            </w:r>
          </w:p>
        </w:tc>
      </w:tr>
      <w:tr w:rsidR="00D16C1C" w:rsidRPr="002D5CEB" w14:paraId="2DE32407" w14:textId="77777777" w:rsidTr="00BD2E63">
        <w:tc>
          <w:tcPr>
            <w:tcW w:w="1885" w:type="dxa"/>
          </w:tcPr>
          <w:p w14:paraId="3B098A58" w14:textId="77777777" w:rsidR="00D16C1C" w:rsidRPr="002D5CEB" w:rsidRDefault="00D16C1C" w:rsidP="00BD2E63">
            <w:pPr>
              <w:pStyle w:val="T4"/>
              <w:spacing w:line="480" w:lineRule="auto"/>
              <w:rPr>
                <w:rFonts w:ascii="Times New Roman" w:hAnsi="Times New Roman" w:cs="Times New Roman"/>
                <w:sz w:val="24"/>
                <w:szCs w:val="24"/>
              </w:rPr>
            </w:pPr>
            <w:r w:rsidRPr="002D5CEB">
              <w:rPr>
                <w:rFonts w:ascii="Times New Roman" w:hAnsi="Times New Roman" w:cs="Times New Roman"/>
                <w:sz w:val="24"/>
                <w:szCs w:val="24"/>
              </w:rPr>
              <w:t>Pathohistological diagnosis</w:t>
            </w:r>
          </w:p>
        </w:tc>
        <w:tc>
          <w:tcPr>
            <w:tcW w:w="7465" w:type="dxa"/>
          </w:tcPr>
          <w:p w14:paraId="780D3625" w14:textId="77777777" w:rsidR="00D16C1C" w:rsidRPr="002D5CEB" w:rsidRDefault="00D16C1C" w:rsidP="00BD2E63">
            <w:pPr>
              <w:pStyle w:val="T"/>
              <w:spacing w:line="480" w:lineRule="auto"/>
              <w:rPr>
                <w:rFonts w:ascii="Times New Roman" w:hAnsi="Times New Roman" w:cs="Times New Roman"/>
                <w:sz w:val="24"/>
                <w:szCs w:val="24"/>
              </w:rPr>
            </w:pPr>
            <w:r w:rsidRPr="002D5CEB">
              <w:rPr>
                <w:rFonts w:ascii="Times New Roman" w:hAnsi="Times New Roman" w:cs="Times New Roman"/>
                <w:b/>
                <w:bCs/>
                <w:sz w:val="24"/>
                <w:szCs w:val="24"/>
              </w:rPr>
              <w:t>Endomyocardial biopsy (EMB)</w:t>
            </w:r>
            <w:r w:rsidRPr="002D5CEB">
              <w:rPr>
                <w:rFonts w:ascii="Times New Roman" w:hAnsi="Times New Roman" w:cs="Times New Roman"/>
                <w:sz w:val="24"/>
                <w:szCs w:val="24"/>
              </w:rPr>
              <w:t xml:space="preserve"> shows inflammatory infiltrate with myocardial necrosis</w:t>
            </w:r>
          </w:p>
        </w:tc>
      </w:tr>
      <w:tr w:rsidR="00D16C1C" w:rsidRPr="002D5CEB" w14:paraId="4BC974C4" w14:textId="77777777" w:rsidTr="00BD2E63">
        <w:tc>
          <w:tcPr>
            <w:tcW w:w="1885" w:type="dxa"/>
            <w:vMerge w:val="restart"/>
          </w:tcPr>
          <w:p w14:paraId="7DE9DA4F" w14:textId="77777777" w:rsidR="00D16C1C" w:rsidRPr="002D5CEB" w:rsidRDefault="00D16C1C" w:rsidP="00BD2E63">
            <w:pPr>
              <w:pStyle w:val="T4"/>
              <w:spacing w:line="480" w:lineRule="auto"/>
              <w:rPr>
                <w:rFonts w:ascii="Times New Roman" w:hAnsi="Times New Roman" w:cs="Times New Roman"/>
                <w:sz w:val="24"/>
                <w:szCs w:val="24"/>
              </w:rPr>
            </w:pPr>
            <w:r w:rsidRPr="002D5CEB">
              <w:rPr>
                <w:rFonts w:ascii="Times New Roman" w:hAnsi="Times New Roman" w:cs="Times New Roman"/>
                <w:sz w:val="24"/>
                <w:szCs w:val="24"/>
              </w:rPr>
              <w:t>Clinical diagnosis</w:t>
            </w:r>
          </w:p>
        </w:tc>
        <w:tc>
          <w:tcPr>
            <w:tcW w:w="7465" w:type="dxa"/>
          </w:tcPr>
          <w:p w14:paraId="0F690AA1" w14:textId="77777777" w:rsidR="00D16C1C" w:rsidRPr="002D5CEB" w:rsidRDefault="00D16C1C" w:rsidP="00BD2E63">
            <w:pPr>
              <w:pStyle w:val="T"/>
              <w:spacing w:line="480" w:lineRule="auto"/>
              <w:rPr>
                <w:rFonts w:ascii="Times New Roman" w:hAnsi="Times New Roman" w:cs="Times New Roman"/>
                <w:sz w:val="24"/>
                <w:szCs w:val="24"/>
              </w:rPr>
            </w:pPr>
            <w:r w:rsidRPr="002D5CEB">
              <w:rPr>
                <w:rFonts w:ascii="Times New Roman" w:hAnsi="Times New Roman" w:cs="Times New Roman"/>
                <w:b/>
                <w:bCs/>
                <w:sz w:val="24"/>
                <w:szCs w:val="24"/>
              </w:rPr>
              <w:t>Troponin elevation</w:t>
            </w:r>
            <w:r w:rsidRPr="002D5CEB">
              <w:rPr>
                <w:rFonts w:ascii="Times New Roman" w:hAnsi="Times New Roman" w:cs="Times New Roman"/>
                <w:sz w:val="24"/>
                <w:szCs w:val="24"/>
              </w:rPr>
              <w:t xml:space="preserve"> with 1 major criteria or 2 minor criteria</w:t>
            </w:r>
          </w:p>
        </w:tc>
      </w:tr>
      <w:tr w:rsidR="00D16C1C" w:rsidRPr="002D5CEB" w14:paraId="4F157E2E" w14:textId="77777777" w:rsidTr="00BD2E63">
        <w:tc>
          <w:tcPr>
            <w:tcW w:w="1885" w:type="dxa"/>
            <w:vMerge/>
          </w:tcPr>
          <w:p w14:paraId="0A91587A" w14:textId="77777777" w:rsidR="00D16C1C" w:rsidRPr="002D5CEB" w:rsidRDefault="00D16C1C" w:rsidP="00BD2E63">
            <w:pPr>
              <w:spacing w:line="480" w:lineRule="auto"/>
              <w:rPr>
                <w:rFonts w:ascii="Times New Roman" w:hAnsi="Times New Roman" w:cs="Times New Roman"/>
                <w:sz w:val="24"/>
                <w:szCs w:val="24"/>
              </w:rPr>
            </w:pPr>
          </w:p>
        </w:tc>
        <w:tc>
          <w:tcPr>
            <w:tcW w:w="7465" w:type="dxa"/>
          </w:tcPr>
          <w:p w14:paraId="04FBE890" w14:textId="77777777" w:rsidR="00D16C1C" w:rsidRPr="002D5CEB" w:rsidRDefault="00D16C1C" w:rsidP="00BD2E63">
            <w:pPr>
              <w:pStyle w:val="T"/>
              <w:spacing w:line="480" w:lineRule="auto"/>
              <w:rPr>
                <w:rFonts w:ascii="Times New Roman" w:hAnsi="Times New Roman" w:cs="Times New Roman"/>
                <w:sz w:val="24"/>
                <w:szCs w:val="24"/>
              </w:rPr>
            </w:pPr>
            <w:r w:rsidRPr="002D5CEB">
              <w:rPr>
                <w:rFonts w:ascii="Times New Roman" w:hAnsi="Times New Roman" w:cs="Times New Roman"/>
                <w:b/>
                <w:bCs/>
                <w:sz w:val="24"/>
                <w:szCs w:val="24"/>
              </w:rPr>
              <w:t>Major criteria</w:t>
            </w:r>
            <w:r w:rsidRPr="002D5CEB">
              <w:rPr>
                <w:rFonts w:ascii="Times New Roman" w:hAnsi="Times New Roman" w:cs="Times New Roman"/>
                <w:sz w:val="24"/>
                <w:szCs w:val="24"/>
              </w:rPr>
              <w:t>: cardiac magnetic resonance [CMR] diagnostic for acute myocarditis based on modified Lake Louise criteria</w:t>
            </w:r>
          </w:p>
        </w:tc>
      </w:tr>
      <w:tr w:rsidR="00D16C1C" w:rsidRPr="002D5CEB" w14:paraId="2E5F3AE6" w14:textId="77777777" w:rsidTr="00BD2E63">
        <w:tc>
          <w:tcPr>
            <w:tcW w:w="1885" w:type="dxa"/>
            <w:vMerge/>
          </w:tcPr>
          <w:p w14:paraId="06968873" w14:textId="77777777" w:rsidR="00D16C1C" w:rsidRPr="002D5CEB" w:rsidRDefault="00D16C1C" w:rsidP="00BD2E63">
            <w:pPr>
              <w:spacing w:line="480" w:lineRule="auto"/>
              <w:rPr>
                <w:rFonts w:ascii="Times New Roman" w:hAnsi="Times New Roman" w:cs="Times New Roman"/>
                <w:sz w:val="24"/>
                <w:szCs w:val="24"/>
              </w:rPr>
            </w:pPr>
          </w:p>
        </w:tc>
        <w:tc>
          <w:tcPr>
            <w:tcW w:w="7465" w:type="dxa"/>
          </w:tcPr>
          <w:p w14:paraId="57FD602B" w14:textId="77777777" w:rsidR="00D16C1C" w:rsidRPr="002D5CEB" w:rsidRDefault="00D16C1C" w:rsidP="00BD2E63">
            <w:pPr>
              <w:pStyle w:val="T"/>
              <w:spacing w:line="480" w:lineRule="auto"/>
              <w:rPr>
                <w:rFonts w:ascii="Times New Roman" w:hAnsi="Times New Roman" w:cs="Times New Roman"/>
                <w:sz w:val="24"/>
                <w:szCs w:val="24"/>
              </w:rPr>
            </w:pPr>
            <w:r w:rsidRPr="002D5CEB">
              <w:rPr>
                <w:rFonts w:ascii="Times New Roman" w:hAnsi="Times New Roman" w:cs="Times New Roman"/>
                <w:b/>
                <w:bCs/>
                <w:sz w:val="24"/>
                <w:szCs w:val="24"/>
              </w:rPr>
              <w:t>Minor criteria</w:t>
            </w:r>
            <w:r w:rsidRPr="002D5CEB">
              <w:rPr>
                <w:rFonts w:ascii="Times New Roman" w:hAnsi="Times New Roman" w:cs="Times New Roman"/>
                <w:sz w:val="24"/>
                <w:szCs w:val="24"/>
              </w:rPr>
              <w:t xml:space="preserve">: clinical symptoms, arrhythmia, left ventricular systolic dysfunction, other </w:t>
            </w:r>
            <w:proofErr w:type="spellStart"/>
            <w:r w:rsidRPr="002D5CEB">
              <w:rPr>
                <w:rFonts w:ascii="Times New Roman" w:hAnsi="Times New Roman" w:cs="Times New Roman"/>
                <w:sz w:val="24"/>
                <w:szCs w:val="24"/>
              </w:rPr>
              <w:t>irAEs</w:t>
            </w:r>
            <w:proofErr w:type="spellEnd"/>
            <w:r w:rsidRPr="002D5CEB">
              <w:rPr>
                <w:rFonts w:ascii="Times New Roman" w:hAnsi="Times New Roman" w:cs="Times New Roman"/>
                <w:sz w:val="24"/>
                <w:szCs w:val="24"/>
              </w:rPr>
              <w:t>, or suggestive CMR</w:t>
            </w:r>
          </w:p>
        </w:tc>
      </w:tr>
    </w:tbl>
    <w:p w14:paraId="19CA4742" w14:textId="77777777" w:rsidR="00D16C1C" w:rsidRDefault="00D16C1C" w:rsidP="002D5CEB">
      <w:pPr>
        <w:spacing w:line="480" w:lineRule="auto"/>
        <w:rPr>
          <w:rFonts w:ascii="Times New Roman" w:hAnsi="Times New Roman" w:cs="Times New Roman"/>
          <w:sz w:val="24"/>
          <w:szCs w:val="24"/>
        </w:rPr>
      </w:pPr>
    </w:p>
    <w:p w14:paraId="196D80C1" w14:textId="77777777" w:rsidR="002F7A42" w:rsidRDefault="002F7A42" w:rsidP="002D5CEB">
      <w:pPr>
        <w:spacing w:line="480" w:lineRule="auto"/>
        <w:rPr>
          <w:rFonts w:ascii="Times New Roman" w:hAnsi="Times New Roman" w:cs="Times New Roman"/>
          <w:sz w:val="24"/>
          <w:szCs w:val="24"/>
        </w:rPr>
      </w:pPr>
      <w:bookmarkStart w:id="11" w:name="_GoBack"/>
      <w:bookmarkEnd w:id="11"/>
    </w:p>
    <w:p w14:paraId="18F13938" w14:textId="38F8F6F9" w:rsidR="002F7A42" w:rsidRPr="002F7A42" w:rsidRDefault="002F7A42" w:rsidP="002D5CEB">
      <w:pPr>
        <w:spacing w:line="480" w:lineRule="auto"/>
      </w:pPr>
      <w:r w:rsidRPr="002F7A42">
        <w:t>&lt;</w:t>
      </w:r>
      <w:proofErr w:type="gramStart"/>
      <w:r w:rsidRPr="002F7A42">
        <w:t>float-close</w:t>
      </w:r>
      <w:proofErr w:type="gramEnd"/>
      <w:r w:rsidRPr="002F7A42">
        <w:t>&gt;</w:t>
      </w:r>
    </w:p>
    <w:sectPr w:rsidR="002F7A42" w:rsidRPr="002F7A4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9" w:author="Fischer, Ashley" w:date="2025-10-29T09:47:00Z" w:initials="AF">
    <w:p w14:paraId="6D1769CE" w14:textId="77777777" w:rsidR="00D16C1C" w:rsidRDefault="00D16C1C" w:rsidP="00D16C1C">
      <w:pPr>
        <w:pStyle w:val="CommentText"/>
      </w:pPr>
      <w:r>
        <w:rPr>
          <w:rStyle w:val="CommentReference"/>
        </w:rPr>
        <w:annotationRef/>
      </w:r>
      <w:r>
        <w:t>Note to comp/copyeditor: please make sure suggested readings are set in alphabetical order. There should be no in-text reference citations. Please remove or disregard if author tries to insert</w:t>
      </w:r>
    </w:p>
  </w:comment>
  <w:comment w:id="10" w:author="Fischer, Ashley" w:date="2025-10-29T09:44:00Z" w:initials="AF">
    <w:p w14:paraId="7956FFFF" w14:textId="01B01044" w:rsidR="00D16C1C" w:rsidRDefault="00D16C1C" w:rsidP="00D16C1C">
      <w:pPr>
        <w:pStyle w:val="CommentText"/>
      </w:pPr>
      <w:r>
        <w:rPr>
          <w:rStyle w:val="CommentReference"/>
        </w:rPr>
        <w:annotationRef/>
      </w:r>
      <w:r>
        <w:t>Note to comp: query author to confirm table title is correctly set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1769CE" w15:done="0"/>
  <w15:commentEx w15:paraId="7956FF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935D92" w16cex:dateUtc="2025-10-29T13:47:00Z"/>
  <w16cex:commentExtensible w16cex:durableId="21447DA3" w16cex:dateUtc="2025-10-29T1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1769CE" w16cid:durableId="3C935D92"/>
  <w16cid:commentId w16cid:paraId="7956FFFF" w16cid:durableId="21447DA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ZapfDingbats">
    <w:altName w:val="Microsoft YaHei"/>
    <w:charset w:val="86"/>
    <w:family w:val="auto"/>
    <w:pitch w:val="default"/>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E0A37"/>
    <w:multiLevelType w:val="hybridMultilevel"/>
    <w:tmpl w:val="A1E442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5390EF1"/>
    <w:multiLevelType w:val="hybridMultilevel"/>
    <w:tmpl w:val="483EC46C"/>
    <w:lvl w:ilvl="0" w:tplc="3CF860B4">
      <w:start w:val="750"/>
      <w:numFmt w:val="bullet"/>
      <w:lvlText w:val="▲"/>
      <w:lvlJc w:val="left"/>
      <w:pPr>
        <w:ind w:left="720" w:hanging="360"/>
      </w:pPr>
      <w:rPr>
        <w:rFonts w:ascii="ZapfDingbats" w:eastAsia="ZapfDingbats" w:hAnsiTheme="minorHAnsi" w:cs="ZapfDingbats" w:hint="eastAsia"/>
        <w:color w:val="404040"/>
        <w:sz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1C63F5"/>
    <w:multiLevelType w:val="hybridMultilevel"/>
    <w:tmpl w:val="0032D0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024695A"/>
    <w:multiLevelType w:val="hybridMultilevel"/>
    <w:tmpl w:val="E786B34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535BDCC"/>
    <w:multiLevelType w:val="hybridMultilevel"/>
    <w:tmpl w:val="8250D5D4"/>
    <w:lvl w:ilvl="0" w:tplc="CAEE95DA">
      <w:start w:val="1"/>
      <w:numFmt w:val="decimal"/>
      <w:lvlText w:val="%1."/>
      <w:lvlJc w:val="left"/>
      <w:pPr>
        <w:ind w:left="720" w:hanging="360"/>
      </w:pPr>
      <w:rPr>
        <w:rFonts w:ascii="Times New Roman" w:hAnsi="Times New Roman" w:hint="default"/>
      </w:rPr>
    </w:lvl>
    <w:lvl w:ilvl="1" w:tplc="7336606A">
      <w:start w:val="1"/>
      <w:numFmt w:val="lowerLetter"/>
      <w:lvlText w:val="%2."/>
      <w:lvlJc w:val="left"/>
      <w:pPr>
        <w:ind w:left="1440" w:hanging="360"/>
      </w:pPr>
    </w:lvl>
    <w:lvl w:ilvl="2" w:tplc="1D08FB94">
      <w:start w:val="1"/>
      <w:numFmt w:val="lowerRoman"/>
      <w:lvlText w:val="%3."/>
      <w:lvlJc w:val="right"/>
      <w:pPr>
        <w:ind w:left="2160" w:hanging="180"/>
      </w:pPr>
    </w:lvl>
    <w:lvl w:ilvl="3" w:tplc="271CA15E">
      <w:start w:val="1"/>
      <w:numFmt w:val="decimal"/>
      <w:lvlText w:val="%4."/>
      <w:lvlJc w:val="left"/>
      <w:pPr>
        <w:ind w:left="2880" w:hanging="360"/>
      </w:pPr>
    </w:lvl>
    <w:lvl w:ilvl="4" w:tplc="3564989A">
      <w:start w:val="1"/>
      <w:numFmt w:val="lowerLetter"/>
      <w:lvlText w:val="%5."/>
      <w:lvlJc w:val="left"/>
      <w:pPr>
        <w:ind w:left="3600" w:hanging="360"/>
      </w:pPr>
    </w:lvl>
    <w:lvl w:ilvl="5" w:tplc="DC24D7C2">
      <w:start w:val="1"/>
      <w:numFmt w:val="lowerRoman"/>
      <w:lvlText w:val="%6."/>
      <w:lvlJc w:val="right"/>
      <w:pPr>
        <w:ind w:left="4320" w:hanging="180"/>
      </w:pPr>
    </w:lvl>
    <w:lvl w:ilvl="6" w:tplc="B01249EC">
      <w:start w:val="1"/>
      <w:numFmt w:val="decimal"/>
      <w:lvlText w:val="%7."/>
      <w:lvlJc w:val="left"/>
      <w:pPr>
        <w:ind w:left="5040" w:hanging="360"/>
      </w:pPr>
    </w:lvl>
    <w:lvl w:ilvl="7" w:tplc="59A2096E">
      <w:start w:val="1"/>
      <w:numFmt w:val="lowerLetter"/>
      <w:lvlText w:val="%8."/>
      <w:lvlJc w:val="left"/>
      <w:pPr>
        <w:ind w:left="5760" w:hanging="360"/>
      </w:pPr>
    </w:lvl>
    <w:lvl w:ilvl="8" w:tplc="FD8ED3EC">
      <w:start w:val="1"/>
      <w:numFmt w:val="lowerRoman"/>
      <w:lvlText w:val="%9."/>
      <w:lvlJc w:val="right"/>
      <w:pPr>
        <w:ind w:left="6480" w:hanging="180"/>
      </w:pPr>
    </w:lvl>
  </w:abstractNum>
  <w:abstractNum w:abstractNumId="5">
    <w:nsid w:val="1AD339EC"/>
    <w:multiLevelType w:val="hybridMultilevel"/>
    <w:tmpl w:val="6FCA07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554325"/>
    <w:multiLevelType w:val="hybridMultilevel"/>
    <w:tmpl w:val="3600F3D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14229CF"/>
    <w:multiLevelType w:val="hybridMultilevel"/>
    <w:tmpl w:val="BA6A0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1A32D6D"/>
    <w:multiLevelType w:val="hybridMultilevel"/>
    <w:tmpl w:val="AF1AF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32F0B4A"/>
    <w:multiLevelType w:val="hybridMultilevel"/>
    <w:tmpl w:val="8CA2B60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7897F1B"/>
    <w:multiLevelType w:val="hybridMultilevel"/>
    <w:tmpl w:val="EE641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9F3177F"/>
    <w:multiLevelType w:val="hybridMultilevel"/>
    <w:tmpl w:val="F98028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C653B4"/>
    <w:multiLevelType w:val="hybridMultilevel"/>
    <w:tmpl w:val="FC0C12E4"/>
    <w:lvl w:ilvl="0" w:tplc="04090003">
      <w:start w:val="1"/>
      <w:numFmt w:val="bullet"/>
      <w:lvlText w:val="o"/>
      <w:lvlJc w:val="left"/>
      <w:pPr>
        <w:ind w:left="1080" w:hanging="360"/>
      </w:pPr>
      <w:rPr>
        <w:rFonts w:ascii="Courier New" w:hAnsi="Courier New" w:cs="Courier New"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2133D6E"/>
    <w:multiLevelType w:val="hybridMultilevel"/>
    <w:tmpl w:val="C396FC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68E2A4E"/>
    <w:multiLevelType w:val="hybridMultilevel"/>
    <w:tmpl w:val="62107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A80181"/>
    <w:multiLevelType w:val="hybridMultilevel"/>
    <w:tmpl w:val="DB4817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387C3726"/>
    <w:multiLevelType w:val="hybridMultilevel"/>
    <w:tmpl w:val="EDF0CC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A922A4A"/>
    <w:multiLevelType w:val="hybridMultilevel"/>
    <w:tmpl w:val="815AE6FE"/>
    <w:lvl w:ilvl="0" w:tplc="FFFFFFFF">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nsid w:val="3C08468B"/>
    <w:multiLevelType w:val="hybridMultilevel"/>
    <w:tmpl w:val="06D20E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3F7372F9"/>
    <w:multiLevelType w:val="hybridMultilevel"/>
    <w:tmpl w:val="0C30E75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42C37EFE"/>
    <w:multiLevelType w:val="hybridMultilevel"/>
    <w:tmpl w:val="5A92FB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46363AA2"/>
    <w:multiLevelType w:val="hybridMultilevel"/>
    <w:tmpl w:val="E0C2FD5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4E32153F"/>
    <w:multiLevelType w:val="hybridMultilevel"/>
    <w:tmpl w:val="449EB3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2973EBB"/>
    <w:multiLevelType w:val="hybridMultilevel"/>
    <w:tmpl w:val="9F8E9E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540474E0"/>
    <w:multiLevelType w:val="hybridMultilevel"/>
    <w:tmpl w:val="8F542CF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548549D1"/>
    <w:multiLevelType w:val="hybridMultilevel"/>
    <w:tmpl w:val="B986D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4FE6D66"/>
    <w:multiLevelType w:val="hybridMultilevel"/>
    <w:tmpl w:val="3BEE69D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55736CF2"/>
    <w:multiLevelType w:val="hybridMultilevel"/>
    <w:tmpl w:val="910297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57D00BEA"/>
    <w:multiLevelType w:val="hybridMultilevel"/>
    <w:tmpl w:val="B38EBF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AAE07ED"/>
    <w:multiLevelType w:val="hybridMultilevel"/>
    <w:tmpl w:val="6E588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AF9488A"/>
    <w:multiLevelType w:val="hybridMultilevel"/>
    <w:tmpl w:val="4420D08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5BB56674"/>
    <w:multiLevelType w:val="hybridMultilevel"/>
    <w:tmpl w:val="9D343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5D541BC8"/>
    <w:multiLevelType w:val="hybridMultilevel"/>
    <w:tmpl w:val="22940A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5D9029BB"/>
    <w:multiLevelType w:val="hybridMultilevel"/>
    <w:tmpl w:val="24C28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61158E2"/>
    <w:multiLevelType w:val="hybridMultilevel"/>
    <w:tmpl w:val="0D90C5A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nsid w:val="697442CC"/>
    <w:multiLevelType w:val="hybridMultilevel"/>
    <w:tmpl w:val="A9300A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6AB158FB"/>
    <w:multiLevelType w:val="hybridMultilevel"/>
    <w:tmpl w:val="F000CD90"/>
    <w:lvl w:ilvl="0" w:tplc="04090003">
      <w:start w:val="1"/>
      <w:numFmt w:val="bullet"/>
      <w:lvlText w:val="o"/>
      <w:lvlJc w:val="left"/>
      <w:pPr>
        <w:ind w:left="108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6AD078B4"/>
    <w:multiLevelType w:val="hybridMultilevel"/>
    <w:tmpl w:val="D86C51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6F974A16"/>
    <w:multiLevelType w:val="hybridMultilevel"/>
    <w:tmpl w:val="0420B6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nsid w:val="6FA0292F"/>
    <w:multiLevelType w:val="multilevel"/>
    <w:tmpl w:val="5AF4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1163BC2"/>
    <w:multiLevelType w:val="hybridMultilevel"/>
    <w:tmpl w:val="654A20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715E0686"/>
    <w:multiLevelType w:val="hybridMultilevel"/>
    <w:tmpl w:val="044E72F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6741BCD"/>
    <w:multiLevelType w:val="hybridMultilevel"/>
    <w:tmpl w:val="602001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nsid w:val="793E030D"/>
    <w:multiLevelType w:val="hybridMultilevel"/>
    <w:tmpl w:val="E0D4B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A8F0C19"/>
    <w:multiLevelType w:val="hybridMultilevel"/>
    <w:tmpl w:val="815AE6F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nsid w:val="7EFB4936"/>
    <w:multiLevelType w:val="hybridMultilevel"/>
    <w:tmpl w:val="24C28C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1"/>
  </w:num>
  <w:num w:numId="3">
    <w:abstractNumId w:val="33"/>
  </w:num>
  <w:num w:numId="4">
    <w:abstractNumId w:val="41"/>
  </w:num>
  <w:num w:numId="5">
    <w:abstractNumId w:val="12"/>
  </w:num>
  <w:num w:numId="6">
    <w:abstractNumId w:val="24"/>
  </w:num>
  <w:num w:numId="7">
    <w:abstractNumId w:val="34"/>
  </w:num>
  <w:num w:numId="8">
    <w:abstractNumId w:val="9"/>
  </w:num>
  <w:num w:numId="9">
    <w:abstractNumId w:val="20"/>
  </w:num>
  <w:num w:numId="10">
    <w:abstractNumId w:val="16"/>
  </w:num>
  <w:num w:numId="11">
    <w:abstractNumId w:val="0"/>
  </w:num>
  <w:num w:numId="12">
    <w:abstractNumId w:val="23"/>
  </w:num>
  <w:num w:numId="13">
    <w:abstractNumId w:val="32"/>
  </w:num>
  <w:num w:numId="14">
    <w:abstractNumId w:val="44"/>
  </w:num>
  <w:num w:numId="15">
    <w:abstractNumId w:val="17"/>
  </w:num>
  <w:num w:numId="16">
    <w:abstractNumId w:val="26"/>
  </w:num>
  <w:num w:numId="17">
    <w:abstractNumId w:val="36"/>
  </w:num>
  <w:num w:numId="18">
    <w:abstractNumId w:val="13"/>
  </w:num>
  <w:num w:numId="19">
    <w:abstractNumId w:val="40"/>
  </w:num>
  <w:num w:numId="20">
    <w:abstractNumId w:val="18"/>
  </w:num>
  <w:num w:numId="21">
    <w:abstractNumId w:val="22"/>
  </w:num>
  <w:num w:numId="22">
    <w:abstractNumId w:val="42"/>
  </w:num>
  <w:num w:numId="23">
    <w:abstractNumId w:val="3"/>
  </w:num>
  <w:num w:numId="24">
    <w:abstractNumId w:val="8"/>
  </w:num>
  <w:num w:numId="25">
    <w:abstractNumId w:val="27"/>
  </w:num>
  <w:num w:numId="26">
    <w:abstractNumId w:val="21"/>
  </w:num>
  <w:num w:numId="27">
    <w:abstractNumId w:val="19"/>
  </w:num>
  <w:num w:numId="28">
    <w:abstractNumId w:val="43"/>
  </w:num>
  <w:num w:numId="29">
    <w:abstractNumId w:val="29"/>
  </w:num>
  <w:num w:numId="30">
    <w:abstractNumId w:val="14"/>
  </w:num>
  <w:num w:numId="31">
    <w:abstractNumId w:val="39"/>
  </w:num>
  <w:num w:numId="32">
    <w:abstractNumId w:val="31"/>
  </w:num>
  <w:num w:numId="33">
    <w:abstractNumId w:val="6"/>
  </w:num>
  <w:num w:numId="34">
    <w:abstractNumId w:val="2"/>
  </w:num>
  <w:num w:numId="35">
    <w:abstractNumId w:val="37"/>
  </w:num>
  <w:num w:numId="36">
    <w:abstractNumId w:val="30"/>
  </w:num>
  <w:num w:numId="37">
    <w:abstractNumId w:val="38"/>
  </w:num>
  <w:num w:numId="38">
    <w:abstractNumId w:val="15"/>
  </w:num>
  <w:num w:numId="39">
    <w:abstractNumId w:val="7"/>
  </w:num>
  <w:num w:numId="40">
    <w:abstractNumId w:val="10"/>
  </w:num>
  <w:num w:numId="41">
    <w:abstractNumId w:val="45"/>
  </w:num>
  <w:num w:numId="42">
    <w:abstractNumId w:val="35"/>
  </w:num>
  <w:num w:numId="43">
    <w:abstractNumId w:val="28"/>
  </w:num>
  <w:num w:numId="44">
    <w:abstractNumId w:val="5"/>
  </w:num>
  <w:num w:numId="45">
    <w:abstractNumId w:val="11"/>
  </w:num>
  <w:num w:numId="46">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scher, Ashley">
    <w15:presenceInfo w15:providerId="AD" w15:userId="S::Ashley.Fischer@wolterskluwer.com::2e4dcff1-9562-4dc1-a8ee-aeb152c0e2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zUyNDIxNjcwN7QwMjdU0lEKTi0uzszPAykwrAUAjeMNkCwAAAA="/>
  </w:docVars>
  <w:rsids>
    <w:rsidRoot w:val="00C573CB"/>
    <w:rsid w:val="00005051"/>
    <w:rsid w:val="0003106F"/>
    <w:rsid w:val="00050C53"/>
    <w:rsid w:val="00063E34"/>
    <w:rsid w:val="000674BA"/>
    <w:rsid w:val="000859F6"/>
    <w:rsid w:val="0008651E"/>
    <w:rsid w:val="000D26BE"/>
    <w:rsid w:val="000F554F"/>
    <w:rsid w:val="00120EA5"/>
    <w:rsid w:val="00131B6F"/>
    <w:rsid w:val="001A14AA"/>
    <w:rsid w:val="001A44B1"/>
    <w:rsid w:val="001C674F"/>
    <w:rsid w:val="001D4616"/>
    <w:rsid w:val="0023253F"/>
    <w:rsid w:val="00262299"/>
    <w:rsid w:val="00270700"/>
    <w:rsid w:val="0029574D"/>
    <w:rsid w:val="00295EE3"/>
    <w:rsid w:val="00297E1C"/>
    <w:rsid w:val="002A2796"/>
    <w:rsid w:val="002A6431"/>
    <w:rsid w:val="002D49EA"/>
    <w:rsid w:val="002D5CEB"/>
    <w:rsid w:val="002F7A42"/>
    <w:rsid w:val="003450A0"/>
    <w:rsid w:val="00350FCD"/>
    <w:rsid w:val="0036623D"/>
    <w:rsid w:val="003A225F"/>
    <w:rsid w:val="003E77B9"/>
    <w:rsid w:val="003F3E52"/>
    <w:rsid w:val="00432673"/>
    <w:rsid w:val="00445CAE"/>
    <w:rsid w:val="00452B31"/>
    <w:rsid w:val="0045714F"/>
    <w:rsid w:val="0047025D"/>
    <w:rsid w:val="004C44C2"/>
    <w:rsid w:val="00505074"/>
    <w:rsid w:val="00510803"/>
    <w:rsid w:val="00515B00"/>
    <w:rsid w:val="00516FF8"/>
    <w:rsid w:val="00555521"/>
    <w:rsid w:val="005935A0"/>
    <w:rsid w:val="005A3ADA"/>
    <w:rsid w:val="005C1647"/>
    <w:rsid w:val="005C4A03"/>
    <w:rsid w:val="005F0C6E"/>
    <w:rsid w:val="0068049F"/>
    <w:rsid w:val="006B4D51"/>
    <w:rsid w:val="006C4764"/>
    <w:rsid w:val="006E7A38"/>
    <w:rsid w:val="006F6E08"/>
    <w:rsid w:val="00700985"/>
    <w:rsid w:val="00705F7A"/>
    <w:rsid w:val="00706645"/>
    <w:rsid w:val="00711DAA"/>
    <w:rsid w:val="0073109A"/>
    <w:rsid w:val="00733D81"/>
    <w:rsid w:val="0075142E"/>
    <w:rsid w:val="00761271"/>
    <w:rsid w:val="0076670E"/>
    <w:rsid w:val="00774826"/>
    <w:rsid w:val="0078129C"/>
    <w:rsid w:val="0078263E"/>
    <w:rsid w:val="00791639"/>
    <w:rsid w:val="00795AA9"/>
    <w:rsid w:val="007A2D09"/>
    <w:rsid w:val="007B7017"/>
    <w:rsid w:val="007D4EE6"/>
    <w:rsid w:val="007D585D"/>
    <w:rsid w:val="007D6C4F"/>
    <w:rsid w:val="007D6E61"/>
    <w:rsid w:val="007E3AF8"/>
    <w:rsid w:val="008111A8"/>
    <w:rsid w:val="00815BAE"/>
    <w:rsid w:val="00877AB7"/>
    <w:rsid w:val="00890E30"/>
    <w:rsid w:val="008A62A6"/>
    <w:rsid w:val="008B52AC"/>
    <w:rsid w:val="008C5F1A"/>
    <w:rsid w:val="008C6C1C"/>
    <w:rsid w:val="008C7A41"/>
    <w:rsid w:val="009074BD"/>
    <w:rsid w:val="00935EB6"/>
    <w:rsid w:val="00954E6F"/>
    <w:rsid w:val="009E26BD"/>
    <w:rsid w:val="00A23E27"/>
    <w:rsid w:val="00A25DFF"/>
    <w:rsid w:val="00A33E33"/>
    <w:rsid w:val="00A354D1"/>
    <w:rsid w:val="00A9451D"/>
    <w:rsid w:val="00AC2CAD"/>
    <w:rsid w:val="00AD1297"/>
    <w:rsid w:val="00AD328D"/>
    <w:rsid w:val="00AD5810"/>
    <w:rsid w:val="00AE61EC"/>
    <w:rsid w:val="00AF350A"/>
    <w:rsid w:val="00AF40B8"/>
    <w:rsid w:val="00AF5538"/>
    <w:rsid w:val="00B01C40"/>
    <w:rsid w:val="00B05EC5"/>
    <w:rsid w:val="00B13C44"/>
    <w:rsid w:val="00B1420A"/>
    <w:rsid w:val="00B450B1"/>
    <w:rsid w:val="00B61F15"/>
    <w:rsid w:val="00B65DEF"/>
    <w:rsid w:val="00B84D2A"/>
    <w:rsid w:val="00B86C3D"/>
    <w:rsid w:val="00BB742F"/>
    <w:rsid w:val="00BE32D8"/>
    <w:rsid w:val="00BE6A3C"/>
    <w:rsid w:val="00BF2DB9"/>
    <w:rsid w:val="00C14C12"/>
    <w:rsid w:val="00C30341"/>
    <w:rsid w:val="00C53DCB"/>
    <w:rsid w:val="00C573CB"/>
    <w:rsid w:val="00CA3E5D"/>
    <w:rsid w:val="00CF53C9"/>
    <w:rsid w:val="00D121DC"/>
    <w:rsid w:val="00D16C1C"/>
    <w:rsid w:val="00D17029"/>
    <w:rsid w:val="00D21CAD"/>
    <w:rsid w:val="00D55A65"/>
    <w:rsid w:val="00D76B24"/>
    <w:rsid w:val="00D94D26"/>
    <w:rsid w:val="00DA3045"/>
    <w:rsid w:val="00DC439F"/>
    <w:rsid w:val="00DE2DAC"/>
    <w:rsid w:val="00DF55E8"/>
    <w:rsid w:val="00E05023"/>
    <w:rsid w:val="00E06C38"/>
    <w:rsid w:val="00E074C7"/>
    <w:rsid w:val="00E224DA"/>
    <w:rsid w:val="00E45CEB"/>
    <w:rsid w:val="00E46808"/>
    <w:rsid w:val="00EC75C9"/>
    <w:rsid w:val="00EE36FA"/>
    <w:rsid w:val="00F35481"/>
    <w:rsid w:val="00F36AB9"/>
    <w:rsid w:val="00F405E3"/>
    <w:rsid w:val="00F50070"/>
    <w:rsid w:val="00F55C7E"/>
    <w:rsid w:val="00F65045"/>
    <w:rsid w:val="00F76163"/>
    <w:rsid w:val="00F846CA"/>
    <w:rsid w:val="00F920AA"/>
    <w:rsid w:val="00F95AFC"/>
    <w:rsid w:val="00FA3AE4"/>
    <w:rsid w:val="00FB7491"/>
    <w:rsid w:val="00FC3762"/>
    <w:rsid w:val="00FE13FE"/>
    <w:rsid w:val="00FE68CD"/>
    <w:rsid w:val="06A52EFD"/>
    <w:rsid w:val="0DAECABE"/>
    <w:rsid w:val="1D866090"/>
    <w:rsid w:val="20FD1352"/>
    <w:rsid w:val="2CA8CE82"/>
    <w:rsid w:val="46A9B9B0"/>
    <w:rsid w:val="611900A6"/>
    <w:rsid w:val="67A9668C"/>
    <w:rsid w:val="7E12F2F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479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5538"/>
    <w:pPr>
      <w:spacing w:after="0" w:line="240" w:lineRule="auto"/>
    </w:pPr>
    <w:rPr>
      <w:rFonts w:ascii="Calibri" w:hAnsi="Calibri" w:cs="Calibri"/>
      <w:kern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5538"/>
    <w:pPr>
      <w:ind w:left="720"/>
    </w:pPr>
  </w:style>
  <w:style w:type="table" w:styleId="TableGrid">
    <w:name w:val="Table Grid"/>
    <w:basedOn w:val="TableNormal"/>
    <w:uiPriority w:val="39"/>
    <w:rsid w:val="007748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270700"/>
  </w:style>
  <w:style w:type="character" w:styleId="CommentReference">
    <w:name w:val="annotation reference"/>
    <w:basedOn w:val="DefaultParagraphFont"/>
    <w:uiPriority w:val="99"/>
    <w:semiHidden/>
    <w:unhideWhenUsed/>
    <w:rsid w:val="00270700"/>
    <w:rPr>
      <w:sz w:val="16"/>
      <w:szCs w:val="16"/>
    </w:rPr>
  </w:style>
  <w:style w:type="paragraph" w:styleId="NormalWeb">
    <w:name w:val="Normal (Web)"/>
    <w:basedOn w:val="Normal"/>
    <w:uiPriority w:val="99"/>
    <w:unhideWhenUsed/>
    <w:rsid w:val="00FE68CD"/>
    <w:pPr>
      <w:spacing w:before="100" w:beforeAutospacing="1" w:after="100" w:afterAutospacing="1"/>
    </w:pPr>
    <w:rPr>
      <w:rFonts w:ascii="Times New Roman" w:eastAsia="Times New Roman" w:hAnsi="Times New Roman" w:cs="Times New Roman"/>
      <w:sz w:val="24"/>
      <w:szCs w:val="24"/>
      <w:lang w:eastAsia="en-US"/>
      <w14:ligatures w14:val="none"/>
    </w:rPr>
  </w:style>
  <w:style w:type="character" w:styleId="Hyperlink">
    <w:name w:val="Hyperlink"/>
    <w:basedOn w:val="DefaultParagraphFont"/>
    <w:uiPriority w:val="99"/>
    <w:unhideWhenUsed/>
    <w:rsid w:val="00FE68CD"/>
    <w:rPr>
      <w:color w:val="0563C1" w:themeColor="hyperlink"/>
      <w:u w:val="single"/>
    </w:rPr>
  </w:style>
  <w:style w:type="character" w:customStyle="1" w:styleId="UnresolvedMention1">
    <w:name w:val="Unresolved Mention1"/>
    <w:basedOn w:val="DefaultParagraphFont"/>
    <w:uiPriority w:val="99"/>
    <w:semiHidden/>
    <w:unhideWhenUsed/>
    <w:rsid w:val="00FE68CD"/>
    <w:rPr>
      <w:color w:val="605E5C"/>
      <w:shd w:val="clear" w:color="auto" w:fill="E1DFDD"/>
    </w:rPr>
  </w:style>
  <w:style w:type="character" w:styleId="Strong">
    <w:name w:val="Strong"/>
    <w:basedOn w:val="DefaultParagraphFont"/>
    <w:uiPriority w:val="22"/>
    <w:qFormat/>
    <w:rsid w:val="00FE68CD"/>
    <w:rPr>
      <w:b/>
      <w:bCs/>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AF350A"/>
    <w:rPr>
      <w:b/>
      <w:bCs/>
    </w:rPr>
  </w:style>
  <w:style w:type="character" w:customStyle="1" w:styleId="CommentSubjectChar">
    <w:name w:val="Comment Subject Char"/>
    <w:basedOn w:val="CommentTextChar"/>
    <w:link w:val="CommentSubject"/>
    <w:uiPriority w:val="99"/>
    <w:semiHidden/>
    <w:rsid w:val="00AF350A"/>
    <w:rPr>
      <w:rFonts w:ascii="Calibri" w:hAnsi="Calibri" w:cs="Calibri"/>
      <w:b/>
      <w:bCs/>
      <w:kern w:val="0"/>
      <w:sz w:val="20"/>
      <w:szCs w:val="20"/>
    </w:rPr>
  </w:style>
  <w:style w:type="paragraph" w:styleId="Revision">
    <w:name w:val="Revision"/>
    <w:hidden/>
    <w:uiPriority w:val="99"/>
    <w:semiHidden/>
    <w:rsid w:val="00B1420A"/>
    <w:pPr>
      <w:spacing w:after="0" w:line="240" w:lineRule="auto"/>
    </w:pPr>
    <w:rPr>
      <w:rFonts w:ascii="Calibri" w:hAnsi="Calibri" w:cs="Calibri"/>
      <w:kern w:val="0"/>
    </w:rPr>
  </w:style>
  <w:style w:type="paragraph" w:styleId="BalloonText">
    <w:name w:val="Balloon Text"/>
    <w:basedOn w:val="Normal"/>
    <w:link w:val="BalloonTextChar"/>
    <w:uiPriority w:val="99"/>
    <w:semiHidden/>
    <w:unhideWhenUsed/>
    <w:rsid w:val="00131B6F"/>
    <w:rPr>
      <w:rFonts w:ascii="Tahoma" w:hAnsi="Tahoma" w:cs="Tahoma"/>
      <w:sz w:val="16"/>
      <w:szCs w:val="16"/>
    </w:rPr>
  </w:style>
  <w:style w:type="character" w:customStyle="1" w:styleId="BalloonTextChar">
    <w:name w:val="Balloon Text Char"/>
    <w:basedOn w:val="DefaultParagraphFont"/>
    <w:link w:val="BalloonText"/>
    <w:uiPriority w:val="99"/>
    <w:semiHidden/>
    <w:rsid w:val="00131B6F"/>
    <w:rPr>
      <w:rFonts w:ascii="Tahoma" w:hAnsi="Tahoma" w:cs="Tahoma"/>
      <w:kern w:val="0"/>
      <w:sz w:val="16"/>
      <w:szCs w:val="16"/>
    </w:rPr>
  </w:style>
  <w:style w:type="paragraph" w:customStyle="1" w:styleId="BL2-MID">
    <w:name w:val="BL2-MID"/>
    <w:basedOn w:val="Normal"/>
    <w:rPr>
      <w:b w:val="0"/>
      <w:i w:val="0"/>
      <w:caps w:val="0"/>
      <w:sz w:val="22"/>
    </w:rPr>
  </w:style>
  <w:style w:type="paragraph" w:customStyle="1" w:styleId="T1">
    <w:name w:val="T1"/>
    <w:basedOn w:val="Normal"/>
    <w:pPr>
      <w:spacing w:before="120" w:after="40"/>
    </w:pPr>
    <w:rPr>
      <w:b/>
      <w:i w:val="0"/>
      <w:caps w:val="0"/>
      <w:sz w:val="20"/>
    </w:rPr>
  </w:style>
  <w:style w:type="paragraph" w:customStyle="1" w:styleId="CN">
    <w:name w:val="CN"/>
    <w:basedOn w:val="Normal"/>
    <w:pPr>
      <w:spacing w:after="120"/>
      <w:jc w:val="center"/>
    </w:pPr>
    <w:rPr>
      <w:b/>
      <w:i w:val="0"/>
      <w:caps w:val="0"/>
      <w:sz w:val="48"/>
    </w:rPr>
  </w:style>
  <w:style w:type="paragraph" w:customStyle="1" w:styleId="NL-LAST">
    <w:name w:val="NL-LAST"/>
    <w:basedOn w:val="Normal"/>
    <w:pPr>
      <w:spacing w:after="120"/>
      <w:ind w:left="720"/>
    </w:pPr>
    <w:rPr>
      <w:b w:val="0"/>
      <w:i w:val="0"/>
      <w:caps w:val="0"/>
      <w:sz w:val="22"/>
    </w:rPr>
  </w:style>
  <w:style w:type="paragraph" w:customStyle="1" w:styleId="BL3-MID">
    <w:name w:val="BL3-MID"/>
    <w:basedOn w:val="Normal"/>
    <w:rPr>
      <w:b w:val="0"/>
      <w:i w:val="0"/>
      <w:caps w:val="0"/>
      <w:sz w:val="22"/>
    </w:rPr>
  </w:style>
  <w:style w:type="paragraph" w:customStyle="1" w:styleId="BL-FIRST">
    <w:name w:val="BL-FIRST"/>
    <w:basedOn w:val="Normal"/>
    <w:pPr>
      <w:spacing w:after="40"/>
      <w:ind w:left="720"/>
    </w:pPr>
    <w:rPr>
      <w:b w:val="0"/>
      <w:i w:val="0"/>
      <w:caps w:val="0"/>
      <w:sz w:val="22"/>
    </w:rPr>
  </w:style>
  <w:style w:type="paragraph" w:customStyle="1" w:styleId="BL3-FIRST">
    <w:name w:val="BL3-FIRST"/>
    <w:basedOn w:val="Normal"/>
    <w:rPr>
      <w:b w:val="0"/>
      <w:i w:val="0"/>
      <w:caps w:val="0"/>
      <w:sz w:val="22"/>
    </w:rPr>
  </w:style>
  <w:style w:type="paragraph" w:customStyle="1" w:styleId="CAU">
    <w:name w:val="CAU"/>
    <w:basedOn w:val="Normal"/>
    <w:pPr>
      <w:spacing w:after="120"/>
      <w:jc w:val="center"/>
    </w:pPr>
    <w:rPr>
      <w:b w:val="0"/>
      <w:i/>
      <w:caps w:val="0"/>
      <w:sz w:val="20"/>
    </w:rPr>
  </w:style>
  <w:style w:type="paragraph" w:customStyle="1" w:styleId="CT">
    <w:name w:val="CT"/>
    <w:basedOn w:val="Normal"/>
    <w:pPr>
      <w:spacing w:after="240"/>
      <w:jc w:val="center"/>
    </w:pPr>
    <w:rPr>
      <w:b/>
      <w:i w:val="0"/>
      <w:caps w:val="0"/>
      <w:sz w:val="56"/>
    </w:rPr>
  </w:style>
  <w:style w:type="paragraph" w:customStyle="1" w:styleId="BL-LAST">
    <w:name w:val="BL-LAST"/>
    <w:basedOn w:val="Normal"/>
    <w:pPr>
      <w:spacing w:after="120"/>
      <w:ind w:left="720"/>
    </w:pPr>
    <w:rPr>
      <w:b w:val="0"/>
      <w:i w:val="0"/>
      <w:caps w:val="0"/>
      <w:sz w:val="22"/>
    </w:rPr>
  </w:style>
  <w:style w:type="paragraph" w:customStyle="1" w:styleId="SRH1">
    <w:name w:val="SRH1"/>
    <w:basedOn w:val="Normal"/>
    <w:rPr>
      <w:b w:val="0"/>
      <w:i w:val="0"/>
      <w:caps w:val="0"/>
      <w:sz w:val="22"/>
    </w:rPr>
  </w:style>
  <w:style w:type="paragraph" w:customStyle="1" w:styleId="T4">
    <w:name w:val="T4"/>
    <w:basedOn w:val="Normal"/>
    <w:rPr>
      <w:b w:val="0"/>
      <w:i w:val="0"/>
      <w:caps w:val="0"/>
      <w:sz w:val="22"/>
    </w:rPr>
  </w:style>
  <w:style w:type="paragraph" w:customStyle="1" w:styleId="T">
    <w:name w:val="T"/>
    <w:basedOn w:val="Normal"/>
    <w:pPr>
      <w:spacing w:after="40"/>
    </w:pPr>
    <w:rPr>
      <w:b w:val="0"/>
      <w:i w:val="0"/>
      <w:caps w:val="0"/>
      <w:sz w:val="20"/>
    </w:rPr>
  </w:style>
  <w:style w:type="paragraph" w:customStyle="1" w:styleId="NL2-LAST">
    <w:name w:val="NL2-LAST"/>
    <w:basedOn w:val="Normal"/>
    <w:rPr>
      <w:b w:val="0"/>
      <w:i w:val="0"/>
      <w:caps w:val="0"/>
      <w:sz w:val="22"/>
    </w:rPr>
  </w:style>
  <w:style w:type="paragraph" w:customStyle="1" w:styleId="REF-U-FIRST">
    <w:name w:val="REF-U-FIRST"/>
    <w:basedOn w:val="Normal"/>
    <w:rPr>
      <w:b w:val="0"/>
      <w:i w:val="0"/>
      <w:caps w:val="0"/>
      <w:sz w:val="22"/>
    </w:rPr>
  </w:style>
  <w:style w:type="paragraph" w:customStyle="1" w:styleId="BL-REF-LAST">
    <w:name w:val="BL-REF-LAST"/>
    <w:basedOn w:val="Normal"/>
    <w:rPr>
      <w:b w:val="0"/>
      <w:i w:val="0"/>
      <w:caps w:val="0"/>
      <w:sz w:val="22"/>
    </w:rPr>
  </w:style>
  <w:style w:type="paragraph" w:customStyle="1" w:styleId="REF-U-MID">
    <w:name w:val="REF-U-MID"/>
    <w:basedOn w:val="Normal"/>
    <w:rPr>
      <w:b w:val="0"/>
      <w:i w:val="0"/>
      <w:caps w:val="0"/>
      <w:sz w:val="22"/>
    </w:rPr>
  </w:style>
  <w:style w:type="paragraph" w:customStyle="1" w:styleId="BL2-FIRST">
    <w:name w:val="BL2-FIRST"/>
    <w:basedOn w:val="Normal"/>
    <w:rPr>
      <w:b w:val="0"/>
      <w:i w:val="0"/>
      <w:caps w:val="0"/>
      <w:sz w:val="22"/>
    </w:rPr>
  </w:style>
  <w:style w:type="paragraph" w:customStyle="1" w:styleId="T2">
    <w:name w:val="T2"/>
    <w:basedOn w:val="Normal"/>
    <w:pPr>
      <w:jc w:val="center"/>
    </w:pPr>
    <w:rPr>
      <w:b/>
      <w:i w:val="0"/>
      <w:caps w:val="0"/>
      <w:sz w:val="20"/>
    </w:rPr>
  </w:style>
  <w:style w:type="paragraph" w:customStyle="1" w:styleId="BL-REF-MID">
    <w:name w:val="BL-REF-MID"/>
    <w:basedOn w:val="Normal"/>
    <w:rPr>
      <w:b w:val="0"/>
      <w:i w:val="0"/>
      <w:caps w:val="0"/>
      <w:sz w:val="22"/>
    </w:rPr>
  </w:style>
  <w:style w:type="paragraph" w:customStyle="1" w:styleId="NL-FIRST">
    <w:name w:val="NL-FIRST"/>
    <w:basedOn w:val="Normal"/>
    <w:pPr>
      <w:spacing w:after="40"/>
      <w:ind w:left="720"/>
    </w:pPr>
    <w:rPr>
      <w:b w:val="0"/>
      <w:i w:val="0"/>
      <w:caps w:val="0"/>
      <w:sz w:val="22"/>
    </w:rPr>
  </w:style>
  <w:style w:type="paragraph" w:customStyle="1" w:styleId="BL-MID">
    <w:name w:val="BL-MID"/>
    <w:basedOn w:val="Normal"/>
    <w:pPr>
      <w:spacing w:after="40"/>
      <w:ind w:left="720"/>
    </w:pPr>
    <w:rPr>
      <w:b w:val="0"/>
      <w:i w:val="0"/>
      <w:caps w:val="0"/>
      <w:sz w:val="22"/>
    </w:rPr>
  </w:style>
  <w:style w:type="paragraph" w:customStyle="1" w:styleId="H1">
    <w:name w:val="H1"/>
    <w:basedOn w:val="Normal"/>
    <w:pPr>
      <w:spacing w:before="240" w:after="120"/>
    </w:pPr>
    <w:rPr>
      <w:b/>
      <w:i w:val="0"/>
      <w:caps w:val="0"/>
      <w:sz w:val="32"/>
    </w:rPr>
  </w:style>
  <w:style w:type="paragraph" w:customStyle="1" w:styleId="PMI">
    <w:name w:val="PMI"/>
    <w:basedOn w:val="Normal"/>
    <w:rPr>
      <w:b w:val="0"/>
      <w:i/>
      <w:caps w:val="0"/>
      <w:sz w:val="18"/>
    </w:rPr>
  </w:style>
  <w:style w:type="paragraph" w:customStyle="1" w:styleId="BL3-LAST">
    <w:name w:val="BL3-LAST"/>
    <w:basedOn w:val="Normal"/>
    <w:rPr>
      <w:b w:val="0"/>
      <w:i w:val="0"/>
      <w:caps w:val="0"/>
      <w:sz w:val="22"/>
    </w:rPr>
  </w:style>
  <w:style w:type="paragraph" w:customStyle="1" w:styleId="SR">
    <w:name w:val="SR"/>
    <w:basedOn w:val="Normal"/>
    <w:rPr>
      <w:b w:val="0"/>
      <w:i w:val="0"/>
      <w:caps w:val="0"/>
      <w:sz w:val="22"/>
    </w:rPr>
  </w:style>
  <w:style w:type="paragraph" w:customStyle="1" w:styleId="BL2-LAST">
    <w:name w:val="BL2-LAST"/>
    <w:basedOn w:val="Normal"/>
    <w:rPr>
      <w:b w:val="0"/>
      <w:i w:val="0"/>
      <w:caps w:val="0"/>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5538"/>
    <w:pPr>
      <w:spacing w:after="0" w:line="240" w:lineRule="auto"/>
    </w:pPr>
    <w:rPr>
      <w:rFonts w:ascii="Calibri" w:hAnsi="Calibri" w:cs="Calibri"/>
      <w:kern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5538"/>
    <w:pPr>
      <w:ind w:left="720"/>
    </w:pPr>
  </w:style>
  <w:style w:type="table" w:styleId="TableGrid">
    <w:name w:val="Table Grid"/>
    <w:basedOn w:val="TableNormal"/>
    <w:uiPriority w:val="39"/>
    <w:rsid w:val="007748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270700"/>
  </w:style>
  <w:style w:type="character" w:styleId="CommentReference">
    <w:name w:val="annotation reference"/>
    <w:basedOn w:val="DefaultParagraphFont"/>
    <w:uiPriority w:val="99"/>
    <w:semiHidden/>
    <w:unhideWhenUsed/>
    <w:rsid w:val="00270700"/>
    <w:rPr>
      <w:sz w:val="16"/>
      <w:szCs w:val="16"/>
    </w:rPr>
  </w:style>
  <w:style w:type="paragraph" w:styleId="NormalWeb">
    <w:name w:val="Normal (Web)"/>
    <w:basedOn w:val="Normal"/>
    <w:uiPriority w:val="99"/>
    <w:unhideWhenUsed/>
    <w:rsid w:val="00FE68CD"/>
    <w:pPr>
      <w:spacing w:before="100" w:beforeAutospacing="1" w:after="100" w:afterAutospacing="1"/>
    </w:pPr>
    <w:rPr>
      <w:rFonts w:ascii="Times New Roman" w:eastAsia="Times New Roman" w:hAnsi="Times New Roman" w:cs="Times New Roman"/>
      <w:sz w:val="24"/>
      <w:szCs w:val="24"/>
      <w:lang w:eastAsia="en-US"/>
      <w14:ligatures w14:val="none"/>
    </w:rPr>
  </w:style>
  <w:style w:type="character" w:styleId="Hyperlink">
    <w:name w:val="Hyperlink"/>
    <w:basedOn w:val="DefaultParagraphFont"/>
    <w:uiPriority w:val="99"/>
    <w:unhideWhenUsed/>
    <w:rsid w:val="00FE68CD"/>
    <w:rPr>
      <w:color w:val="0563C1" w:themeColor="hyperlink"/>
      <w:u w:val="single"/>
    </w:rPr>
  </w:style>
  <w:style w:type="character" w:customStyle="1" w:styleId="UnresolvedMention1">
    <w:name w:val="Unresolved Mention1"/>
    <w:basedOn w:val="DefaultParagraphFont"/>
    <w:uiPriority w:val="99"/>
    <w:semiHidden/>
    <w:unhideWhenUsed/>
    <w:rsid w:val="00FE68CD"/>
    <w:rPr>
      <w:color w:val="605E5C"/>
      <w:shd w:val="clear" w:color="auto" w:fill="E1DFDD"/>
    </w:rPr>
  </w:style>
  <w:style w:type="character" w:styleId="Strong">
    <w:name w:val="Strong"/>
    <w:basedOn w:val="DefaultParagraphFont"/>
    <w:uiPriority w:val="22"/>
    <w:qFormat/>
    <w:rsid w:val="00FE68CD"/>
    <w:rPr>
      <w:b/>
      <w:bCs/>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AF350A"/>
    <w:rPr>
      <w:b/>
      <w:bCs/>
    </w:rPr>
  </w:style>
  <w:style w:type="character" w:customStyle="1" w:styleId="CommentSubjectChar">
    <w:name w:val="Comment Subject Char"/>
    <w:basedOn w:val="CommentTextChar"/>
    <w:link w:val="CommentSubject"/>
    <w:uiPriority w:val="99"/>
    <w:semiHidden/>
    <w:rsid w:val="00AF350A"/>
    <w:rPr>
      <w:rFonts w:ascii="Calibri" w:hAnsi="Calibri" w:cs="Calibri"/>
      <w:b/>
      <w:bCs/>
      <w:kern w:val="0"/>
      <w:sz w:val="20"/>
      <w:szCs w:val="20"/>
    </w:rPr>
  </w:style>
  <w:style w:type="paragraph" w:styleId="Revision">
    <w:name w:val="Revision"/>
    <w:hidden/>
    <w:uiPriority w:val="99"/>
    <w:semiHidden/>
    <w:rsid w:val="00B1420A"/>
    <w:pPr>
      <w:spacing w:after="0" w:line="240" w:lineRule="auto"/>
    </w:pPr>
    <w:rPr>
      <w:rFonts w:ascii="Calibri" w:hAnsi="Calibri" w:cs="Calibri"/>
      <w:kern w:val="0"/>
    </w:rPr>
  </w:style>
  <w:style w:type="paragraph" w:styleId="BalloonText">
    <w:name w:val="Balloon Text"/>
    <w:basedOn w:val="Normal"/>
    <w:link w:val="BalloonTextChar"/>
    <w:uiPriority w:val="99"/>
    <w:semiHidden/>
    <w:unhideWhenUsed/>
    <w:rsid w:val="00131B6F"/>
    <w:rPr>
      <w:rFonts w:ascii="Tahoma" w:hAnsi="Tahoma" w:cs="Tahoma"/>
      <w:sz w:val="16"/>
      <w:szCs w:val="16"/>
    </w:rPr>
  </w:style>
  <w:style w:type="character" w:customStyle="1" w:styleId="BalloonTextChar">
    <w:name w:val="Balloon Text Char"/>
    <w:basedOn w:val="DefaultParagraphFont"/>
    <w:link w:val="BalloonText"/>
    <w:uiPriority w:val="99"/>
    <w:semiHidden/>
    <w:rsid w:val="00131B6F"/>
    <w:rPr>
      <w:rFonts w:ascii="Tahoma"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1895460">
      <w:bodyDiv w:val="1"/>
      <w:marLeft w:val="0"/>
      <w:marRight w:val="0"/>
      <w:marTop w:val="0"/>
      <w:marBottom w:val="0"/>
      <w:divBdr>
        <w:top w:val="none" w:sz="0" w:space="0" w:color="auto"/>
        <w:left w:val="none" w:sz="0" w:space="0" w:color="auto"/>
        <w:bottom w:val="none" w:sz="0" w:space="0" w:color="auto"/>
        <w:right w:val="none" w:sz="0" w:space="0" w:color="auto"/>
      </w:divBdr>
    </w:div>
    <w:div w:id="814761071">
      <w:bodyDiv w:val="1"/>
      <w:marLeft w:val="0"/>
      <w:marRight w:val="0"/>
      <w:marTop w:val="0"/>
      <w:marBottom w:val="0"/>
      <w:divBdr>
        <w:top w:val="none" w:sz="0" w:space="0" w:color="auto"/>
        <w:left w:val="none" w:sz="0" w:space="0" w:color="auto"/>
        <w:bottom w:val="none" w:sz="0" w:space="0" w:color="auto"/>
        <w:right w:val="none" w:sz="0" w:space="0" w:color="auto"/>
      </w:divBdr>
      <w:divsChild>
        <w:div w:id="262735930">
          <w:marLeft w:val="0"/>
          <w:marRight w:val="0"/>
          <w:marTop w:val="0"/>
          <w:marBottom w:val="0"/>
          <w:divBdr>
            <w:top w:val="none" w:sz="0" w:space="0" w:color="auto"/>
            <w:left w:val="none" w:sz="0" w:space="0" w:color="auto"/>
            <w:bottom w:val="none" w:sz="0" w:space="0" w:color="auto"/>
            <w:right w:val="none" w:sz="0" w:space="0" w:color="auto"/>
          </w:divBdr>
          <w:divsChild>
            <w:div w:id="1758208543">
              <w:marLeft w:val="0"/>
              <w:marRight w:val="0"/>
              <w:marTop w:val="0"/>
              <w:marBottom w:val="0"/>
              <w:divBdr>
                <w:top w:val="none" w:sz="0" w:space="0" w:color="auto"/>
                <w:left w:val="none" w:sz="0" w:space="0" w:color="auto"/>
                <w:bottom w:val="none" w:sz="0" w:space="0" w:color="auto"/>
                <w:right w:val="none" w:sz="0" w:space="0" w:color="auto"/>
              </w:divBdr>
              <w:divsChild>
                <w:div w:id="1947615092">
                  <w:marLeft w:val="0"/>
                  <w:marRight w:val="0"/>
                  <w:marTop w:val="0"/>
                  <w:marBottom w:val="0"/>
                  <w:divBdr>
                    <w:top w:val="none" w:sz="0" w:space="0" w:color="auto"/>
                    <w:left w:val="none" w:sz="0" w:space="0" w:color="auto"/>
                    <w:bottom w:val="none" w:sz="0" w:space="0" w:color="auto"/>
                    <w:right w:val="none" w:sz="0" w:space="0" w:color="auto"/>
                  </w:divBdr>
                  <w:divsChild>
                    <w:div w:id="344938632">
                      <w:marLeft w:val="0"/>
                      <w:marRight w:val="0"/>
                      <w:marTop w:val="0"/>
                      <w:marBottom w:val="0"/>
                      <w:divBdr>
                        <w:top w:val="none" w:sz="0" w:space="0" w:color="auto"/>
                        <w:left w:val="none" w:sz="0" w:space="0" w:color="auto"/>
                        <w:bottom w:val="none" w:sz="0" w:space="0" w:color="auto"/>
                        <w:right w:val="none" w:sz="0" w:space="0" w:color="auto"/>
                      </w:divBdr>
                      <w:divsChild>
                        <w:div w:id="1264458514">
                          <w:marLeft w:val="0"/>
                          <w:marRight w:val="0"/>
                          <w:marTop w:val="0"/>
                          <w:marBottom w:val="0"/>
                          <w:divBdr>
                            <w:top w:val="none" w:sz="0" w:space="0" w:color="auto"/>
                            <w:left w:val="none" w:sz="0" w:space="0" w:color="auto"/>
                            <w:bottom w:val="none" w:sz="0" w:space="0" w:color="auto"/>
                            <w:right w:val="none" w:sz="0" w:space="0" w:color="auto"/>
                          </w:divBdr>
                          <w:divsChild>
                            <w:div w:id="207134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680046">
      <w:bodyDiv w:val="1"/>
      <w:marLeft w:val="0"/>
      <w:marRight w:val="0"/>
      <w:marTop w:val="0"/>
      <w:marBottom w:val="0"/>
      <w:divBdr>
        <w:top w:val="none" w:sz="0" w:space="0" w:color="auto"/>
        <w:left w:val="none" w:sz="0" w:space="0" w:color="auto"/>
        <w:bottom w:val="none" w:sz="0" w:space="0" w:color="auto"/>
        <w:right w:val="none" w:sz="0" w:space="0" w:color="auto"/>
      </w:divBdr>
    </w:div>
    <w:div w:id="1138691447">
      <w:bodyDiv w:val="1"/>
      <w:marLeft w:val="0"/>
      <w:marRight w:val="0"/>
      <w:marTop w:val="0"/>
      <w:marBottom w:val="0"/>
      <w:divBdr>
        <w:top w:val="none" w:sz="0" w:space="0" w:color="auto"/>
        <w:left w:val="none" w:sz="0" w:space="0" w:color="auto"/>
        <w:bottom w:val="none" w:sz="0" w:space="0" w:color="auto"/>
        <w:right w:val="none" w:sz="0" w:space="0" w:color="auto"/>
      </w:divBdr>
    </w:div>
    <w:div w:id="2020110240">
      <w:bodyDiv w:val="1"/>
      <w:marLeft w:val="0"/>
      <w:marRight w:val="0"/>
      <w:marTop w:val="0"/>
      <w:marBottom w:val="0"/>
      <w:divBdr>
        <w:top w:val="none" w:sz="0" w:space="0" w:color="auto"/>
        <w:left w:val="none" w:sz="0" w:space="0" w:color="auto"/>
        <w:bottom w:val="none" w:sz="0" w:space="0" w:color="auto"/>
        <w:right w:val="none" w:sz="0" w:space="0" w:color="auto"/>
      </w:divBdr>
    </w:div>
    <w:div w:id="2040275669">
      <w:bodyDiv w:val="1"/>
      <w:marLeft w:val="0"/>
      <w:marRight w:val="0"/>
      <w:marTop w:val="0"/>
      <w:marBottom w:val="0"/>
      <w:divBdr>
        <w:top w:val="none" w:sz="0" w:space="0" w:color="auto"/>
        <w:left w:val="none" w:sz="0" w:space="0" w:color="auto"/>
        <w:bottom w:val="none" w:sz="0" w:space="0" w:color="auto"/>
        <w:right w:val="none" w:sz="0" w:space="0" w:color="auto"/>
      </w:divBdr>
    </w:div>
    <w:div w:id="21123856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0" Type="http://schemas.microsoft.com/office/2016/09/relationships/commentsIds" Target="commentsId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F20FE-888A-4A9C-B7E4-06DBFB547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30</Pages>
  <Words>6133</Words>
  <Characters>34963</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Chia-Yun</dc:creator>
  <cp:keywords/>
  <dc:description/>
  <cp:lastModifiedBy>S4C</cp:lastModifiedBy>
  <cp:revision>5</cp:revision>
  <dcterms:created xsi:type="dcterms:W3CDTF">2025-10-29T13:30:00Z</dcterms:created>
  <dcterms:modified xsi:type="dcterms:W3CDTF">2026-01-27T09:19:00Z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ca04542ab29405c37846831008d965d58bbaa2f1746a6a6cb240b6206dfc5396</vt:lpwstr>
  </property>
  <property fmtid="{D5CDD505-2E9C-101B-9397-08002B2CF9AE}" pid="3" name="MSIP_Label_fe6ee112-9e5c-4f16-b63d-fcad06e1707e_Enabled">
    <vt:lpwstr>true</vt:lpwstr>
  </property>
  <property fmtid="{D5CDD505-2E9C-101B-9397-08002B2CF9AE}" pid="4" name="MSIP_Label_fe6ee112-9e5c-4f16-b63d-fcad06e1707e_SetDate">
    <vt:lpwstr>2025-10-29T13:30:32Z</vt:lpwstr>
  </property>
  <property fmtid="{D5CDD505-2E9C-101B-9397-08002B2CF9AE}" pid="5" name="MSIP_Label_fe6ee112-9e5c-4f16-b63d-fcad06e1707e_Method">
    <vt:lpwstr>Standard</vt:lpwstr>
  </property>
  <property fmtid="{D5CDD505-2E9C-101B-9397-08002B2CF9AE}" pid="6" name="MSIP_Label_fe6ee112-9e5c-4f16-b63d-fcad06e1707e_Name">
    <vt:lpwstr>Internal Use</vt:lpwstr>
  </property>
  <property fmtid="{D5CDD505-2E9C-101B-9397-08002B2CF9AE}" pid="7" name="MSIP_Label_fe6ee112-9e5c-4f16-b63d-fcad06e1707e_SiteId">
    <vt:lpwstr>8ac76c91-e7f1-41ff-a89c-3553b2da2c17</vt:lpwstr>
  </property>
  <property fmtid="{D5CDD505-2E9C-101B-9397-08002B2CF9AE}" pid="8" name="MSIP_Label_fe6ee112-9e5c-4f16-b63d-fcad06e1707e_ActionId">
    <vt:lpwstr>fe5ea2a3-3779-455e-8090-dbd2fbef25bb</vt:lpwstr>
  </property>
  <property fmtid="{D5CDD505-2E9C-101B-9397-08002B2CF9AE}" pid="9" name="MSIP_Label_fe6ee112-9e5c-4f16-b63d-fcad06e1707e_ContentBits">
    <vt:lpwstr>0</vt:lpwstr>
  </property>
  <property fmtid="{D5CDD505-2E9C-101B-9397-08002B2CF9AE}" pid="10" name="MSIP_Label_fe6ee112-9e5c-4f16-b63d-fcad06e1707e_Tag">
    <vt:lpwstr>10, 3, 0, 1</vt:lpwstr>
  </property>
</Properties>
</file>