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0BD4" w:rsidRPr="00E95765" w:rsidRDefault="00C40BF9">
      <w:pPr>
        <w:pStyle w:val="CN"/>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E95765">
        <w:rPr>
          <w:rStyle w:val="Tag"/>
          <w:rFonts w:ascii="Times New Roman" w:eastAsia="Times New Roman" w:hAnsi="Times New Roman" w:cs="Times New Roman"/>
          <w:b/>
          <w:bCs/>
          <w:sz w:val="24"/>
          <w:szCs w:val="24"/>
        </w:rPr>
        <w:t>&lt;CN&gt;</w:t>
      </w:r>
      <w:r w:rsidRPr="00E95765">
        <w:rPr>
          <w:rStyle w:val="CW"/>
          <w:rFonts w:ascii="Times New Roman" w:eastAsia="Times New Roman" w:hAnsi="Times New Roman" w:cs="Times New Roman"/>
          <w:b/>
          <w:bCs/>
          <w:sz w:val="24"/>
          <w:szCs w:val="24"/>
        </w:rPr>
        <w:t>Chapter</w:t>
      </w:r>
      <w:r w:rsidRPr="00E95765">
        <w:rPr>
          <w:rFonts w:ascii="Times New Roman" w:eastAsia="Times New Roman" w:hAnsi="Times New Roman" w:cs="Times New Roman"/>
          <w:b/>
          <w:bCs/>
          <w:sz w:val="24"/>
          <w:szCs w:val="24"/>
        </w:rPr>
        <w:t xml:space="preserve"> </w:t>
      </w:r>
      <w:r w:rsidRPr="00E95765">
        <w:rPr>
          <w:rStyle w:val="CN0"/>
          <w:rFonts w:ascii="Times New Roman" w:eastAsia="Times New Roman" w:hAnsi="Times New Roman" w:cs="Times New Roman"/>
          <w:b/>
          <w:bCs/>
          <w:sz w:val="24"/>
          <w:szCs w:val="24"/>
        </w:rPr>
        <w:t>5</w:t>
      </w:r>
    </w:p>
    <w:p w:rsidR="00D80BD4" w:rsidRPr="00E95765" w:rsidRDefault="00E95765">
      <w:pPr>
        <w:pStyle w:val="CT"/>
        <w:spacing w:before="100" w:beforeAutospacing="1" w:after="100" w:afterAutospacing="1" w:line="480" w:lineRule="auto"/>
        <w:contextualSpacing/>
        <w:outlineLvl w:val="2"/>
        <w:rPr>
          <w:rFonts w:ascii="Times New Roman" w:eastAsia="Times New Roman" w:hAnsi="Times New Roman" w:cs="Times New Roman"/>
          <w:b/>
          <w:bCs/>
          <w:sz w:val="24"/>
          <w:szCs w:val="24"/>
          <w:highlight w:val="yellow"/>
        </w:rPr>
      </w:pPr>
      <w:r w:rsidRPr="00E95765">
        <w:rPr>
          <w:rStyle w:val="Tag"/>
          <w:rFonts w:ascii="Times New Roman" w:eastAsia="Times New Roman" w:hAnsi="Times New Roman" w:cs="Times New Roman"/>
          <w:b/>
          <w:bCs/>
          <w:sz w:val="24"/>
          <w:szCs w:val="24"/>
          <w:highlight w:val="yellow"/>
        </w:rPr>
        <w:t>&lt;Ct&gt;</w:t>
      </w:r>
      <w:r w:rsidRPr="00E95765">
        <w:rPr>
          <w:rFonts w:ascii="Times New Roman" w:eastAsia="Times New Roman" w:hAnsi="Times New Roman" w:cs="Times New Roman"/>
          <w:b/>
          <w:bCs/>
          <w:sz w:val="24"/>
          <w:szCs w:val="24"/>
          <w:highlight w:val="yellow"/>
        </w:rPr>
        <w:t xml:space="preserve">Baseline Evaluation, Patient Selection, </w:t>
      </w:r>
      <w:r w:rsidRPr="00E95765">
        <w:rPr>
          <w:rFonts w:ascii="Times New Roman" w:eastAsia="Times New Roman" w:hAnsi="Times New Roman" w:cs="Times New Roman"/>
          <w:b/>
          <w:bCs/>
          <w:sz w:val="24"/>
          <w:szCs w:val="24"/>
          <w:highlight w:val="green"/>
        </w:rPr>
        <w:t>Cell</w:t>
      </w:r>
      <w:r w:rsidRPr="00E95765">
        <w:rPr>
          <w:rFonts w:ascii="Times New Roman" w:eastAsia="Times New Roman" w:hAnsi="Times New Roman" w:cs="Times New Roman"/>
          <w:b/>
          <w:bCs/>
          <w:sz w:val="24"/>
          <w:szCs w:val="24"/>
          <w:highlight w:val="yellow"/>
        </w:rPr>
        <w:t xml:space="preserve"> Harvesting</w:t>
      </w:r>
    </w:p>
    <w:p w:rsidR="00D80BD4" w:rsidRPr="00E95765" w:rsidRDefault="00C40BF9" w:rsidP="00B86F94">
      <w:pPr>
        <w:pStyle w:val="TXT-FLUSH0"/>
        <w:spacing w:before="100" w:beforeAutospacing="1" w:after="100" w:afterAutospacing="1" w:line="480" w:lineRule="auto"/>
        <w:contextualSpacing/>
      </w:pPr>
      <w:r w:rsidRPr="00E95765">
        <w:t>Patient evaluation for cellular immunotherapies is a fluid and extensive multistep process requiring screening at various stages of treatment planning. Clinical eligibility requirements are largely based on cell therapy type, disease, therapeutic contexts (e.g., regulatory-approved product</w:t>
      </w:r>
      <w:r w:rsidRPr="00E95765">
        <w:rPr>
          <w:highlight w:val="green"/>
        </w:rPr>
        <w:t xml:space="preserve"> vs. </w:t>
      </w:r>
      <w:r w:rsidRPr="00E95765">
        <w:t xml:space="preserve">investigational), logistics, and most importantly – informed consent. For regulatory-approved products, eligibility considerations should caution against strict adherence to stringent trial criteria given evolving “real world” data showcasing efficacy among those deemed “ineligible” in seminal registration CAR T trials. Thus, practical data supports cautiously broader eligibility to facilitate access to such patients, stipulating prompt </w:t>
      </w:r>
      <w:proofErr w:type="gramStart"/>
      <w:r w:rsidRPr="00E95765">
        <w:t>access</w:t>
      </w:r>
      <w:proofErr w:type="gramEnd"/>
      <w:r w:rsidRPr="00E95765">
        <w:t xml:space="preserve"> to multidisciplinary evaluation for optimization of comorbidities. Ultimately, early referral for high-risk patients to specialized cell therapy centers enables timely eligibility assessment, patient/family counseling, caregiver support, and geographic logistics to minimize therapeutic access delays and adverse outcomes.</w:t>
      </w:r>
    </w:p>
    <w:p w:rsidR="00D80BD4" w:rsidRPr="00E95765" w:rsidRDefault="00E95765">
      <w:pPr>
        <w:pStyle w:val="H1"/>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E95765">
        <w:rPr>
          <w:rStyle w:val="Tag"/>
          <w:rFonts w:ascii="Times New Roman" w:eastAsia="Times New Roman" w:hAnsi="Times New Roman" w:cs="Times New Roman"/>
          <w:b/>
          <w:bCs/>
          <w:sz w:val="24"/>
          <w:szCs w:val="24"/>
          <w:highlight w:val="yellow"/>
        </w:rPr>
        <w:t>&lt;H1&gt;</w:t>
      </w:r>
      <w:r w:rsidRPr="00E95765">
        <w:rPr>
          <w:rFonts w:ascii="Times New Roman" w:eastAsia="Times New Roman" w:hAnsi="Times New Roman" w:cs="Times New Roman"/>
          <w:b/>
          <w:bCs/>
          <w:sz w:val="24"/>
          <w:szCs w:val="24"/>
          <w:highlight w:val="yellow"/>
        </w:rPr>
        <w:t>Informed Consent</w:t>
      </w:r>
    </w:p>
    <w:p w:rsidR="00D80BD4" w:rsidRPr="00E95765" w:rsidRDefault="00C40BF9">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Comprehensive informed consent is critical to ensure patients and families understand the risks, benefits, and logistical demands of cellular immunotherapies. Clinicians must detail procedural risks, such as bleeding or infection from biopsies, catheter placement, </w:t>
      </w:r>
      <w:proofErr w:type="spellStart"/>
      <w:r w:rsidRPr="00E95765">
        <w:rPr>
          <w:rFonts w:ascii="Times New Roman" w:eastAsia="Times New Roman" w:hAnsi="Times New Roman" w:cs="Times New Roman"/>
          <w:sz w:val="24"/>
          <w:szCs w:val="24"/>
        </w:rPr>
        <w:t>leukapheresis</w:t>
      </w:r>
      <w:proofErr w:type="spellEnd"/>
      <w:r w:rsidRPr="00E95765">
        <w:rPr>
          <w:rFonts w:ascii="Times New Roman" w:eastAsia="Times New Roman" w:hAnsi="Times New Roman" w:cs="Times New Roman"/>
          <w:sz w:val="24"/>
          <w:szCs w:val="24"/>
        </w:rPr>
        <w:t xml:space="preserve">, or tumor resection for TILs; therapy-associated toxicities, including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xml:space="preserve"> specific toxicities, CRS, ICANS, or I</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2-induced capillary leak syndrome (where applicable); and o</w:t>
      </w:r>
      <w:r w:rsidRPr="00E95765">
        <w:rPr>
          <w:rFonts w:ascii="Times New Roman" w:eastAsia="Times New Roman" w:hAnsi="Times New Roman" w:cs="Times New Roman"/>
          <w:sz w:val="24"/>
          <w:szCs w:val="24"/>
          <w:highlight w:val="green"/>
        </w:rPr>
        <w:t>n-</w:t>
      </w:r>
      <w:r w:rsidRPr="00E95765">
        <w:rPr>
          <w:rFonts w:ascii="Times New Roman" w:eastAsia="Times New Roman" w:hAnsi="Times New Roman" w:cs="Times New Roman"/>
          <w:sz w:val="24"/>
          <w:szCs w:val="24"/>
        </w:rPr>
        <w:t xml:space="preserve">target/off-tumor. Logistical challenges, including residential proximity to treatment centers (within 1–2 hours for 4 weeks post infusion), need for 24/7 caregiver support, and protracted hospitalization may impose psychosocial and financial </w:t>
      </w:r>
      <w:r w:rsidRPr="00E95765">
        <w:rPr>
          <w:rFonts w:ascii="Times New Roman" w:eastAsia="Times New Roman" w:hAnsi="Times New Roman" w:cs="Times New Roman"/>
          <w:sz w:val="24"/>
          <w:szCs w:val="24"/>
        </w:rPr>
        <w:lastRenderedPageBreak/>
        <w:t xml:space="preserve">burdens. Manufacturing uncertainties including delays or failures, risk of disease </w:t>
      </w:r>
      <w:proofErr w:type="gramStart"/>
      <w:r w:rsidRPr="00E95765">
        <w:rPr>
          <w:rFonts w:ascii="Times New Roman" w:eastAsia="Times New Roman" w:hAnsi="Times New Roman" w:cs="Times New Roman"/>
          <w:sz w:val="24"/>
          <w:szCs w:val="24"/>
        </w:rPr>
        <w:t>progression,</w:t>
      </w:r>
      <w:proofErr w:type="gramEnd"/>
      <w:r w:rsidRPr="00E95765">
        <w:rPr>
          <w:rFonts w:ascii="Times New Roman" w:eastAsia="Times New Roman" w:hAnsi="Times New Roman" w:cs="Times New Roman"/>
          <w:sz w:val="24"/>
          <w:szCs w:val="24"/>
        </w:rPr>
        <w:t xml:space="preserve"> and potential for long-term </w:t>
      </w:r>
      <w:proofErr w:type="spellStart"/>
      <w:r w:rsidRPr="00E95765">
        <w:rPr>
          <w:rFonts w:ascii="Times New Roman" w:eastAsia="Times New Roman" w:hAnsi="Times New Roman" w:cs="Times New Roman"/>
          <w:sz w:val="24"/>
          <w:szCs w:val="24"/>
        </w:rPr>
        <w:t>genotoxicity</w:t>
      </w:r>
      <w:proofErr w:type="spellEnd"/>
      <w:r w:rsidRPr="00E95765">
        <w:rPr>
          <w:rFonts w:ascii="Times New Roman" w:eastAsia="Times New Roman" w:hAnsi="Times New Roman" w:cs="Times New Roman"/>
          <w:sz w:val="24"/>
          <w:szCs w:val="24"/>
        </w:rPr>
        <w:t xml:space="preserve"> risks must be included during the consenting process. </w:t>
      </w:r>
      <w:r w:rsidRPr="00E95765">
        <w:rPr>
          <w:rStyle w:val="TableCitation"/>
          <w:rFonts w:ascii="Times New Roman" w:eastAsia="Times New Roman" w:hAnsi="Times New Roman" w:cs="Times New Roman"/>
          <w:sz w:val="24"/>
          <w:szCs w:val="24"/>
        </w:rPr>
        <w:t>Table 5.1</w:t>
      </w:r>
      <w:r w:rsidRPr="00E95765">
        <w:rPr>
          <w:rFonts w:ascii="Times New Roman" w:eastAsia="Times New Roman" w:hAnsi="Times New Roman" w:cs="Times New Roman"/>
          <w:sz w:val="24"/>
          <w:szCs w:val="24"/>
        </w:rPr>
        <w:t xml:space="preserve"> summarizes these components.</w:t>
      </w:r>
    </w:p>
    <w:p w:rsidR="00D80BD4" w:rsidRPr="00E95765" w:rsidRDefault="00C40BF9" w:rsidP="00B86F94">
      <w:pPr>
        <w:pStyle w:val="PMI"/>
      </w:pPr>
      <w:r w:rsidRPr="00E95765">
        <w:rPr>
          <w:rFonts w:ascii="Times New Roman" w:eastAsia="Times New Roman" w:hAnsi="Times New Roman" w:cs="Times New Roman"/>
          <w:sz w:val="24"/>
          <w:szCs w:val="24"/>
        </w:rPr>
        <w:t xml:space="preserve">&lt;INSERT </w:t>
      </w:r>
      <w:sdt>
        <w:sdtPr>
          <w:rPr>
            <w:rFonts w:ascii="Times New Roman" w:eastAsia="Times New Roman" w:hAnsi="Times New Roman" w:cs="Times New Roman"/>
            <w:sz w:val="24"/>
            <w:szCs w:val="24"/>
          </w:rPr>
          <w:alias w:val="Table Citation"/>
          <w:tag w:val="tab_cite"/>
          <w:id w:val="1808893839"/>
          <w:placeholder>
            <w:docPart w:val="DefaultPlaceholder_1082065158"/>
          </w:placeholder>
        </w:sdtPr>
        <w:sdtEndPr/>
        <w:sdtContent>
          <w:r w:rsidRPr="00E95765">
            <w:rPr>
              <w:rFonts w:ascii="Times New Roman" w:eastAsia="Times New Roman" w:hAnsi="Times New Roman" w:cs="Times New Roman"/>
              <w:sz w:val="24"/>
              <w:szCs w:val="24"/>
            </w:rPr>
            <w:t>TAB5.1</w:t>
          </w:r>
        </w:sdtContent>
      </w:sdt>
      <w:r w:rsidRPr="00E95765">
        <w:rPr>
          <w:rFonts w:ascii="Times New Roman" w:eastAsia="Times New Roman" w:hAnsi="Times New Roman" w:cs="Times New Roman"/>
          <w:sz w:val="24"/>
          <w:szCs w:val="24"/>
        </w:rPr>
        <w:t>&gt;</w:t>
      </w:r>
    </w:p>
    <w:p w:rsidR="00D80BD4" w:rsidRPr="00E95765" w:rsidRDefault="00C40BF9">
      <w:pPr>
        <w:pStyle w:val="H1"/>
        <w:spacing w:before="100" w:beforeAutospacing="1" w:after="100" w:afterAutospacing="1" w:line="480" w:lineRule="auto"/>
        <w:contextualSpacing/>
        <w:outlineLvl w:val="3"/>
        <w:rPr>
          <w:rFonts w:ascii="Times New Roman" w:eastAsia="Times New Roman" w:hAnsi="Times New Roman" w:cs="Times New Roman"/>
          <w:b/>
          <w:bCs/>
          <w:sz w:val="24"/>
          <w:szCs w:val="24"/>
          <w:highlight w:val="yellow"/>
        </w:rPr>
      </w:pPr>
      <w:r w:rsidRPr="00E95765">
        <w:rPr>
          <w:rFonts w:ascii="Times New Roman" w:eastAsia="Times New Roman" w:hAnsi="Times New Roman" w:cs="Times New Roman"/>
          <w:b/>
          <w:bCs/>
          <w:sz w:val="24"/>
          <w:szCs w:val="24"/>
          <w:highlight w:val="yellow"/>
        </w:rPr>
        <w:t xml:space="preserve">Baseline Screening </w:t>
      </w:r>
      <w:proofErr w:type="gramStart"/>
      <w:r w:rsidR="00E95765" w:rsidRPr="00E95765">
        <w:rPr>
          <w:rFonts w:ascii="Times New Roman" w:eastAsia="Times New Roman" w:hAnsi="Times New Roman" w:cs="Times New Roman"/>
          <w:b/>
          <w:bCs/>
          <w:sz w:val="24"/>
          <w:szCs w:val="24"/>
          <w:highlight w:val="green"/>
        </w:rPr>
        <w:t>And</w:t>
      </w:r>
      <w:proofErr w:type="gramEnd"/>
      <w:r w:rsidR="00E95765" w:rsidRPr="00E95765">
        <w:rPr>
          <w:rFonts w:ascii="Times New Roman" w:eastAsia="Times New Roman" w:hAnsi="Times New Roman" w:cs="Times New Roman"/>
          <w:b/>
          <w:bCs/>
          <w:sz w:val="24"/>
          <w:szCs w:val="24"/>
          <w:highlight w:val="yellow"/>
        </w:rPr>
        <w:t xml:space="preserve"> </w:t>
      </w:r>
      <w:r w:rsidRPr="00E95765">
        <w:rPr>
          <w:rFonts w:ascii="Times New Roman" w:eastAsia="Times New Roman" w:hAnsi="Times New Roman" w:cs="Times New Roman"/>
          <w:b/>
          <w:bCs/>
          <w:sz w:val="24"/>
          <w:szCs w:val="24"/>
          <w:highlight w:val="yellow"/>
        </w:rPr>
        <w:t>Eligibility</w:t>
      </w:r>
    </w:p>
    <w:p w:rsidR="00D80BD4" w:rsidRPr="00E95765" w:rsidRDefault="00C40BF9">
      <w:pPr>
        <w:pStyle w:val="TXT-FLUSH0"/>
        <w:spacing w:line="480" w:lineRule="auto"/>
        <w:contextualSpacing/>
      </w:pPr>
      <w:r w:rsidRPr="00E95765">
        <w:t>Baseline screening is intended to verify patient eligibility across the immunotherapy timeline, typically before cellular collection (~2–4 weeks pre-</w:t>
      </w:r>
      <w:proofErr w:type="spellStart"/>
      <w:r w:rsidRPr="00E95765">
        <w:t>lymphodepletion</w:t>
      </w:r>
      <w:proofErr w:type="spellEnd"/>
      <w:r w:rsidRPr="00E95765">
        <w:t xml:space="preserve"> for CAR T-cells, TCR T-cells, TILs, or investigational therapies), </w:t>
      </w:r>
      <w:proofErr w:type="spellStart"/>
      <w:r w:rsidRPr="00E95765">
        <w:t>lymphodepletion</w:t>
      </w:r>
      <w:proofErr w:type="spellEnd"/>
      <w:r w:rsidRPr="00E95765">
        <w:t xml:space="preserve"> (~1 week pre-infusion), and/or infusion. Specific criteria and precise timing depend on therapy type (e.g. CAR T-cell therapy </w:t>
      </w:r>
      <w:proofErr w:type="spellStart"/>
      <w:r w:rsidRPr="00E95765">
        <w:rPr>
          <w:highlight w:val="green"/>
        </w:rPr>
        <w:t>vs</w:t>
      </w:r>
      <w:proofErr w:type="spellEnd"/>
      <w:r w:rsidRPr="00E95765">
        <w:t xml:space="preserve"> </w:t>
      </w:r>
      <w:proofErr w:type="spellStart"/>
      <w:r w:rsidRPr="00E95765">
        <w:t>BiTE</w:t>
      </w:r>
      <w:proofErr w:type="spellEnd"/>
      <w:r w:rsidRPr="00E95765">
        <w:t>), protocol (regulatory-approved</w:t>
      </w:r>
      <w:r w:rsidRPr="00E95765">
        <w:rPr>
          <w:highlight w:val="green"/>
        </w:rPr>
        <w:t xml:space="preserve"> vs. </w:t>
      </w:r>
      <w:r w:rsidRPr="00E95765">
        <w:t>investigational), therapy nature (autologous</w:t>
      </w:r>
      <w:r w:rsidRPr="00E95765">
        <w:rPr>
          <w:highlight w:val="green"/>
        </w:rPr>
        <w:t xml:space="preserve"> vs. </w:t>
      </w:r>
      <w:r w:rsidRPr="00E95765">
        <w:t xml:space="preserve">allogeneic), disease type and target expression, and institutional practice guidelines. Early multidisciplinary evaluation involving subspecialists and social work is critical to optimize candidacy and risk assessment which is guided by a complete physical examination, objective diagnostic data, performance status, and neurocognitive assessment. </w:t>
      </w:r>
      <w:r w:rsidRPr="00E95765">
        <w:rPr>
          <w:rStyle w:val="FigureCitation"/>
        </w:rPr>
        <w:t>Figure 5.1</w:t>
      </w:r>
      <w:r w:rsidRPr="00E95765">
        <w:t xml:space="preserve"> provides a visual overview of this timeline which highlight key stages from collection to infusion.</w:t>
      </w:r>
    </w:p>
    <w:p w:rsidR="00D80BD4" w:rsidRPr="00E95765" w:rsidRDefault="00C40BF9" w:rsidP="00B86F94">
      <w:pPr>
        <w:pStyle w:val="PMI"/>
      </w:pPr>
      <w:r w:rsidRPr="00E95765">
        <w:rPr>
          <w:rFonts w:eastAsia="Times New Roman"/>
        </w:rPr>
        <w:t xml:space="preserve">&lt;INSERT </w:t>
      </w:r>
      <w:bookmarkStart w:id="0" w:name="bm_fig_cite_FIG5_1"/>
      <w:sdt>
        <w:sdtPr>
          <w:rPr>
            <w:rFonts w:eastAsia="Times New Roman"/>
          </w:rPr>
          <w:alias w:val="Figure Citation"/>
          <w:tag w:val="fig_cite"/>
          <w:id w:val="1043563776"/>
          <w:placeholder>
            <w:docPart w:val="DefaultPlaceholder_1082065158"/>
          </w:placeholder>
        </w:sdtPr>
        <w:sdtEndPr/>
        <w:sdtContent>
          <w:r w:rsidRPr="00E95765">
            <w:rPr>
              <w:rFonts w:eastAsia="Times New Roman"/>
            </w:rPr>
            <w:t>FIG5.1</w:t>
          </w:r>
          <w:bookmarkEnd w:id="0"/>
        </w:sdtContent>
      </w:sdt>
      <w:r w:rsidRPr="00E95765">
        <w:rPr>
          <w:rFonts w:eastAsia="Times New Roman"/>
        </w:rPr>
        <w:t>&gt;</w:t>
      </w:r>
    </w:p>
    <w:p w:rsidR="00D80BD4" w:rsidRPr="00E95765" w:rsidRDefault="00E95765">
      <w:pPr>
        <w:pStyle w:val="H10"/>
        <w:spacing w:line="480" w:lineRule="auto"/>
        <w:contextualSpacing/>
        <w:rPr>
          <w:highlight w:val="yellow"/>
        </w:rPr>
      </w:pPr>
      <w:r w:rsidRPr="00E95765">
        <w:rPr>
          <w:rStyle w:val="Tag"/>
          <w:b/>
          <w:bCs/>
          <w:highlight w:val="yellow"/>
        </w:rPr>
        <w:t>&lt;H1&gt;</w:t>
      </w:r>
      <w:r w:rsidRPr="00E95765">
        <w:rPr>
          <w:b/>
          <w:bCs/>
          <w:highlight w:val="yellow"/>
        </w:rPr>
        <w:t>General Screening/Eligibility Assessments</w:t>
      </w:r>
    </w:p>
    <w:p w:rsidR="00D80BD4" w:rsidRPr="00E95765" w:rsidRDefault="00E95765">
      <w:pPr>
        <w:pStyle w:val="H2"/>
        <w:spacing w:line="480" w:lineRule="auto"/>
        <w:contextualSpacing/>
        <w:rPr>
          <w:highlight w:val="yellow"/>
        </w:rPr>
      </w:pPr>
      <w:r w:rsidRPr="00E95765">
        <w:rPr>
          <w:rStyle w:val="Tag"/>
          <w:iCs/>
          <w:highlight w:val="yellow"/>
        </w:rPr>
        <w:t>&lt;H2&gt;</w:t>
      </w:r>
      <w:r w:rsidRPr="00E95765">
        <w:rPr>
          <w:i/>
          <w:iCs/>
          <w:highlight w:val="yellow"/>
        </w:rPr>
        <w:t>Clinical History</w:t>
      </w:r>
      <w:r w:rsidRPr="00E95765">
        <w:rPr>
          <w:highlight w:val="yellow"/>
        </w:rPr>
        <w:t>:</w:t>
      </w:r>
    </w:p>
    <w:p w:rsidR="00D80BD4" w:rsidRPr="00E95765" w:rsidRDefault="00C40BF9" w:rsidP="00B86F94">
      <w:pPr>
        <w:pStyle w:val="PMI"/>
      </w:pPr>
      <w:r w:rsidRPr="00E95765">
        <w:rPr>
          <w:rStyle w:val="Tag"/>
          <w:rFonts w:ascii="Times New Roman" w:eastAsia="Times New Roman" w:hAnsi="Times New Roman" w:cs="Times New Roman"/>
          <w:sz w:val="24"/>
          <w:szCs w:val="24"/>
        </w:rPr>
        <w:t>&lt;BL&gt;</w:t>
      </w:r>
    </w:p>
    <w:p w:rsidR="00D80BD4" w:rsidRPr="00E95765" w:rsidRDefault="00C40BF9">
      <w:pPr>
        <w:pStyle w:val="BL-FIR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Disease Confirmation and Staging</w:t>
      </w:r>
      <w:r w:rsidRPr="00E95765">
        <w:rPr>
          <w:rFonts w:ascii="Times New Roman" w:eastAsia="Times New Roman" w:hAnsi="Times New Roman" w:cs="Times New Roman"/>
          <w:sz w:val="24"/>
          <w:szCs w:val="24"/>
        </w:rPr>
        <w:t xml:space="preserve">: Perform </w:t>
      </w:r>
      <w:proofErr w:type="spellStart"/>
      <w:r w:rsidRPr="00E95765">
        <w:rPr>
          <w:rFonts w:ascii="Times New Roman" w:eastAsia="Times New Roman" w:hAnsi="Times New Roman" w:cs="Times New Roman"/>
          <w:sz w:val="24"/>
          <w:szCs w:val="24"/>
        </w:rPr>
        <w:t>histopathological</w:t>
      </w:r>
      <w:proofErr w:type="spellEnd"/>
      <w:r w:rsidRPr="00E95765">
        <w:rPr>
          <w:rFonts w:ascii="Times New Roman" w:eastAsia="Times New Roman" w:hAnsi="Times New Roman" w:cs="Times New Roman"/>
          <w:sz w:val="24"/>
          <w:szCs w:val="24"/>
        </w:rPr>
        <w:t xml:space="preserve"> disease confirmation and molecular profiling with respective staging studies per clinical protocol/disease type.</w:t>
      </w:r>
    </w:p>
    <w:p w:rsidR="00D80BD4" w:rsidRPr="00E95765" w:rsidRDefault="00C40BF9">
      <w:pPr>
        <w:pStyle w:val="BL-MID"/>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lastRenderedPageBreak/>
        <w:t></w:t>
      </w:r>
      <w:r w:rsidRPr="00E95765">
        <w:rPr>
          <w:rFonts w:ascii="Symbol" w:eastAsia="Times New Roman" w:hAnsi="Symbol" w:cs="Times New Roman"/>
          <w:sz w:val="20"/>
          <w:szCs w:val="24"/>
        </w:rPr>
        <w:tab/>
      </w:r>
      <w:proofErr w:type="gramStart"/>
      <w:r w:rsidRPr="00E95765">
        <w:rPr>
          <w:rFonts w:eastAsia="Times New Roman" w:cs="Times New Roman"/>
          <w:b/>
          <w:bCs/>
          <w:szCs w:val="24"/>
        </w:rPr>
        <w:t>Prior/</w:t>
      </w:r>
      <w:proofErr w:type="gramEnd"/>
      <w:r w:rsidRPr="00E95765">
        <w:rPr>
          <w:rFonts w:eastAsia="Times New Roman" w:cs="Times New Roman"/>
          <w:b/>
          <w:bCs/>
          <w:szCs w:val="24"/>
        </w:rPr>
        <w:t>Active Therapies</w:t>
      </w:r>
      <w:r w:rsidRPr="00E95765">
        <w:rPr>
          <w:rFonts w:ascii="Times New Roman" w:eastAsia="Times New Roman" w:hAnsi="Times New Roman" w:cs="Times New Roman"/>
          <w:sz w:val="24"/>
          <w:szCs w:val="24"/>
        </w:rPr>
        <w:t xml:space="preserve">: Confirm all disease-related treatments with exact regimen/dates, including preceding transplants, targeted therapies, gene-modified therapies, and respective complications (e.g., </w:t>
      </w:r>
      <w:proofErr w:type="spellStart"/>
      <w:r w:rsidRPr="00E95765">
        <w:rPr>
          <w:rFonts w:ascii="Times New Roman" w:eastAsia="Times New Roman" w:hAnsi="Times New Roman" w:cs="Times New Roman"/>
          <w:sz w:val="24"/>
          <w:szCs w:val="24"/>
        </w:rPr>
        <w:t>GvHD</w:t>
      </w:r>
      <w:proofErr w:type="spellEnd"/>
      <w:r w:rsidRPr="00E95765">
        <w:rPr>
          <w:rFonts w:ascii="Times New Roman" w:eastAsia="Times New Roman" w:hAnsi="Times New Roman" w:cs="Times New Roman"/>
          <w:sz w:val="24"/>
          <w:szCs w:val="24"/>
        </w:rPr>
        <w:t xml:space="preserve"> after </w:t>
      </w:r>
      <w:proofErr w:type="spellStart"/>
      <w:r w:rsidRPr="00E95765">
        <w:rPr>
          <w:rFonts w:ascii="Times New Roman" w:eastAsia="Times New Roman" w:hAnsi="Times New Roman" w:cs="Times New Roman"/>
          <w:sz w:val="24"/>
          <w:szCs w:val="24"/>
        </w:rPr>
        <w:t>all</w:t>
      </w:r>
      <w:r w:rsidRPr="00E95765">
        <w:rPr>
          <w:rFonts w:ascii="Times New Roman" w:eastAsia="Times New Roman" w:hAnsi="Times New Roman" w:cs="Times New Roman"/>
          <w:sz w:val="24"/>
          <w:szCs w:val="24"/>
          <w:highlight w:val="green"/>
        </w:rPr>
        <w:t>o</w:t>
      </w:r>
      <w:proofErr w:type="spellEnd"/>
      <w:r w:rsidRPr="00E95765">
        <w:rPr>
          <w:rFonts w:ascii="Times New Roman" w:eastAsia="Times New Roman" w:hAnsi="Times New Roman" w:cs="Times New Roman"/>
          <w:sz w:val="24"/>
          <w:szCs w:val="24"/>
          <w:highlight w:val="green"/>
        </w:rPr>
        <w:t>-</w:t>
      </w:r>
      <w:r w:rsidRPr="00E95765">
        <w:rPr>
          <w:rFonts w:ascii="Times New Roman" w:eastAsia="Times New Roman" w:hAnsi="Times New Roman" w:cs="Times New Roman"/>
          <w:sz w:val="24"/>
          <w:szCs w:val="24"/>
        </w:rPr>
        <w:t>HCT).</w:t>
      </w:r>
    </w:p>
    <w:p w:rsidR="00D80BD4" w:rsidRPr="00E95765" w:rsidRDefault="00C40BF9">
      <w:pPr>
        <w:pStyle w:val="BL-MID"/>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Comorbidities</w:t>
      </w:r>
      <w:r w:rsidRPr="00E95765">
        <w:rPr>
          <w:rFonts w:ascii="Times New Roman" w:eastAsia="Times New Roman" w:hAnsi="Times New Roman" w:cs="Times New Roman"/>
          <w:sz w:val="24"/>
          <w:szCs w:val="24"/>
        </w:rPr>
        <w:t>: Confirm comprehensive medical history with particular focus on functional status, cardiovascular, pulmonary, infectious, autoimmune conditions, thrombotic/bleeding, and neurologic disorders. Comprehensively evaluate the presence of brain metastasis through brain MRI / LP with close coordination with Neurology to discuss eligibility given risk of accentuated neurotoxicity.</w:t>
      </w:r>
    </w:p>
    <w:p w:rsidR="00D80BD4" w:rsidRPr="00E95765" w:rsidRDefault="00C40BF9">
      <w:pPr>
        <w:pStyle w:val="BL-LA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Social History</w:t>
      </w:r>
      <w:r w:rsidRPr="00E95765">
        <w:rPr>
          <w:rFonts w:ascii="Times New Roman" w:eastAsia="Times New Roman" w:hAnsi="Times New Roman" w:cs="Times New Roman"/>
          <w:sz w:val="24"/>
          <w:szCs w:val="24"/>
        </w:rPr>
        <w:t>: Confirm comprehensive social history, including living conditions, psychosocial fitness, caregiver support, prior occupational history risks, tobacco use, recreational substance use, alcohol use, travel history, immunization history (particularly for recent exposure to live vaccinations), and prior infections/hospitalizations.</w:t>
      </w:r>
    </w:p>
    <w:p w:rsidR="00D80BD4" w:rsidRPr="00E95765" w:rsidRDefault="00C40BF9" w:rsidP="00B86F94">
      <w:pPr>
        <w:pStyle w:val="PMI"/>
      </w:pPr>
      <w:r w:rsidRPr="00E95765">
        <w:rPr>
          <w:rStyle w:val="Tag"/>
          <w:rFonts w:ascii="Times New Roman" w:eastAsia="Times New Roman" w:hAnsi="Times New Roman" w:cs="Times New Roman"/>
          <w:sz w:val="24"/>
          <w:szCs w:val="24"/>
        </w:rPr>
        <w:t>&lt;/BL&gt;</w:t>
      </w:r>
    </w:p>
    <w:p w:rsidR="00D80BD4" w:rsidRPr="00E95765" w:rsidRDefault="00E95765">
      <w:pPr>
        <w:pStyle w:val="H20"/>
        <w:spacing w:before="100" w:beforeAutospacing="1" w:after="100" w:afterAutospacing="1" w:line="480" w:lineRule="auto"/>
        <w:contextualSpacing/>
        <w:rPr>
          <w:rFonts w:ascii="Times New Roman" w:eastAsia="Times New Roman" w:hAnsi="Times New Roman" w:cs="Times New Roman"/>
          <w:sz w:val="24"/>
          <w:szCs w:val="24"/>
          <w:highlight w:val="yellow"/>
        </w:rPr>
      </w:pPr>
      <w:r w:rsidRPr="00E95765">
        <w:rPr>
          <w:rStyle w:val="Tag"/>
          <w:rFonts w:ascii="Times New Roman" w:eastAsia="Times New Roman" w:hAnsi="Times New Roman" w:cs="Times New Roman"/>
          <w:iCs/>
          <w:sz w:val="24"/>
          <w:szCs w:val="24"/>
          <w:highlight w:val="yellow"/>
        </w:rPr>
        <w:t>&lt;H2&gt;</w:t>
      </w:r>
      <w:r w:rsidRPr="00E95765">
        <w:rPr>
          <w:rFonts w:eastAsia="Times New Roman" w:cs="Times New Roman"/>
          <w:i/>
          <w:iCs/>
          <w:szCs w:val="24"/>
          <w:highlight w:val="yellow"/>
        </w:rPr>
        <w:t>Laboratory Tests</w:t>
      </w:r>
      <w:r w:rsidRPr="00E95765">
        <w:rPr>
          <w:rFonts w:ascii="Times New Roman" w:eastAsia="Times New Roman" w:hAnsi="Times New Roman" w:cs="Times New Roman"/>
          <w:sz w:val="24"/>
          <w:szCs w:val="24"/>
          <w:highlight w:val="yellow"/>
        </w:rPr>
        <w:t>:</w:t>
      </w:r>
    </w:p>
    <w:p w:rsidR="00D80BD4" w:rsidRPr="00E95765" w:rsidRDefault="00C40BF9" w:rsidP="00B86F94">
      <w:pPr>
        <w:pStyle w:val="PMI"/>
      </w:pPr>
      <w:r w:rsidRPr="00E95765">
        <w:rPr>
          <w:rStyle w:val="Tag"/>
          <w:rFonts w:ascii="Times New Roman" w:eastAsia="Times New Roman" w:hAnsi="Times New Roman" w:cs="Times New Roman"/>
          <w:sz w:val="24"/>
          <w:szCs w:val="24"/>
        </w:rPr>
        <w:t>&lt;BL&gt;</w:t>
      </w:r>
    </w:p>
    <w:p w:rsidR="00D80BD4" w:rsidRPr="00E95765" w:rsidRDefault="00C40BF9">
      <w:pPr>
        <w:pStyle w:val="BL-FIR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Baseline Labs</w:t>
      </w:r>
      <w:r w:rsidRPr="00E95765">
        <w:rPr>
          <w:rFonts w:ascii="Times New Roman" w:eastAsia="Times New Roman" w:hAnsi="Times New Roman" w:cs="Times New Roman"/>
          <w:sz w:val="24"/>
          <w:szCs w:val="24"/>
        </w:rPr>
        <w:t xml:space="preserve">: Laboratory assessment should include </w:t>
      </w:r>
      <w:r w:rsidRPr="00E95765">
        <w:rPr>
          <w:rFonts w:eastAsia="Times New Roman" w:cs="Times New Roman"/>
          <w:szCs w:val="24"/>
        </w:rPr>
        <w:t>complete blood count</w:t>
      </w:r>
      <w:r w:rsidRPr="00E95765">
        <w:rPr>
          <w:rFonts w:ascii="Times New Roman" w:eastAsia="Times New Roman" w:hAnsi="Times New Roman" w:cs="Times New Roman"/>
          <w:sz w:val="24"/>
          <w:szCs w:val="24"/>
        </w:rPr>
        <w:t xml:space="preserve"> (</w:t>
      </w:r>
      <w:r w:rsidRPr="00E95765">
        <w:rPr>
          <w:rFonts w:eastAsia="Times New Roman" w:cs="Times New Roman"/>
          <w:szCs w:val="24"/>
        </w:rPr>
        <w:t>CB</w:t>
      </w:r>
      <w:r w:rsidRPr="00E95765">
        <w:rPr>
          <w:rFonts w:eastAsia="Times New Roman" w:cs="Times New Roman"/>
          <w:szCs w:val="24"/>
          <w:highlight w:val="green"/>
        </w:rPr>
        <w:t>C</w:t>
      </w:r>
      <w:r w:rsidRPr="00E95765">
        <w:rPr>
          <w:rFonts w:ascii="Times New Roman" w:eastAsia="Times New Roman" w:hAnsi="Times New Roman" w:cs="Times New Roman"/>
          <w:sz w:val="24"/>
          <w:szCs w:val="24"/>
          <w:highlight w:val="green"/>
        </w:rPr>
        <w:t xml:space="preserve">) </w:t>
      </w:r>
      <w:r w:rsidRPr="00E95765">
        <w:rPr>
          <w:rFonts w:ascii="Times New Roman" w:eastAsia="Times New Roman" w:hAnsi="Times New Roman" w:cs="Times New Roman"/>
          <w:sz w:val="24"/>
          <w:szCs w:val="24"/>
        </w:rPr>
        <w:t xml:space="preserve">with differential, </w:t>
      </w:r>
      <w:r w:rsidRPr="00E95765">
        <w:rPr>
          <w:rFonts w:eastAsia="Times New Roman" w:cs="Times New Roman"/>
          <w:szCs w:val="24"/>
        </w:rPr>
        <w:t>complete metabolic panel</w:t>
      </w:r>
      <w:r w:rsidRPr="00E95765">
        <w:rPr>
          <w:rFonts w:ascii="Times New Roman" w:eastAsia="Times New Roman" w:hAnsi="Times New Roman" w:cs="Times New Roman"/>
          <w:sz w:val="24"/>
          <w:szCs w:val="24"/>
        </w:rPr>
        <w:t xml:space="preserve"> (</w:t>
      </w:r>
      <w:r w:rsidRPr="00E95765">
        <w:rPr>
          <w:rFonts w:eastAsia="Times New Roman" w:cs="Times New Roman"/>
          <w:szCs w:val="24"/>
        </w:rPr>
        <w:t>CMP</w:t>
      </w:r>
      <w:r w:rsidRPr="00E95765">
        <w:rPr>
          <w:rFonts w:ascii="Times New Roman" w:eastAsia="Times New Roman" w:hAnsi="Times New Roman" w:cs="Times New Roman"/>
          <w:sz w:val="24"/>
          <w:szCs w:val="24"/>
        </w:rPr>
        <w:t xml:space="preserve">), </w:t>
      </w:r>
      <w:r w:rsidRPr="00E95765">
        <w:rPr>
          <w:rFonts w:eastAsia="Times New Roman" w:cs="Times New Roman"/>
          <w:szCs w:val="24"/>
        </w:rPr>
        <w:t>lactate dehydrogenase</w:t>
      </w:r>
      <w:r w:rsidRPr="00E95765">
        <w:rPr>
          <w:rFonts w:ascii="Times New Roman" w:eastAsia="Times New Roman" w:hAnsi="Times New Roman" w:cs="Times New Roman"/>
          <w:sz w:val="24"/>
          <w:szCs w:val="24"/>
        </w:rPr>
        <w:t xml:space="preserve"> (</w:t>
      </w:r>
      <w:r w:rsidRPr="00E95765">
        <w:rPr>
          <w:rFonts w:eastAsia="Times New Roman" w:cs="Times New Roman"/>
          <w:szCs w:val="24"/>
        </w:rPr>
        <w:t>LDH</w:t>
      </w:r>
      <w:r w:rsidRPr="00E95765">
        <w:rPr>
          <w:rFonts w:ascii="Times New Roman" w:eastAsia="Times New Roman" w:hAnsi="Times New Roman" w:cs="Times New Roman"/>
          <w:sz w:val="24"/>
          <w:szCs w:val="24"/>
        </w:rPr>
        <w:t xml:space="preserve">), uric acid, </w:t>
      </w:r>
      <w:proofErr w:type="spellStart"/>
      <w:r w:rsidRPr="00E95765">
        <w:rPr>
          <w:rFonts w:eastAsia="Times New Roman" w:cs="Times New Roman"/>
          <w:szCs w:val="24"/>
        </w:rPr>
        <w:t>prothrombin</w:t>
      </w:r>
      <w:proofErr w:type="spellEnd"/>
      <w:r w:rsidRPr="00E95765">
        <w:rPr>
          <w:rFonts w:eastAsia="Times New Roman" w:cs="Times New Roman"/>
          <w:szCs w:val="24"/>
        </w:rPr>
        <w:t xml:space="preserve"> time</w:t>
      </w:r>
      <w:r w:rsidRPr="00E95765">
        <w:rPr>
          <w:rFonts w:ascii="Times New Roman" w:eastAsia="Times New Roman" w:hAnsi="Times New Roman" w:cs="Times New Roman"/>
          <w:sz w:val="24"/>
          <w:szCs w:val="24"/>
        </w:rPr>
        <w:t xml:space="preserve"> (</w:t>
      </w:r>
      <w:r w:rsidRPr="00E95765">
        <w:rPr>
          <w:rFonts w:eastAsia="Times New Roman" w:cs="Times New Roman"/>
          <w:szCs w:val="24"/>
        </w:rPr>
        <w:t>PT</w:t>
      </w:r>
      <w:r w:rsidRPr="00E95765">
        <w:rPr>
          <w:rFonts w:ascii="Times New Roman" w:eastAsia="Times New Roman" w:hAnsi="Times New Roman" w:cs="Times New Roman"/>
          <w:sz w:val="24"/>
          <w:szCs w:val="24"/>
        </w:rPr>
        <w:t xml:space="preserve">) / </w:t>
      </w:r>
      <w:r w:rsidRPr="00E95765">
        <w:rPr>
          <w:rFonts w:eastAsia="Times New Roman" w:cs="Times New Roman"/>
          <w:szCs w:val="24"/>
        </w:rPr>
        <w:t xml:space="preserve">partial </w:t>
      </w:r>
      <w:proofErr w:type="spellStart"/>
      <w:r w:rsidRPr="00E95765">
        <w:rPr>
          <w:rFonts w:eastAsia="Times New Roman" w:cs="Times New Roman"/>
          <w:szCs w:val="24"/>
        </w:rPr>
        <w:t>prothrombin</w:t>
      </w:r>
      <w:proofErr w:type="spellEnd"/>
      <w:r w:rsidRPr="00E95765">
        <w:rPr>
          <w:rFonts w:eastAsia="Times New Roman" w:cs="Times New Roman"/>
          <w:szCs w:val="24"/>
        </w:rPr>
        <w:t xml:space="preserve"> time</w:t>
      </w:r>
      <w:r w:rsidRPr="00E95765">
        <w:rPr>
          <w:rFonts w:ascii="Times New Roman" w:eastAsia="Times New Roman" w:hAnsi="Times New Roman" w:cs="Times New Roman"/>
          <w:sz w:val="24"/>
          <w:szCs w:val="24"/>
        </w:rPr>
        <w:t xml:space="preserve"> (</w:t>
      </w:r>
      <w:r w:rsidRPr="00E95765">
        <w:rPr>
          <w:rFonts w:eastAsia="Times New Roman" w:cs="Times New Roman"/>
          <w:szCs w:val="24"/>
        </w:rPr>
        <w:t>PTT</w:t>
      </w:r>
      <w:r w:rsidRPr="00E95765">
        <w:rPr>
          <w:rFonts w:ascii="Times New Roman" w:eastAsia="Times New Roman" w:hAnsi="Times New Roman" w:cs="Times New Roman"/>
          <w:sz w:val="24"/>
          <w:szCs w:val="24"/>
        </w:rPr>
        <w:t xml:space="preserve">), fibrinogen, </w:t>
      </w:r>
      <w:r w:rsidRPr="00E95765">
        <w:rPr>
          <w:rFonts w:eastAsia="Times New Roman" w:cs="Times New Roman"/>
          <w:szCs w:val="24"/>
        </w:rPr>
        <w:t>C-reactive protein</w:t>
      </w:r>
      <w:r w:rsidRPr="00E95765">
        <w:rPr>
          <w:rFonts w:ascii="Times New Roman" w:eastAsia="Times New Roman" w:hAnsi="Times New Roman" w:cs="Times New Roman"/>
          <w:sz w:val="24"/>
          <w:szCs w:val="24"/>
        </w:rPr>
        <w:t xml:space="preserve"> (</w:t>
      </w:r>
      <w:r w:rsidRPr="00E95765">
        <w:rPr>
          <w:rFonts w:eastAsia="Times New Roman" w:cs="Times New Roman"/>
          <w:szCs w:val="24"/>
        </w:rPr>
        <w:t>CRP</w:t>
      </w:r>
      <w:r w:rsidRPr="00E95765">
        <w:rPr>
          <w:rFonts w:ascii="Times New Roman" w:eastAsia="Times New Roman" w:hAnsi="Times New Roman" w:cs="Times New Roman"/>
          <w:sz w:val="24"/>
          <w:szCs w:val="24"/>
        </w:rPr>
        <w:t xml:space="preserve">), ferritin, </w:t>
      </w:r>
      <w:r w:rsidRPr="00E95765">
        <w:rPr>
          <w:rFonts w:eastAsia="Times New Roman" w:cs="Times New Roman"/>
          <w:szCs w:val="24"/>
        </w:rPr>
        <w:t>thyroi</w:t>
      </w:r>
      <w:r w:rsidRPr="00E95765">
        <w:rPr>
          <w:rFonts w:eastAsia="Times New Roman" w:cs="Times New Roman"/>
          <w:szCs w:val="24"/>
          <w:highlight w:val="green"/>
        </w:rPr>
        <w:t>d-</w:t>
      </w:r>
      <w:r w:rsidRPr="00E95765">
        <w:rPr>
          <w:rFonts w:eastAsia="Times New Roman" w:cs="Times New Roman"/>
          <w:szCs w:val="24"/>
        </w:rPr>
        <w:t>stimulating hormone</w:t>
      </w:r>
      <w:r w:rsidRPr="00E95765">
        <w:rPr>
          <w:rFonts w:ascii="Times New Roman" w:eastAsia="Times New Roman" w:hAnsi="Times New Roman" w:cs="Times New Roman"/>
          <w:sz w:val="24"/>
          <w:szCs w:val="24"/>
        </w:rPr>
        <w:t xml:space="preserve"> (</w:t>
      </w:r>
      <w:r w:rsidRPr="00E95765">
        <w:rPr>
          <w:rFonts w:eastAsia="Times New Roman" w:cs="Times New Roman"/>
          <w:szCs w:val="24"/>
        </w:rPr>
        <w:t>TSH</w:t>
      </w:r>
      <w:r w:rsidRPr="00E95765">
        <w:rPr>
          <w:rFonts w:ascii="Times New Roman" w:eastAsia="Times New Roman" w:hAnsi="Times New Roman" w:cs="Times New Roman"/>
          <w:sz w:val="24"/>
          <w:szCs w:val="24"/>
        </w:rPr>
        <w:t>) with reflex, glucose-6-phosphate dehydrogenase (G6P</w:t>
      </w:r>
      <w:r w:rsidRPr="00E95765">
        <w:rPr>
          <w:rFonts w:ascii="Times New Roman" w:eastAsia="Times New Roman" w:hAnsi="Times New Roman" w:cs="Times New Roman"/>
          <w:sz w:val="24"/>
          <w:szCs w:val="24"/>
          <w:highlight w:val="green"/>
        </w:rPr>
        <w:t xml:space="preserve">D) </w:t>
      </w:r>
      <w:r w:rsidRPr="00E95765">
        <w:rPr>
          <w:rFonts w:ascii="Times New Roman" w:eastAsia="Times New Roman" w:hAnsi="Times New Roman" w:cs="Times New Roman"/>
          <w:sz w:val="24"/>
          <w:szCs w:val="24"/>
        </w:rPr>
        <w:t xml:space="preserve">activity (for potential use of </w:t>
      </w:r>
      <w:proofErr w:type="spellStart"/>
      <w:r w:rsidRPr="00E95765">
        <w:rPr>
          <w:rFonts w:ascii="Times New Roman" w:eastAsia="Times New Roman" w:hAnsi="Times New Roman" w:cs="Times New Roman"/>
          <w:sz w:val="24"/>
          <w:szCs w:val="24"/>
        </w:rPr>
        <w:t>dapsone</w:t>
      </w:r>
      <w:proofErr w:type="spellEnd"/>
      <w:r w:rsidRPr="00E95765">
        <w:rPr>
          <w:rFonts w:ascii="Times New Roman" w:eastAsia="Times New Roman" w:hAnsi="Times New Roman" w:cs="Times New Roman"/>
          <w:sz w:val="24"/>
          <w:szCs w:val="24"/>
        </w:rPr>
        <w:t>/</w:t>
      </w:r>
      <w:proofErr w:type="spellStart"/>
      <w:r w:rsidRPr="00E95765">
        <w:rPr>
          <w:rFonts w:ascii="Times New Roman" w:eastAsia="Times New Roman" w:hAnsi="Times New Roman" w:cs="Times New Roman"/>
          <w:sz w:val="24"/>
          <w:szCs w:val="24"/>
        </w:rPr>
        <w:t>rasburicase</w:t>
      </w:r>
      <w:proofErr w:type="spellEnd"/>
      <w:r w:rsidRPr="00E95765">
        <w:rPr>
          <w:rFonts w:ascii="Times New Roman" w:eastAsia="Times New Roman" w:hAnsi="Times New Roman" w:cs="Times New Roman"/>
          <w:sz w:val="24"/>
          <w:szCs w:val="24"/>
        </w:rPr>
        <w:t xml:space="preserve">), blood type and screen, pregnancy testing for women with beta-human chorionic gonadotropin </w:t>
      </w:r>
      <w:r w:rsidRPr="00E95765">
        <w:rPr>
          <w:rFonts w:ascii="Times New Roman" w:eastAsia="Times New Roman" w:hAnsi="Times New Roman" w:cs="Times New Roman"/>
          <w:sz w:val="24"/>
          <w:szCs w:val="24"/>
        </w:rPr>
        <w:lastRenderedPageBreak/>
        <w:t>(B-HCG), baseline triglycerides, and HLA typing (for allogeneic donors or TCR-based therapies).</w:t>
      </w:r>
    </w:p>
    <w:p w:rsidR="00D80BD4" w:rsidRPr="00E95765" w:rsidRDefault="00C40BF9">
      <w:pPr>
        <w:pStyle w:val="BL-LA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Infectious Disease Work Up</w:t>
      </w:r>
      <w:r w:rsidRPr="00E95765">
        <w:rPr>
          <w:rFonts w:ascii="Times New Roman" w:eastAsia="Times New Roman" w:hAnsi="Times New Roman" w:cs="Times New Roman"/>
          <w:sz w:val="24"/>
          <w:szCs w:val="24"/>
        </w:rPr>
        <w:t xml:space="preserve">: Comprehensive screening must be current prior to </w:t>
      </w:r>
      <w:proofErr w:type="spellStart"/>
      <w:r w:rsidRPr="00E95765">
        <w:rPr>
          <w:rFonts w:ascii="Times New Roman" w:eastAsia="Times New Roman" w:hAnsi="Times New Roman" w:cs="Times New Roman"/>
          <w:sz w:val="24"/>
          <w:szCs w:val="24"/>
        </w:rPr>
        <w:t>leukapheresis</w:t>
      </w:r>
      <w:proofErr w:type="spellEnd"/>
      <w:r w:rsidRPr="00E95765">
        <w:rPr>
          <w:rFonts w:ascii="Times New Roman" w:eastAsia="Times New Roman" w:hAnsi="Times New Roman" w:cs="Times New Roman"/>
          <w:sz w:val="24"/>
          <w:szCs w:val="24"/>
        </w:rPr>
        <w:t xml:space="preserve">/surgical harvesting and within 4 weeks of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xml:space="preserve">, confirming no active or uncontrolled infections. Infectious disease screening uses serology for HIV, hepatitis B/C (HBV/HCV), </w:t>
      </w:r>
      <w:r w:rsidRPr="00E95765">
        <w:rPr>
          <w:rFonts w:eastAsia="Times New Roman" w:cs="Times New Roman"/>
          <w:szCs w:val="24"/>
        </w:rPr>
        <w:t>herpes simplex virus</w:t>
      </w:r>
      <w:r w:rsidRPr="00E95765">
        <w:rPr>
          <w:rFonts w:ascii="Times New Roman" w:eastAsia="Times New Roman" w:hAnsi="Times New Roman" w:cs="Times New Roman"/>
          <w:sz w:val="24"/>
          <w:szCs w:val="24"/>
        </w:rPr>
        <w:t xml:space="preserve"> (</w:t>
      </w:r>
      <w:r w:rsidRPr="00E95765">
        <w:rPr>
          <w:rFonts w:eastAsia="Times New Roman" w:cs="Times New Roman"/>
          <w:szCs w:val="24"/>
        </w:rPr>
        <w:t>HSV</w:t>
      </w:r>
      <w:r w:rsidRPr="00E95765">
        <w:rPr>
          <w:rFonts w:ascii="Times New Roman" w:eastAsia="Times New Roman" w:hAnsi="Times New Roman" w:cs="Times New Roman"/>
          <w:sz w:val="24"/>
          <w:szCs w:val="24"/>
        </w:rPr>
        <w:t xml:space="preserve">), </w:t>
      </w:r>
      <w:r w:rsidRPr="00E95765">
        <w:rPr>
          <w:rFonts w:eastAsia="Times New Roman" w:cs="Times New Roman"/>
          <w:szCs w:val="24"/>
        </w:rPr>
        <w:t>varicella-zoster virus</w:t>
      </w:r>
      <w:r w:rsidRPr="00E95765">
        <w:rPr>
          <w:rFonts w:ascii="Times New Roman" w:eastAsia="Times New Roman" w:hAnsi="Times New Roman" w:cs="Times New Roman"/>
          <w:sz w:val="24"/>
          <w:szCs w:val="24"/>
        </w:rPr>
        <w:t xml:space="preserve"> (</w:t>
      </w:r>
      <w:r w:rsidRPr="00E95765">
        <w:rPr>
          <w:rFonts w:eastAsia="Times New Roman" w:cs="Times New Roman"/>
          <w:szCs w:val="24"/>
        </w:rPr>
        <w:t>VZV</w:t>
      </w:r>
      <w:r w:rsidRPr="00E95765">
        <w:rPr>
          <w:rFonts w:ascii="Times New Roman" w:eastAsia="Times New Roman" w:hAnsi="Times New Roman" w:cs="Times New Roman"/>
          <w:sz w:val="24"/>
          <w:szCs w:val="24"/>
        </w:rPr>
        <w:t xml:space="preserve">), </w:t>
      </w:r>
      <w:r w:rsidRPr="00E95765">
        <w:rPr>
          <w:rFonts w:eastAsia="Times New Roman" w:cs="Times New Roman"/>
          <w:szCs w:val="24"/>
        </w:rPr>
        <w:t>Epstei</w:t>
      </w:r>
      <w:r w:rsidRPr="00E95765">
        <w:rPr>
          <w:rFonts w:eastAsia="Times New Roman" w:cs="Times New Roman"/>
          <w:szCs w:val="24"/>
          <w:highlight w:val="green"/>
        </w:rPr>
        <w:t>n-</w:t>
      </w:r>
      <w:r w:rsidRPr="00E95765">
        <w:rPr>
          <w:rFonts w:eastAsia="Times New Roman" w:cs="Times New Roman"/>
          <w:szCs w:val="24"/>
        </w:rPr>
        <w:t>Barr virus</w:t>
      </w:r>
      <w:r w:rsidRPr="00E95765">
        <w:rPr>
          <w:rFonts w:ascii="Times New Roman" w:eastAsia="Times New Roman" w:hAnsi="Times New Roman" w:cs="Times New Roman"/>
          <w:sz w:val="24"/>
          <w:szCs w:val="24"/>
        </w:rPr>
        <w:t xml:space="preserve"> (</w:t>
      </w:r>
      <w:r w:rsidRPr="00E95765">
        <w:rPr>
          <w:rFonts w:eastAsia="Times New Roman" w:cs="Times New Roman"/>
          <w:szCs w:val="24"/>
        </w:rPr>
        <w:t>EBV</w:t>
      </w:r>
      <w:r w:rsidRPr="00E95765">
        <w:rPr>
          <w:rFonts w:ascii="Times New Roman" w:eastAsia="Times New Roman" w:hAnsi="Times New Roman" w:cs="Times New Roman"/>
          <w:sz w:val="24"/>
          <w:szCs w:val="24"/>
        </w:rPr>
        <w:t xml:space="preserve">), cytomegalovirus </w:t>
      </w:r>
      <w:r w:rsidRPr="00E95765">
        <w:rPr>
          <w:rFonts w:ascii="Times New Roman" w:eastAsia="Times New Roman" w:hAnsi="Times New Roman" w:cs="Times New Roman"/>
          <w:sz w:val="24"/>
          <w:szCs w:val="24"/>
          <w:highlight w:val="green"/>
        </w:rPr>
        <w:t>(CMV)</w:t>
      </w:r>
      <w:r w:rsidRPr="00E95765">
        <w:rPr>
          <w:rFonts w:ascii="Times New Roman" w:eastAsia="Times New Roman" w:hAnsi="Times New Roman" w:cs="Times New Roman"/>
          <w:sz w:val="24"/>
          <w:szCs w:val="24"/>
        </w:rPr>
        <w:t>, human T-</w:t>
      </w:r>
      <w:proofErr w:type="spellStart"/>
      <w:r w:rsidRPr="00E95765">
        <w:rPr>
          <w:rFonts w:ascii="Times New Roman" w:eastAsia="Times New Roman" w:hAnsi="Times New Roman" w:cs="Times New Roman"/>
          <w:sz w:val="24"/>
          <w:szCs w:val="24"/>
        </w:rPr>
        <w:t>lymphotropic</w:t>
      </w:r>
      <w:proofErr w:type="spellEnd"/>
      <w:r w:rsidRPr="00E95765">
        <w:rPr>
          <w:rFonts w:ascii="Times New Roman" w:eastAsia="Times New Roman" w:hAnsi="Times New Roman" w:cs="Times New Roman"/>
          <w:sz w:val="24"/>
          <w:szCs w:val="24"/>
        </w:rPr>
        <w:t xml:space="preserve"> virus (HTLV-1/2), syphilis (RPR), and </w:t>
      </w:r>
      <w:r w:rsidRPr="00E95765">
        <w:rPr>
          <w:rFonts w:eastAsia="Times New Roman" w:cs="Times New Roman"/>
          <w:szCs w:val="24"/>
        </w:rPr>
        <w:t>West Nile virus</w:t>
      </w:r>
      <w:r w:rsidRPr="00E95765">
        <w:rPr>
          <w:rFonts w:ascii="Times New Roman" w:eastAsia="Times New Roman" w:hAnsi="Times New Roman" w:cs="Times New Roman"/>
          <w:sz w:val="24"/>
          <w:szCs w:val="24"/>
        </w:rPr>
        <w:t xml:space="preserve"> (</w:t>
      </w:r>
      <w:r w:rsidRPr="00E95765">
        <w:rPr>
          <w:rFonts w:eastAsia="Times New Roman" w:cs="Times New Roman"/>
          <w:szCs w:val="24"/>
        </w:rPr>
        <w:t>WNV</w:t>
      </w:r>
      <w:r w:rsidRPr="00E95765">
        <w:rPr>
          <w:rFonts w:ascii="Times New Roman" w:eastAsia="Times New Roman" w:hAnsi="Times New Roman" w:cs="Times New Roman"/>
          <w:sz w:val="24"/>
          <w:szCs w:val="24"/>
        </w:rPr>
        <w:t xml:space="preserve">), with </w:t>
      </w:r>
      <w:r w:rsidRPr="00E95765">
        <w:rPr>
          <w:rFonts w:eastAsia="Times New Roman" w:cs="Times New Roman"/>
          <w:szCs w:val="24"/>
        </w:rPr>
        <w:t>polymerase chain reaction</w:t>
      </w:r>
      <w:r w:rsidRPr="00E95765">
        <w:rPr>
          <w:rFonts w:ascii="Times New Roman" w:eastAsia="Times New Roman" w:hAnsi="Times New Roman" w:cs="Times New Roman"/>
          <w:sz w:val="24"/>
          <w:szCs w:val="24"/>
        </w:rPr>
        <w:t xml:space="preserve"> (</w:t>
      </w:r>
      <w:r w:rsidRPr="00E95765">
        <w:rPr>
          <w:rFonts w:eastAsia="Times New Roman" w:cs="Times New Roman"/>
          <w:szCs w:val="24"/>
        </w:rPr>
        <w:t>PCR</w:t>
      </w:r>
      <w:r w:rsidRPr="00E95765">
        <w:rPr>
          <w:rFonts w:ascii="Times New Roman" w:eastAsia="Times New Roman" w:hAnsi="Times New Roman" w:cs="Times New Roman"/>
          <w:sz w:val="24"/>
          <w:szCs w:val="24"/>
        </w:rPr>
        <w:t xml:space="preserve">) confirmation for positive </w:t>
      </w:r>
      <w:proofErr w:type="spellStart"/>
      <w:r w:rsidRPr="00E95765">
        <w:rPr>
          <w:rFonts w:ascii="Times New Roman" w:eastAsia="Times New Roman" w:hAnsi="Times New Roman" w:cs="Times New Roman"/>
          <w:sz w:val="24"/>
          <w:szCs w:val="24"/>
        </w:rPr>
        <w:t>serologies</w:t>
      </w:r>
      <w:proofErr w:type="spellEnd"/>
      <w:r w:rsidRPr="00E95765">
        <w:rPr>
          <w:rFonts w:ascii="Times New Roman" w:eastAsia="Times New Roman" w:hAnsi="Times New Roman" w:cs="Times New Roman"/>
          <w:sz w:val="24"/>
          <w:szCs w:val="24"/>
        </w:rPr>
        <w:t xml:space="preserve">. Tuberculosis screening (e.g., </w:t>
      </w:r>
      <w:proofErr w:type="spellStart"/>
      <w:r w:rsidRPr="00E95765">
        <w:rPr>
          <w:rFonts w:ascii="Times New Roman" w:eastAsia="Times New Roman" w:hAnsi="Times New Roman" w:cs="Times New Roman"/>
          <w:sz w:val="24"/>
          <w:szCs w:val="24"/>
        </w:rPr>
        <w:t>QuantiFERON</w:t>
      </w:r>
      <w:proofErr w:type="spellEnd"/>
      <w:r w:rsidRPr="00E95765">
        <w:rPr>
          <w:rFonts w:ascii="Times New Roman" w:eastAsia="Times New Roman" w:hAnsi="Times New Roman" w:cs="Times New Roman"/>
          <w:sz w:val="24"/>
          <w:szCs w:val="24"/>
        </w:rPr>
        <w:t>, tuberculin skin test) for high-risk patients or those receiving TILs may be indicate</w:t>
      </w:r>
      <w:r w:rsidRPr="00E95765">
        <w:rPr>
          <w:rFonts w:ascii="Times New Roman" w:eastAsia="Times New Roman" w:hAnsi="Times New Roman" w:cs="Times New Roman"/>
          <w:sz w:val="24"/>
          <w:szCs w:val="24"/>
          <w:highlight w:val="green"/>
        </w:rPr>
        <w:t xml:space="preserve">d. </w:t>
      </w:r>
      <w:r w:rsidRPr="00E95765">
        <w:rPr>
          <w:rFonts w:ascii="Times New Roman" w:eastAsia="Times New Roman" w:hAnsi="Times New Roman" w:cs="Times New Roman"/>
          <w:sz w:val="24"/>
          <w:szCs w:val="24"/>
        </w:rPr>
        <w:t xml:space="preserve">Respiratory viral panel to include for COVID testing should be empirically performed prior </w:t>
      </w:r>
      <w:proofErr w:type="spellStart"/>
      <w:r w:rsidRPr="00E95765">
        <w:rPr>
          <w:rFonts w:ascii="Times New Roman" w:eastAsia="Times New Roman" w:hAnsi="Times New Roman" w:cs="Times New Roman"/>
          <w:sz w:val="24"/>
          <w:szCs w:val="24"/>
        </w:rPr>
        <w:t>leukapheresis</w:t>
      </w:r>
      <w:proofErr w:type="spellEnd"/>
      <w:r w:rsidRPr="00E95765">
        <w:rPr>
          <w:rFonts w:ascii="Times New Roman" w:eastAsia="Times New Roman" w:hAnsi="Times New Roman" w:cs="Times New Roman"/>
          <w:sz w:val="24"/>
          <w:szCs w:val="24"/>
        </w:rPr>
        <w:t xml:space="preserve">,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xml:space="preserve">, and cellular infusion and certainly in symptomatic cases. Additionally, endemic </w:t>
      </w:r>
    </w:p>
    <w:p w:rsidR="00D80BD4" w:rsidRPr="00E95765" w:rsidRDefault="00C40BF9" w:rsidP="00B86F94">
      <w:pPr>
        <w:pStyle w:val="PMI"/>
      </w:pPr>
      <w:r w:rsidRPr="00E95765">
        <w:rPr>
          <w:rStyle w:val="Tag"/>
          <w:rFonts w:ascii="Times New Roman" w:eastAsia="Times New Roman" w:hAnsi="Times New Roman" w:cs="Times New Roman"/>
          <w:iCs/>
          <w:sz w:val="24"/>
          <w:szCs w:val="24"/>
        </w:rPr>
        <w:t>&lt;/BL&gt;</w:t>
      </w:r>
    </w:p>
    <w:p w:rsidR="00D80BD4" w:rsidRPr="00E95765" w:rsidRDefault="00E95765">
      <w:pPr>
        <w:pStyle w:val="H20"/>
        <w:spacing w:before="100" w:beforeAutospacing="1" w:after="100" w:afterAutospacing="1" w:line="480" w:lineRule="auto"/>
        <w:contextualSpacing/>
        <w:rPr>
          <w:rFonts w:ascii="Times New Roman" w:eastAsia="Times New Roman" w:hAnsi="Times New Roman" w:cs="Times New Roman"/>
          <w:sz w:val="24"/>
          <w:szCs w:val="24"/>
          <w:highlight w:val="yellow"/>
        </w:rPr>
      </w:pPr>
      <w:r w:rsidRPr="00E95765">
        <w:rPr>
          <w:rStyle w:val="Tag"/>
          <w:rFonts w:ascii="Times New Roman" w:eastAsia="Times New Roman" w:hAnsi="Times New Roman" w:cs="Times New Roman"/>
          <w:iCs/>
          <w:sz w:val="24"/>
          <w:szCs w:val="24"/>
          <w:highlight w:val="yellow"/>
        </w:rPr>
        <w:t>&lt;H2&gt;</w:t>
      </w:r>
      <w:r w:rsidRPr="00E95765">
        <w:rPr>
          <w:rFonts w:eastAsia="Times New Roman" w:cs="Times New Roman"/>
          <w:i/>
          <w:iCs/>
          <w:szCs w:val="24"/>
          <w:highlight w:val="yellow"/>
        </w:rPr>
        <w:t>Diagnostic Evaluations</w:t>
      </w:r>
      <w:r w:rsidRPr="00E95765">
        <w:rPr>
          <w:rFonts w:ascii="Times New Roman" w:eastAsia="Times New Roman" w:hAnsi="Times New Roman" w:cs="Times New Roman"/>
          <w:sz w:val="24"/>
          <w:szCs w:val="24"/>
          <w:highlight w:val="yellow"/>
        </w:rPr>
        <w:t>:</w:t>
      </w:r>
    </w:p>
    <w:p w:rsidR="00D80BD4" w:rsidRPr="00E95765" w:rsidRDefault="00C40BF9" w:rsidP="00B86F94">
      <w:pPr>
        <w:pStyle w:val="PMI"/>
      </w:pPr>
      <w:r w:rsidRPr="00E95765">
        <w:rPr>
          <w:rStyle w:val="Tag"/>
          <w:rFonts w:ascii="Times New Roman" w:eastAsia="Times New Roman" w:hAnsi="Times New Roman" w:cs="Times New Roman"/>
          <w:sz w:val="24"/>
          <w:szCs w:val="24"/>
        </w:rPr>
        <w:t>&lt;BL&gt;</w:t>
      </w:r>
    </w:p>
    <w:p w:rsidR="00D80BD4" w:rsidRPr="00E95765" w:rsidRDefault="00C40BF9">
      <w:pPr>
        <w:pStyle w:val="BL-FIR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Cardiovascular/Pulmonary Testing</w:t>
      </w:r>
      <w:r w:rsidRPr="00E95765">
        <w:rPr>
          <w:rFonts w:ascii="Times New Roman" w:eastAsia="Times New Roman" w:hAnsi="Times New Roman" w:cs="Times New Roman"/>
          <w:sz w:val="24"/>
          <w:szCs w:val="24"/>
        </w:rPr>
        <w:t xml:space="preserve">: Perform baseline electrocardiogram (EKG), </w:t>
      </w:r>
      <w:proofErr w:type="spellStart"/>
      <w:r w:rsidRPr="00E95765">
        <w:rPr>
          <w:rFonts w:ascii="Times New Roman" w:eastAsia="Times New Roman" w:hAnsi="Times New Roman" w:cs="Times New Roman"/>
          <w:sz w:val="24"/>
          <w:szCs w:val="24"/>
        </w:rPr>
        <w:t>multigated</w:t>
      </w:r>
      <w:proofErr w:type="spellEnd"/>
      <w:r w:rsidRPr="00E95765">
        <w:rPr>
          <w:rFonts w:ascii="Times New Roman" w:eastAsia="Times New Roman" w:hAnsi="Times New Roman" w:cs="Times New Roman"/>
          <w:sz w:val="24"/>
          <w:szCs w:val="24"/>
        </w:rPr>
        <w:t xml:space="preserve"> acquisition (MUG</w:t>
      </w:r>
      <w:r w:rsidRPr="00E95765">
        <w:rPr>
          <w:rFonts w:ascii="Times New Roman" w:eastAsia="Times New Roman" w:hAnsi="Times New Roman" w:cs="Times New Roman"/>
          <w:sz w:val="24"/>
          <w:szCs w:val="24"/>
          <w:highlight w:val="green"/>
        </w:rPr>
        <w:t xml:space="preserve">A) </w:t>
      </w:r>
      <w:r w:rsidRPr="00E95765">
        <w:rPr>
          <w:rFonts w:ascii="Times New Roman" w:eastAsia="Times New Roman" w:hAnsi="Times New Roman" w:cs="Times New Roman"/>
          <w:sz w:val="24"/>
          <w:szCs w:val="24"/>
        </w:rPr>
        <w:t>scan or echocardiogram (ECHO, preferre</w:t>
      </w:r>
      <w:r w:rsidRPr="00E95765">
        <w:rPr>
          <w:rFonts w:ascii="Times New Roman" w:eastAsia="Times New Roman" w:hAnsi="Times New Roman" w:cs="Times New Roman"/>
          <w:sz w:val="24"/>
          <w:szCs w:val="24"/>
          <w:highlight w:val="green"/>
        </w:rPr>
        <w:t xml:space="preserve">d) </w:t>
      </w:r>
      <w:r w:rsidRPr="00E95765">
        <w:rPr>
          <w:rFonts w:ascii="Times New Roman" w:eastAsia="Times New Roman" w:hAnsi="Times New Roman" w:cs="Times New Roman"/>
          <w:sz w:val="24"/>
          <w:szCs w:val="24"/>
        </w:rPr>
        <w:t xml:space="preserve">for </w:t>
      </w:r>
      <w:r w:rsidRPr="00E95765">
        <w:rPr>
          <w:rFonts w:eastAsia="Times New Roman" w:cs="Times New Roman"/>
          <w:szCs w:val="24"/>
        </w:rPr>
        <w:t>left ventricular ejection fraction</w:t>
      </w:r>
      <w:r w:rsidRPr="00E95765">
        <w:rPr>
          <w:rFonts w:ascii="Times New Roman" w:eastAsia="Times New Roman" w:hAnsi="Times New Roman" w:cs="Times New Roman"/>
          <w:sz w:val="24"/>
          <w:szCs w:val="24"/>
        </w:rPr>
        <w:t xml:space="preserve"> (</w:t>
      </w:r>
      <w:r w:rsidRPr="00E95765">
        <w:rPr>
          <w:rFonts w:eastAsia="Times New Roman" w:cs="Times New Roman"/>
          <w:szCs w:val="24"/>
        </w:rPr>
        <w:t>LVE</w:t>
      </w:r>
      <w:r w:rsidRPr="00E95765">
        <w:rPr>
          <w:rFonts w:eastAsia="Times New Roman" w:cs="Times New Roman"/>
          <w:szCs w:val="24"/>
          <w:highlight w:val="green"/>
        </w:rPr>
        <w:t>F</w:t>
      </w:r>
      <w:r w:rsidRPr="00E95765">
        <w:rPr>
          <w:rFonts w:ascii="Times New Roman" w:eastAsia="Times New Roman" w:hAnsi="Times New Roman" w:cs="Times New Roman"/>
          <w:sz w:val="24"/>
          <w:szCs w:val="24"/>
          <w:highlight w:val="green"/>
        </w:rPr>
        <w:t xml:space="preserve">) </w:t>
      </w:r>
      <w:r w:rsidRPr="00E95765">
        <w:rPr>
          <w:rFonts w:ascii="Times New Roman" w:eastAsia="Times New Roman" w:hAnsi="Times New Roman" w:cs="Times New Roman"/>
          <w:sz w:val="24"/>
          <w:szCs w:val="24"/>
        </w:rPr>
        <w:t xml:space="preserve">assessment and structural abnormalities (e.g. pericardial effusions, wall motion, </w:t>
      </w:r>
      <w:proofErr w:type="spellStart"/>
      <w:r w:rsidRPr="00E95765">
        <w:rPr>
          <w:rFonts w:ascii="Times New Roman" w:eastAsia="Times New Roman" w:hAnsi="Times New Roman" w:cs="Times New Roman"/>
          <w:sz w:val="24"/>
          <w:szCs w:val="24"/>
        </w:rPr>
        <w:t>valvulopathies</w:t>
      </w:r>
      <w:proofErr w:type="spellEnd"/>
      <w:r w:rsidRPr="00E95765">
        <w:rPr>
          <w:rFonts w:ascii="Times New Roman" w:eastAsia="Times New Roman" w:hAnsi="Times New Roman" w:cs="Times New Roman"/>
          <w:sz w:val="24"/>
          <w:szCs w:val="24"/>
        </w:rPr>
        <w:t xml:space="preserve">, </w:t>
      </w:r>
      <w:proofErr w:type="spellStart"/>
      <w:r w:rsidRPr="00E95765">
        <w:rPr>
          <w:rFonts w:ascii="Times New Roman" w:eastAsia="Times New Roman" w:hAnsi="Times New Roman" w:cs="Times New Roman"/>
          <w:sz w:val="24"/>
          <w:szCs w:val="24"/>
        </w:rPr>
        <w:t>etc</w:t>
      </w:r>
      <w:proofErr w:type="spellEnd"/>
      <w:r w:rsidRPr="00E95765">
        <w:rPr>
          <w:rFonts w:ascii="Times New Roman" w:eastAsia="Times New Roman" w:hAnsi="Times New Roman" w:cs="Times New Roman"/>
          <w:sz w:val="24"/>
          <w:szCs w:val="24"/>
        </w:rPr>
        <w:t xml:space="preserve">), and </w:t>
      </w:r>
      <w:r w:rsidRPr="00E95765">
        <w:rPr>
          <w:rFonts w:eastAsia="Times New Roman" w:cs="Times New Roman"/>
          <w:szCs w:val="24"/>
        </w:rPr>
        <w:t>pulmonary function tests</w:t>
      </w:r>
      <w:r w:rsidRPr="00E95765">
        <w:rPr>
          <w:rFonts w:ascii="Times New Roman" w:eastAsia="Times New Roman" w:hAnsi="Times New Roman" w:cs="Times New Roman"/>
          <w:sz w:val="24"/>
          <w:szCs w:val="24"/>
        </w:rPr>
        <w:t xml:space="preserve"> (</w:t>
      </w:r>
      <w:r w:rsidRPr="00E95765">
        <w:rPr>
          <w:rFonts w:eastAsia="Times New Roman" w:cs="Times New Roman"/>
          <w:szCs w:val="24"/>
        </w:rPr>
        <w:t>PFTs</w:t>
      </w:r>
      <w:r w:rsidRPr="00E95765">
        <w:rPr>
          <w:rFonts w:ascii="Times New Roman" w:eastAsia="Times New Roman" w:hAnsi="Times New Roman" w:cs="Times New Roman"/>
          <w:sz w:val="24"/>
          <w:szCs w:val="24"/>
        </w:rPr>
        <w:t>) with diffusing capacity (DLCO).</w:t>
      </w:r>
    </w:p>
    <w:p w:rsidR="00D80BD4" w:rsidRPr="00E95765" w:rsidRDefault="00C40BF9">
      <w:pPr>
        <w:pStyle w:val="BL-LA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lastRenderedPageBreak/>
        <w:t></w:t>
      </w:r>
      <w:r w:rsidRPr="00E95765">
        <w:rPr>
          <w:rFonts w:ascii="Symbol" w:eastAsia="Times New Roman" w:hAnsi="Symbol" w:cs="Times New Roman"/>
          <w:sz w:val="20"/>
          <w:szCs w:val="24"/>
        </w:rPr>
        <w:tab/>
      </w:r>
      <w:r w:rsidRPr="00E95765">
        <w:rPr>
          <w:rFonts w:eastAsia="Times New Roman" w:cs="Times New Roman"/>
          <w:b/>
          <w:bCs/>
          <w:szCs w:val="24"/>
        </w:rPr>
        <w:t>Frailty Assessment</w:t>
      </w:r>
      <w:r w:rsidRPr="00E95765">
        <w:rPr>
          <w:rFonts w:ascii="Times New Roman" w:eastAsia="Times New Roman" w:hAnsi="Times New Roman" w:cs="Times New Roman"/>
          <w:sz w:val="24"/>
          <w:szCs w:val="24"/>
        </w:rPr>
        <w:t>: Evaluate frailty with validated published indices to guide multidisciplinary optimization for high-risk patients (e.g., age &gt;70).</w:t>
      </w:r>
    </w:p>
    <w:p w:rsidR="00D80BD4" w:rsidRPr="00E95765" w:rsidRDefault="00C40BF9" w:rsidP="00B86F94">
      <w:pPr>
        <w:pStyle w:val="PMI"/>
      </w:pPr>
      <w:r w:rsidRPr="00E95765">
        <w:rPr>
          <w:rStyle w:val="Tag"/>
          <w:rFonts w:ascii="Times New Roman" w:eastAsia="Times New Roman" w:hAnsi="Times New Roman" w:cs="Times New Roman"/>
          <w:iCs/>
          <w:sz w:val="24"/>
          <w:szCs w:val="24"/>
        </w:rPr>
        <w:t>&lt;/BL&gt;</w:t>
      </w:r>
    </w:p>
    <w:p w:rsidR="00D80BD4" w:rsidRPr="00E95765" w:rsidRDefault="00E95765">
      <w:pPr>
        <w:pStyle w:val="H20"/>
        <w:spacing w:before="100" w:beforeAutospacing="1" w:after="100" w:afterAutospacing="1" w:line="480" w:lineRule="auto"/>
        <w:contextualSpacing/>
        <w:rPr>
          <w:rFonts w:ascii="Times New Roman" w:eastAsia="Times New Roman" w:hAnsi="Times New Roman" w:cs="Times New Roman"/>
          <w:sz w:val="24"/>
          <w:szCs w:val="24"/>
          <w:highlight w:val="yellow"/>
        </w:rPr>
      </w:pPr>
      <w:r w:rsidRPr="00E95765">
        <w:rPr>
          <w:rStyle w:val="Tag"/>
          <w:rFonts w:ascii="Times New Roman" w:eastAsia="Times New Roman" w:hAnsi="Times New Roman" w:cs="Times New Roman"/>
          <w:iCs/>
          <w:sz w:val="24"/>
          <w:szCs w:val="24"/>
          <w:highlight w:val="yellow"/>
        </w:rPr>
        <w:t>&lt;</w:t>
      </w:r>
      <w:r w:rsidR="00C40BF9" w:rsidRPr="00E95765">
        <w:rPr>
          <w:rStyle w:val="Tag"/>
          <w:rFonts w:ascii="Times New Roman" w:eastAsia="Times New Roman" w:hAnsi="Times New Roman" w:cs="Times New Roman"/>
          <w:iCs/>
          <w:sz w:val="24"/>
          <w:szCs w:val="24"/>
          <w:highlight w:val="yellow"/>
        </w:rPr>
        <w:t>H2</w:t>
      </w:r>
      <w:r w:rsidRPr="00E95765">
        <w:rPr>
          <w:rStyle w:val="Tag"/>
          <w:rFonts w:ascii="Times New Roman" w:eastAsia="Times New Roman" w:hAnsi="Times New Roman" w:cs="Times New Roman"/>
          <w:iCs/>
          <w:sz w:val="24"/>
          <w:szCs w:val="24"/>
          <w:highlight w:val="yellow"/>
        </w:rPr>
        <w:t>&gt;</w:t>
      </w:r>
      <w:r w:rsidR="00C40BF9" w:rsidRPr="00E95765">
        <w:rPr>
          <w:rFonts w:ascii="Times New Roman" w:eastAsia="Times New Roman" w:hAnsi="Times New Roman" w:cs="Times New Roman"/>
          <w:i/>
          <w:iCs/>
          <w:sz w:val="24"/>
          <w:szCs w:val="24"/>
          <w:highlight w:val="yellow"/>
        </w:rPr>
        <w:t xml:space="preserve">Absolute </w:t>
      </w:r>
      <w:proofErr w:type="gramStart"/>
      <w:r w:rsidRPr="00E95765">
        <w:rPr>
          <w:rFonts w:ascii="Times New Roman" w:eastAsia="Times New Roman" w:hAnsi="Times New Roman" w:cs="Times New Roman"/>
          <w:i/>
          <w:iCs/>
          <w:sz w:val="24"/>
          <w:szCs w:val="24"/>
          <w:highlight w:val="green"/>
        </w:rPr>
        <w:t>And</w:t>
      </w:r>
      <w:proofErr w:type="gramEnd"/>
      <w:r w:rsidRPr="00E95765">
        <w:rPr>
          <w:rFonts w:ascii="Times New Roman" w:eastAsia="Times New Roman" w:hAnsi="Times New Roman" w:cs="Times New Roman"/>
          <w:i/>
          <w:iCs/>
          <w:sz w:val="24"/>
          <w:szCs w:val="24"/>
          <w:highlight w:val="yellow"/>
        </w:rPr>
        <w:t xml:space="preserve"> </w:t>
      </w:r>
      <w:r w:rsidR="00C40BF9" w:rsidRPr="00E95765">
        <w:rPr>
          <w:rFonts w:ascii="Times New Roman" w:eastAsia="Times New Roman" w:hAnsi="Times New Roman" w:cs="Times New Roman"/>
          <w:i/>
          <w:iCs/>
          <w:sz w:val="24"/>
          <w:szCs w:val="24"/>
          <w:highlight w:val="yellow"/>
        </w:rPr>
        <w:t>Relative Exclusion Criteria</w:t>
      </w:r>
      <w:r w:rsidRPr="00E95765">
        <w:rPr>
          <w:rFonts w:ascii="Times New Roman" w:eastAsia="Times New Roman" w:hAnsi="Times New Roman" w:cs="Times New Roman"/>
          <w:sz w:val="24"/>
          <w:szCs w:val="24"/>
          <w:highlight w:val="yellow"/>
        </w:rPr>
        <w:t>:</w:t>
      </w:r>
    </w:p>
    <w:p w:rsidR="00D80BD4" w:rsidRPr="00E95765" w:rsidRDefault="00C40BF9" w:rsidP="00B86F94">
      <w:pPr>
        <w:pStyle w:val="PMI"/>
      </w:pPr>
      <w:r w:rsidRPr="00E95765">
        <w:rPr>
          <w:rStyle w:val="Tag"/>
          <w:rFonts w:ascii="Times New Roman" w:eastAsia="Times New Roman" w:hAnsi="Times New Roman" w:cs="Times New Roman"/>
          <w:sz w:val="24"/>
          <w:szCs w:val="24"/>
        </w:rPr>
        <w:t>&lt;BL&gt;</w:t>
      </w:r>
    </w:p>
    <w:p w:rsidR="00D80BD4" w:rsidRPr="00E95765" w:rsidRDefault="00C40BF9" w:rsidP="00B86F94">
      <w:pPr>
        <w:pStyle w:val="BL-FIR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ascii="Times New Roman" w:eastAsia="Times New Roman" w:hAnsi="Times New Roman" w:cs="Times New Roman"/>
          <w:sz w:val="24"/>
          <w:szCs w:val="24"/>
        </w:rPr>
        <w:t xml:space="preserve">Vary across protocols/institutional guidelines and type of cellular immunotherapy but include proximal </w:t>
      </w:r>
      <w:proofErr w:type="spellStart"/>
      <w:r w:rsidRPr="00E95765">
        <w:rPr>
          <w:rFonts w:ascii="Times New Roman" w:eastAsia="Times New Roman" w:hAnsi="Times New Roman" w:cs="Times New Roman"/>
          <w:sz w:val="24"/>
          <w:szCs w:val="24"/>
        </w:rPr>
        <w:t>all</w:t>
      </w:r>
      <w:r w:rsidRPr="00E95765">
        <w:rPr>
          <w:rFonts w:ascii="Times New Roman" w:eastAsia="Times New Roman" w:hAnsi="Times New Roman" w:cs="Times New Roman"/>
          <w:sz w:val="24"/>
          <w:szCs w:val="24"/>
          <w:highlight w:val="green"/>
        </w:rPr>
        <w:t>o</w:t>
      </w:r>
      <w:proofErr w:type="spellEnd"/>
      <w:r w:rsidRPr="00E95765">
        <w:rPr>
          <w:rFonts w:ascii="Times New Roman" w:eastAsia="Times New Roman" w:hAnsi="Times New Roman" w:cs="Times New Roman"/>
          <w:sz w:val="24"/>
          <w:szCs w:val="24"/>
          <w:highlight w:val="green"/>
        </w:rPr>
        <w:t>-</w:t>
      </w:r>
      <w:r w:rsidRPr="00E95765">
        <w:rPr>
          <w:rFonts w:ascii="Times New Roman" w:eastAsia="Times New Roman" w:hAnsi="Times New Roman" w:cs="Times New Roman"/>
          <w:sz w:val="24"/>
          <w:szCs w:val="24"/>
        </w:rPr>
        <w:t xml:space="preserve">HCT (e.g. &lt;100 days), active </w:t>
      </w:r>
      <w:proofErr w:type="spellStart"/>
      <w:r w:rsidRPr="00E95765">
        <w:rPr>
          <w:rFonts w:ascii="Times New Roman" w:eastAsia="Times New Roman" w:hAnsi="Times New Roman" w:cs="Times New Roman"/>
          <w:sz w:val="24"/>
          <w:szCs w:val="24"/>
        </w:rPr>
        <w:t>GvHD</w:t>
      </w:r>
      <w:proofErr w:type="spellEnd"/>
      <w:r w:rsidRPr="00E95765">
        <w:rPr>
          <w:rFonts w:ascii="Times New Roman" w:eastAsia="Times New Roman" w:hAnsi="Times New Roman" w:cs="Times New Roman"/>
          <w:sz w:val="24"/>
          <w:szCs w:val="24"/>
        </w:rPr>
        <w:t>, cellular persistence of previously received gene-modified CAR product (particularly when considering a new gene-modified cellular therapy), synchronous malignancies (often excluding cutaneous squamous cell carcinoma), active/untreated CNS disease (e.g. active malignancy, uncontrolled seizures), uncontrolled infection, active immunosuppression, et</w:t>
      </w:r>
      <w:r w:rsidRPr="00E95765">
        <w:rPr>
          <w:rFonts w:ascii="Times New Roman" w:eastAsia="Times New Roman" w:hAnsi="Times New Roman" w:cs="Times New Roman"/>
          <w:sz w:val="24"/>
          <w:szCs w:val="24"/>
          <w:highlight w:val="green"/>
        </w:rPr>
        <w:t xml:space="preserve">c. </w:t>
      </w:r>
    </w:p>
    <w:p w:rsidR="00D80BD4" w:rsidRPr="00E95765" w:rsidRDefault="00C40BF9" w:rsidP="00B86F94">
      <w:pPr>
        <w:pStyle w:val="PMI"/>
      </w:pPr>
      <w:r w:rsidRPr="00E95765">
        <w:rPr>
          <w:rStyle w:val="Tag"/>
          <w:rFonts w:ascii="Times New Roman" w:eastAsia="Times New Roman" w:hAnsi="Times New Roman" w:cs="Times New Roman"/>
          <w:iCs/>
          <w:sz w:val="24"/>
          <w:szCs w:val="24"/>
        </w:rPr>
        <w:t>&lt;/BL&gt;</w:t>
      </w:r>
    </w:p>
    <w:p w:rsidR="00D80BD4" w:rsidRPr="00E95765" w:rsidRDefault="00E95765">
      <w:pPr>
        <w:pStyle w:val="H20"/>
        <w:spacing w:before="100" w:beforeAutospacing="1" w:after="100" w:afterAutospacing="1" w:line="480" w:lineRule="auto"/>
        <w:contextualSpacing/>
        <w:rPr>
          <w:rFonts w:ascii="Times New Roman" w:eastAsia="Times New Roman" w:hAnsi="Times New Roman" w:cs="Times New Roman"/>
          <w:sz w:val="24"/>
          <w:szCs w:val="24"/>
          <w:highlight w:val="yellow"/>
        </w:rPr>
      </w:pPr>
      <w:r w:rsidRPr="00E95765">
        <w:rPr>
          <w:rStyle w:val="Tag"/>
          <w:rFonts w:ascii="Times New Roman" w:eastAsia="Times New Roman" w:hAnsi="Times New Roman" w:cs="Times New Roman"/>
          <w:iCs/>
          <w:sz w:val="24"/>
          <w:szCs w:val="24"/>
          <w:highlight w:val="yellow"/>
        </w:rPr>
        <w:t>&lt;</w:t>
      </w:r>
      <w:r w:rsidR="00C40BF9" w:rsidRPr="00E95765">
        <w:rPr>
          <w:rStyle w:val="Tag"/>
          <w:rFonts w:ascii="Times New Roman" w:eastAsia="Times New Roman" w:hAnsi="Times New Roman" w:cs="Times New Roman"/>
          <w:iCs/>
          <w:sz w:val="24"/>
          <w:szCs w:val="24"/>
          <w:highlight w:val="yellow"/>
        </w:rPr>
        <w:t>H2</w:t>
      </w:r>
      <w:r w:rsidRPr="00E95765">
        <w:rPr>
          <w:rStyle w:val="Tag"/>
          <w:rFonts w:ascii="Times New Roman" w:eastAsia="Times New Roman" w:hAnsi="Times New Roman" w:cs="Times New Roman"/>
          <w:iCs/>
          <w:sz w:val="24"/>
          <w:szCs w:val="24"/>
          <w:highlight w:val="yellow"/>
        </w:rPr>
        <w:t>&gt;</w:t>
      </w:r>
      <w:r w:rsidR="00C40BF9" w:rsidRPr="00E95765">
        <w:rPr>
          <w:rFonts w:ascii="Times New Roman" w:eastAsia="Times New Roman" w:hAnsi="Times New Roman" w:cs="Times New Roman"/>
          <w:i/>
          <w:iCs/>
          <w:sz w:val="24"/>
          <w:szCs w:val="24"/>
          <w:highlight w:val="yellow"/>
        </w:rPr>
        <w:t xml:space="preserve">CNS Disease </w:t>
      </w:r>
      <w:proofErr w:type="gramStart"/>
      <w:r w:rsidRPr="00E95765">
        <w:rPr>
          <w:rFonts w:ascii="Times New Roman" w:eastAsia="Times New Roman" w:hAnsi="Times New Roman" w:cs="Times New Roman"/>
          <w:i/>
          <w:iCs/>
          <w:sz w:val="24"/>
          <w:szCs w:val="24"/>
          <w:highlight w:val="green"/>
        </w:rPr>
        <w:t>And</w:t>
      </w:r>
      <w:proofErr w:type="gramEnd"/>
      <w:r w:rsidRPr="00E95765">
        <w:rPr>
          <w:rFonts w:ascii="Times New Roman" w:eastAsia="Times New Roman" w:hAnsi="Times New Roman" w:cs="Times New Roman"/>
          <w:i/>
          <w:iCs/>
          <w:sz w:val="24"/>
          <w:szCs w:val="24"/>
          <w:highlight w:val="yellow"/>
        </w:rPr>
        <w:t xml:space="preserve"> </w:t>
      </w:r>
      <w:proofErr w:type="spellStart"/>
      <w:r w:rsidR="00C40BF9" w:rsidRPr="00E95765">
        <w:rPr>
          <w:rFonts w:ascii="Times New Roman" w:eastAsia="Times New Roman" w:hAnsi="Times New Roman" w:cs="Times New Roman"/>
          <w:i/>
          <w:iCs/>
          <w:sz w:val="24"/>
          <w:szCs w:val="24"/>
          <w:highlight w:val="yellow"/>
        </w:rPr>
        <w:t>Debulking</w:t>
      </w:r>
      <w:proofErr w:type="spellEnd"/>
      <w:r w:rsidR="00C40BF9" w:rsidRPr="00E95765">
        <w:rPr>
          <w:rFonts w:ascii="Times New Roman" w:eastAsia="Times New Roman" w:hAnsi="Times New Roman" w:cs="Times New Roman"/>
          <w:i/>
          <w:iCs/>
          <w:sz w:val="24"/>
          <w:szCs w:val="24"/>
          <w:highlight w:val="yellow"/>
        </w:rPr>
        <w:t xml:space="preserve"> Considerations</w:t>
      </w:r>
      <w:r w:rsidRPr="00E95765">
        <w:rPr>
          <w:rFonts w:ascii="Times New Roman" w:eastAsia="Times New Roman" w:hAnsi="Times New Roman" w:cs="Times New Roman"/>
          <w:sz w:val="24"/>
          <w:szCs w:val="24"/>
          <w:highlight w:val="yellow"/>
        </w:rPr>
        <w:t>:</w:t>
      </w:r>
    </w:p>
    <w:p w:rsidR="00D80BD4" w:rsidRPr="00E95765" w:rsidRDefault="00C40BF9">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Active CNS involvement, historically a relative contraindication for cellular immunotherapies due to ICANS risk, now shows comparable efficacy/safety in rea</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world CAR T-cell dat</w:t>
      </w:r>
      <w:r w:rsidRPr="00E95765">
        <w:rPr>
          <w:rFonts w:ascii="Times New Roman" w:eastAsia="Times New Roman" w:hAnsi="Times New Roman" w:cs="Times New Roman"/>
          <w:sz w:val="24"/>
          <w:szCs w:val="24"/>
          <w:highlight w:val="green"/>
        </w:rPr>
        <w:t xml:space="preserve">a. </w:t>
      </w:r>
      <w:r w:rsidRPr="00E95765">
        <w:rPr>
          <w:rFonts w:ascii="Times New Roman" w:eastAsia="Times New Roman" w:hAnsi="Times New Roman" w:cs="Times New Roman"/>
          <w:sz w:val="24"/>
          <w:szCs w:val="24"/>
        </w:rPr>
        <w:t>High-risk patients (e.g., ALL, high grade lymphom</w:t>
      </w:r>
      <w:r w:rsidRPr="00E95765">
        <w:rPr>
          <w:rFonts w:ascii="Times New Roman" w:eastAsia="Times New Roman" w:hAnsi="Times New Roman" w:cs="Times New Roman"/>
          <w:sz w:val="24"/>
          <w:szCs w:val="24"/>
          <w:highlight w:val="green"/>
        </w:rPr>
        <w:t xml:space="preserve">a) </w:t>
      </w:r>
      <w:r w:rsidRPr="00E95765">
        <w:rPr>
          <w:rFonts w:ascii="Times New Roman" w:eastAsia="Times New Roman" w:hAnsi="Times New Roman" w:cs="Times New Roman"/>
          <w:sz w:val="24"/>
          <w:szCs w:val="24"/>
        </w:rPr>
        <w:t xml:space="preserve">should be screened with lumbar puncture (to include opening pressures) and MRI brain/spine with </w:t>
      </w:r>
      <w:proofErr w:type="spellStart"/>
      <w:r w:rsidRPr="00E95765">
        <w:rPr>
          <w:rFonts w:ascii="Times New Roman" w:eastAsia="Times New Roman" w:hAnsi="Times New Roman" w:cs="Times New Roman"/>
          <w:sz w:val="24"/>
          <w:szCs w:val="24"/>
        </w:rPr>
        <w:t>debulk</w:t>
      </w:r>
      <w:proofErr w:type="spellEnd"/>
      <w:r w:rsidRPr="00E95765">
        <w:rPr>
          <w:rFonts w:ascii="Times New Roman" w:eastAsia="Times New Roman" w:hAnsi="Times New Roman" w:cs="Times New Roman"/>
          <w:sz w:val="24"/>
          <w:szCs w:val="24"/>
        </w:rPr>
        <w:t xml:space="preserve"> via </w:t>
      </w:r>
      <w:proofErr w:type="spellStart"/>
      <w:r w:rsidRPr="00E95765">
        <w:rPr>
          <w:rFonts w:ascii="Times New Roman" w:eastAsia="Times New Roman" w:hAnsi="Times New Roman" w:cs="Times New Roman"/>
          <w:sz w:val="24"/>
          <w:szCs w:val="24"/>
        </w:rPr>
        <w:t>intrathecal</w:t>
      </w:r>
      <w:proofErr w:type="spellEnd"/>
      <w:r w:rsidRPr="00E95765">
        <w:rPr>
          <w:rFonts w:ascii="Times New Roman" w:eastAsia="Times New Roman" w:hAnsi="Times New Roman" w:cs="Times New Roman"/>
          <w:sz w:val="24"/>
          <w:szCs w:val="24"/>
        </w:rPr>
        <w:t xml:space="preserve">/systemic chemotherapy prior to cellular infusion to mitigate neurotoxic risk. Multidisciplinary input from </w:t>
      </w:r>
      <w:proofErr w:type="spellStart"/>
      <w:r w:rsidRPr="00E95765">
        <w:rPr>
          <w:rFonts w:ascii="Times New Roman" w:eastAsia="Times New Roman" w:hAnsi="Times New Roman" w:cs="Times New Roman"/>
          <w:sz w:val="24"/>
          <w:szCs w:val="24"/>
        </w:rPr>
        <w:t>neur</w:t>
      </w:r>
      <w:r w:rsidRPr="00E95765">
        <w:rPr>
          <w:rFonts w:ascii="Times New Roman" w:eastAsia="Times New Roman" w:hAnsi="Times New Roman" w:cs="Times New Roman"/>
          <w:sz w:val="24"/>
          <w:szCs w:val="24"/>
          <w:highlight w:val="green"/>
        </w:rPr>
        <w:t>o</w:t>
      </w:r>
      <w:proofErr w:type="spellEnd"/>
      <w:r w:rsidRPr="00E95765">
        <w:rPr>
          <w:rFonts w:ascii="Times New Roman" w:eastAsia="Times New Roman" w:hAnsi="Times New Roman" w:cs="Times New Roman"/>
          <w:sz w:val="24"/>
          <w:szCs w:val="24"/>
          <w:highlight w:val="green"/>
        </w:rPr>
        <w:t>-</w:t>
      </w:r>
      <w:r w:rsidRPr="00E95765">
        <w:rPr>
          <w:rFonts w:ascii="Times New Roman" w:eastAsia="Times New Roman" w:hAnsi="Times New Roman" w:cs="Times New Roman"/>
          <w:sz w:val="24"/>
          <w:szCs w:val="24"/>
        </w:rPr>
        <w:t>oncology and enhanced monitoring are critical in such circumstances. Of note, patients being considered for TILs in the auspices of high dose I</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 xml:space="preserve">2 </w:t>
      </w:r>
      <w:r w:rsidRPr="00E95765">
        <w:rPr>
          <w:rFonts w:ascii="Times New Roman" w:eastAsia="Times New Roman" w:hAnsi="Times New Roman" w:cs="Times New Roman"/>
          <w:sz w:val="24"/>
          <w:szCs w:val="24"/>
        </w:rPr>
        <w:lastRenderedPageBreak/>
        <w:t xml:space="preserve">support may require multidisciplinary discussions as CNS metastasis precluded treatment eligibility in most published studies. </w:t>
      </w:r>
    </w:p>
    <w:p w:rsidR="00D80BD4" w:rsidRPr="00E95765" w:rsidRDefault="00E95765">
      <w:pPr>
        <w:pStyle w:val="H1"/>
        <w:spacing w:before="100" w:beforeAutospacing="1" w:after="100" w:afterAutospacing="1" w:line="480" w:lineRule="auto"/>
        <w:contextualSpacing/>
        <w:rPr>
          <w:rFonts w:ascii="Times New Roman" w:eastAsia="Times New Roman" w:hAnsi="Times New Roman" w:cs="Times New Roman"/>
          <w:sz w:val="24"/>
          <w:szCs w:val="24"/>
          <w:highlight w:val="yellow"/>
        </w:rPr>
      </w:pPr>
      <w:r w:rsidRPr="00E95765">
        <w:rPr>
          <w:rStyle w:val="Tag"/>
          <w:rFonts w:ascii="Times New Roman" w:eastAsia="Times New Roman" w:hAnsi="Times New Roman" w:cs="Times New Roman"/>
          <w:b/>
          <w:bCs/>
          <w:sz w:val="24"/>
          <w:szCs w:val="24"/>
          <w:highlight w:val="yellow"/>
        </w:rPr>
        <w:t>&lt;H1&gt;</w:t>
      </w:r>
      <w:r w:rsidRPr="00E95765">
        <w:rPr>
          <w:rFonts w:ascii="Times New Roman" w:eastAsia="Times New Roman" w:hAnsi="Times New Roman" w:cs="Times New Roman"/>
          <w:b/>
          <w:bCs/>
          <w:sz w:val="24"/>
          <w:szCs w:val="24"/>
          <w:highlight w:val="yellow"/>
        </w:rPr>
        <w:t>Therapy-Specific Eligibility Criteria</w:t>
      </w:r>
    </w:p>
    <w:p w:rsidR="00D80BD4" w:rsidRPr="00E95765" w:rsidRDefault="00C40BF9">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Eligibility criteria reflect the unique demands of each cellular immunotherapy incorporating molecular requisites, disease indication, intensity of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and need for adjuvant potent cytokine support. In the realm of regulatory approved products, rea</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world evidence supports cautious flexibility through multidisciplinary optimization.</w:t>
      </w:r>
    </w:p>
    <w:p w:rsidR="00D80BD4" w:rsidRPr="00E95765" w:rsidRDefault="00C40BF9" w:rsidP="00B86F94">
      <w:pPr>
        <w:pStyle w:val="PMI"/>
      </w:pPr>
      <w:r w:rsidRPr="00E95765">
        <w:rPr>
          <w:rStyle w:val="Tag"/>
          <w:rFonts w:ascii="Times New Roman" w:eastAsia="Times New Roman" w:hAnsi="Times New Roman" w:cs="Times New Roman"/>
          <w:sz w:val="24"/>
          <w:szCs w:val="24"/>
        </w:rPr>
        <w:t>&lt;BL&gt;</w:t>
      </w:r>
    </w:p>
    <w:p w:rsidR="00D80BD4" w:rsidRPr="00E95765" w:rsidRDefault="00C40BF9">
      <w:pPr>
        <w:pStyle w:val="BL-FIR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CAR</w:t>
      </w:r>
      <w:r w:rsidRPr="00E95765">
        <w:rPr>
          <w:rFonts w:ascii="Times New Roman" w:eastAsia="Times New Roman" w:hAnsi="Times New Roman" w:cs="Times New Roman"/>
          <w:b/>
          <w:bCs/>
          <w:sz w:val="24"/>
          <w:szCs w:val="24"/>
        </w:rPr>
        <w:t xml:space="preserve"> T-Cell Eligibility</w:t>
      </w:r>
      <w:r w:rsidRPr="00E95765">
        <w:rPr>
          <w:rFonts w:ascii="Times New Roman" w:eastAsia="Times New Roman" w:hAnsi="Times New Roman" w:cs="Times New Roman"/>
          <w:sz w:val="24"/>
          <w:szCs w:val="24"/>
        </w:rPr>
        <w:t>: Eligibility for CAR T-cell therapies vary due to diverse cellular constructs and respective indications. Seminal registration trials for B cell malignancies required robust performance status (Eastern Cooperative Oncology Group [ECOG 0</w:t>
      </w:r>
      <w:r w:rsidRPr="00E95765">
        <w:rPr>
          <w:rStyle w:val="BulletManualBodyList"/>
          <w:rFonts w:ascii="Times New Roman" w:eastAsia="Times New Roman" w:hAnsi="Times New Roman" w:cs="Times New Roman"/>
          <w:sz w:val="24"/>
          <w:szCs w:val="24"/>
        </w:rPr>
        <w:t>–</w:t>
      </w:r>
      <w:r w:rsidRPr="00E95765">
        <w:rPr>
          <w:rFonts w:ascii="Times New Roman" w:eastAsia="Times New Roman" w:hAnsi="Times New Roman" w:cs="Times New Roman"/>
          <w:sz w:val="24"/>
          <w:szCs w:val="24"/>
        </w:rPr>
        <w:t>1]), minimal comorbidities, and stable diseas</w:t>
      </w:r>
      <w:r w:rsidRPr="00E95765">
        <w:rPr>
          <w:rFonts w:ascii="Times New Roman" w:eastAsia="Times New Roman" w:hAnsi="Times New Roman" w:cs="Times New Roman"/>
          <w:sz w:val="24"/>
          <w:szCs w:val="24"/>
          <w:highlight w:val="green"/>
        </w:rPr>
        <w:t xml:space="preserve">e. </w:t>
      </w:r>
      <w:r w:rsidRPr="00E95765">
        <w:rPr>
          <w:rFonts w:ascii="Times New Roman" w:eastAsia="Times New Roman" w:hAnsi="Times New Roman" w:cs="Times New Roman"/>
          <w:sz w:val="24"/>
          <w:szCs w:val="24"/>
        </w:rPr>
        <w:t>However, rea</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 xml:space="preserve">world data demonstrate efficacy in “frail” or transplant-ineligible patients, enabling broader post-approval flexibility. At-risk patients with borderline performance status, comorbidities, or cognitive limitations benefit from multidisciplinary frailty assessments, involving geriatrics, physical therapy, nutrition, and social work, to optimize therapeutic access. Bridging therapies (Chapter </w:t>
      </w:r>
      <w:r w:rsidRPr="00E95765">
        <w:rPr>
          <w:rFonts w:ascii="Times New Roman" w:eastAsia="Times New Roman" w:hAnsi="Times New Roman" w:cs="Times New Roman"/>
          <w:sz w:val="24"/>
          <w:szCs w:val="24"/>
          <w:highlight w:val="green"/>
        </w:rPr>
        <w:t xml:space="preserve">7) </w:t>
      </w:r>
      <w:r w:rsidRPr="00E95765">
        <w:rPr>
          <w:rFonts w:ascii="Times New Roman" w:eastAsia="Times New Roman" w:hAnsi="Times New Roman" w:cs="Times New Roman"/>
          <w:sz w:val="24"/>
          <w:szCs w:val="24"/>
        </w:rPr>
        <w:t>may stabilize bulky/kinetically active disease to reduce toxicity, though tria</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specific exclusions, such as active or uncontrolled infections, remain applicable.</w:t>
      </w:r>
    </w:p>
    <w:p w:rsidR="00D80BD4" w:rsidRPr="00E95765" w:rsidRDefault="00C40BF9">
      <w:pPr>
        <w:pStyle w:val="BL-MID"/>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TCR</w:t>
      </w:r>
      <w:r w:rsidRPr="00E95765">
        <w:rPr>
          <w:rFonts w:ascii="Times New Roman" w:eastAsia="Times New Roman" w:hAnsi="Times New Roman" w:cs="Times New Roman"/>
          <w:b/>
          <w:bCs/>
          <w:sz w:val="24"/>
          <w:szCs w:val="24"/>
        </w:rPr>
        <w:t xml:space="preserve"> T-Cell Eligibility</w:t>
      </w:r>
      <w:r w:rsidRPr="00E95765">
        <w:rPr>
          <w:rFonts w:ascii="Times New Roman" w:eastAsia="Times New Roman" w:hAnsi="Times New Roman" w:cs="Times New Roman"/>
          <w:sz w:val="24"/>
          <w:szCs w:val="24"/>
        </w:rPr>
        <w:t xml:space="preserve">: TCR T-cell eligibility is predicated on HLA compatibility and relevant antigen expression, with investigational trials mandating adequate performance status, preserved organ function, and consideration of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xml:space="preserve"> intensity. Although real world data in regulatory-approved TCR therapies are limited, </w:t>
      </w:r>
      <w:r w:rsidRPr="00E95765">
        <w:rPr>
          <w:rFonts w:ascii="Times New Roman" w:eastAsia="Times New Roman" w:hAnsi="Times New Roman" w:cs="Times New Roman"/>
          <w:sz w:val="24"/>
          <w:szCs w:val="24"/>
        </w:rPr>
        <w:lastRenderedPageBreak/>
        <w:t xml:space="preserve">clinical protocols may cautiously include frail patients with multidisciplinary optimization, as comorbidities do not necessarily preclude efficacy. Comprehensive assessment ensures tolerance of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xml:space="preserve"> and infusion, with tria</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specific HLA restrictions (e.g., HLA-A*02:0</w:t>
      </w:r>
      <w:r w:rsidRPr="00E95765">
        <w:rPr>
          <w:rFonts w:ascii="Times New Roman" w:eastAsia="Times New Roman" w:hAnsi="Times New Roman" w:cs="Times New Roman"/>
          <w:sz w:val="24"/>
          <w:szCs w:val="24"/>
          <w:highlight w:val="green"/>
        </w:rPr>
        <w:t xml:space="preserve">1) </w:t>
      </w:r>
      <w:r w:rsidRPr="00E95765">
        <w:rPr>
          <w:rFonts w:ascii="Times New Roman" w:eastAsia="Times New Roman" w:hAnsi="Times New Roman" w:cs="Times New Roman"/>
          <w:sz w:val="24"/>
          <w:szCs w:val="24"/>
        </w:rPr>
        <w:t>being critica</w:t>
      </w:r>
      <w:r w:rsidRPr="00E95765">
        <w:rPr>
          <w:rFonts w:ascii="Times New Roman" w:eastAsia="Times New Roman" w:hAnsi="Times New Roman" w:cs="Times New Roman"/>
          <w:sz w:val="24"/>
          <w:szCs w:val="24"/>
          <w:highlight w:val="green"/>
        </w:rPr>
        <w:t xml:space="preserve">l. </w:t>
      </w:r>
      <w:r w:rsidRPr="00E95765">
        <w:rPr>
          <w:rFonts w:ascii="Times New Roman" w:eastAsia="Times New Roman" w:hAnsi="Times New Roman" w:cs="Times New Roman"/>
          <w:sz w:val="24"/>
          <w:szCs w:val="24"/>
        </w:rPr>
        <w:t>Rea</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world flexibility is emerging but less established compared to CAR T-cells.</w:t>
      </w:r>
    </w:p>
    <w:p w:rsidR="00D80BD4" w:rsidRPr="00E95765" w:rsidRDefault="00C40BF9">
      <w:pPr>
        <w:pStyle w:val="BL-MID"/>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TIL</w:t>
      </w:r>
      <w:r w:rsidRPr="00E95765">
        <w:rPr>
          <w:rFonts w:ascii="Times New Roman" w:eastAsia="Times New Roman" w:hAnsi="Times New Roman" w:cs="Times New Roman"/>
          <w:b/>
          <w:bCs/>
          <w:sz w:val="24"/>
          <w:szCs w:val="24"/>
        </w:rPr>
        <w:t xml:space="preserve"> Eligibility</w:t>
      </w:r>
      <w:r w:rsidRPr="00E95765">
        <w:rPr>
          <w:rFonts w:ascii="Times New Roman" w:eastAsia="Times New Roman" w:hAnsi="Times New Roman" w:cs="Times New Roman"/>
          <w:sz w:val="24"/>
          <w:szCs w:val="24"/>
        </w:rPr>
        <w:t xml:space="preserve">: TIL therapies impose exquisitely stringent eligibility criteria due to prolonged manufacturing timelines, intensive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and adjuvant need for high-dose I</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 xml:space="preserve">2 administration. Investigational trials typically exclude frail patients lacking robust performance status, preserved organ function, or those with significant comorbidities (e.g. cardiac or pulmonary disease). Additionally, patients with brain metastasis are typically excluded from studies although should be discussed in a multidisciplinary setting. Regulatory-approved TIL therapies cautiously permit broader inclusion with multidisciplinary optimization. At-risk patients with borderline performance status or impaired organ function require frailty assessment to guide </w:t>
      </w:r>
      <w:proofErr w:type="spellStart"/>
      <w:r w:rsidRPr="00E95765">
        <w:rPr>
          <w:rFonts w:ascii="Times New Roman" w:eastAsia="Times New Roman" w:hAnsi="Times New Roman" w:cs="Times New Roman"/>
          <w:sz w:val="24"/>
          <w:szCs w:val="24"/>
        </w:rPr>
        <w:t>prehabilitation</w:t>
      </w:r>
      <w:proofErr w:type="spellEnd"/>
      <w:r w:rsidRPr="00E95765">
        <w:rPr>
          <w:rFonts w:ascii="Times New Roman" w:eastAsia="Times New Roman" w:hAnsi="Times New Roman" w:cs="Times New Roman"/>
          <w:sz w:val="24"/>
          <w:szCs w:val="24"/>
        </w:rPr>
        <w:t>. Sufficient tumor burden is essential for successful harvesting, and strict tria</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specific exclusions, such as active infections continue to apply.</w:t>
      </w:r>
    </w:p>
    <w:p w:rsidR="00D80BD4" w:rsidRPr="00E95765" w:rsidRDefault="00C40BF9">
      <w:pPr>
        <w:pStyle w:val="BL-MID"/>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proofErr w:type="spellStart"/>
      <w:r w:rsidRPr="00E95765">
        <w:rPr>
          <w:rFonts w:eastAsia="Times New Roman" w:cs="Times New Roman"/>
          <w:b/>
          <w:bCs/>
          <w:szCs w:val="24"/>
        </w:rPr>
        <w:t>BiTE</w:t>
      </w:r>
      <w:proofErr w:type="spellEnd"/>
      <w:r w:rsidRPr="00E95765">
        <w:rPr>
          <w:rFonts w:eastAsia="Times New Roman" w:cs="Times New Roman"/>
          <w:b/>
          <w:bCs/>
          <w:szCs w:val="24"/>
        </w:rPr>
        <w:t xml:space="preserve"> Eligibility</w:t>
      </w:r>
      <w:r w:rsidRPr="00E95765">
        <w:rPr>
          <w:rFonts w:ascii="Times New Roman" w:eastAsia="Times New Roman" w:hAnsi="Times New Roman" w:cs="Times New Roman"/>
          <w:sz w:val="24"/>
          <w:szCs w:val="24"/>
        </w:rPr>
        <w:t xml:space="preserve">: </w:t>
      </w:r>
      <w:proofErr w:type="spellStart"/>
      <w:r w:rsidRPr="00E95765">
        <w:rPr>
          <w:rFonts w:ascii="Times New Roman" w:eastAsia="Times New Roman" w:hAnsi="Times New Roman" w:cs="Times New Roman"/>
          <w:sz w:val="24"/>
          <w:szCs w:val="24"/>
        </w:rPr>
        <w:t>BiTE</w:t>
      </w:r>
      <w:proofErr w:type="spellEnd"/>
      <w:r w:rsidRPr="00E95765">
        <w:rPr>
          <w:rFonts w:ascii="Times New Roman" w:eastAsia="Times New Roman" w:hAnsi="Times New Roman" w:cs="Times New Roman"/>
          <w:sz w:val="24"/>
          <w:szCs w:val="24"/>
        </w:rPr>
        <w:t xml:space="preserve"> eligibility, driven by target antigen expression, is less restrictive, often accommodating patients with borderline performance status or impaired organ function. While investigational trials may exclude those with severe comorbidities, regulatory-approved </w:t>
      </w:r>
      <w:proofErr w:type="spellStart"/>
      <w:r w:rsidRPr="00E95765">
        <w:rPr>
          <w:rFonts w:ascii="Times New Roman" w:eastAsia="Times New Roman" w:hAnsi="Times New Roman" w:cs="Times New Roman"/>
          <w:sz w:val="24"/>
          <w:szCs w:val="24"/>
        </w:rPr>
        <w:t>BiTEs</w:t>
      </w:r>
      <w:proofErr w:type="spellEnd"/>
      <w:r w:rsidRPr="00E95765">
        <w:rPr>
          <w:rFonts w:ascii="Times New Roman" w:eastAsia="Times New Roman" w:hAnsi="Times New Roman" w:cs="Times New Roman"/>
          <w:sz w:val="24"/>
          <w:szCs w:val="24"/>
        </w:rPr>
        <w:t xml:space="preserve"> support frail patients through multidisciplinary optimization. Rea</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world flexibility enables use in high-burden diseases which leverages their off-the-shelf availability and potential role in “bridging”.</w:t>
      </w:r>
    </w:p>
    <w:p w:rsidR="00D80BD4" w:rsidRPr="00E95765" w:rsidRDefault="00C40BF9">
      <w:pPr>
        <w:pStyle w:val="BL-LA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Investigational Cell Therapies (NKs, CAR-M, Gamma-Delta T-Cells)</w:t>
      </w:r>
      <w:r w:rsidRPr="00E95765">
        <w:rPr>
          <w:rFonts w:ascii="Times New Roman" w:eastAsia="Times New Roman" w:hAnsi="Times New Roman" w:cs="Times New Roman"/>
          <w:sz w:val="24"/>
          <w:szCs w:val="24"/>
        </w:rPr>
        <w:t>: Eligibility for investigational therapies is governed by tria</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 xml:space="preserve">specific criteria, focusing on disease type, therapy modality, particular cellular construct,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xml:space="preserve"> intensity, and </w:t>
      </w:r>
      <w:r w:rsidRPr="00E95765">
        <w:rPr>
          <w:rFonts w:ascii="Times New Roman" w:eastAsia="Times New Roman" w:hAnsi="Times New Roman" w:cs="Times New Roman"/>
          <w:sz w:val="24"/>
          <w:szCs w:val="24"/>
        </w:rPr>
        <w:lastRenderedPageBreak/>
        <w:t>biological construct potency. Emerging data suggest potential inclusion of frail patients with optimization depending on above factors, though protocols prioritize antigen expression, infection control, and minimal comorbidities.</w:t>
      </w:r>
    </w:p>
    <w:p w:rsidR="00D80BD4" w:rsidRPr="00E95765" w:rsidRDefault="00C40BF9" w:rsidP="00B86F94">
      <w:pPr>
        <w:pStyle w:val="PMI"/>
      </w:pPr>
      <w:r w:rsidRPr="00E95765">
        <w:rPr>
          <w:rStyle w:val="Tag"/>
          <w:rFonts w:ascii="Times New Roman" w:eastAsia="Times New Roman" w:hAnsi="Times New Roman" w:cs="Times New Roman"/>
          <w:b/>
          <w:bCs/>
          <w:sz w:val="24"/>
          <w:szCs w:val="24"/>
        </w:rPr>
        <w:t>&lt;/BL&gt;</w:t>
      </w:r>
    </w:p>
    <w:p w:rsidR="00D80BD4" w:rsidRPr="00E95765" w:rsidRDefault="00E95765">
      <w:pPr>
        <w:pStyle w:val="H1"/>
        <w:spacing w:before="100" w:beforeAutospacing="1" w:after="100" w:afterAutospacing="1" w:line="480" w:lineRule="auto"/>
        <w:contextualSpacing/>
        <w:outlineLvl w:val="3"/>
        <w:rPr>
          <w:rFonts w:ascii="Times New Roman" w:eastAsia="Times New Roman" w:hAnsi="Times New Roman" w:cs="Times New Roman"/>
          <w:b/>
          <w:bCs/>
          <w:sz w:val="24"/>
          <w:szCs w:val="24"/>
          <w:highlight w:val="yellow"/>
        </w:rPr>
      </w:pPr>
      <w:r w:rsidRPr="00E95765">
        <w:rPr>
          <w:rStyle w:val="Tag"/>
          <w:rFonts w:ascii="Times New Roman" w:eastAsia="Times New Roman" w:hAnsi="Times New Roman" w:cs="Times New Roman"/>
          <w:b/>
          <w:bCs/>
          <w:sz w:val="24"/>
          <w:szCs w:val="24"/>
          <w:highlight w:val="yellow"/>
        </w:rPr>
        <w:t>&lt;H1&gt;</w:t>
      </w:r>
      <w:r w:rsidRPr="00E95765">
        <w:rPr>
          <w:rFonts w:ascii="Times New Roman" w:eastAsia="Times New Roman" w:hAnsi="Times New Roman" w:cs="Times New Roman"/>
          <w:b/>
          <w:bCs/>
          <w:sz w:val="24"/>
          <w:szCs w:val="24"/>
          <w:highlight w:val="yellow"/>
        </w:rPr>
        <w:t>Therapy-Specific Profiling</w:t>
      </w:r>
    </w:p>
    <w:p w:rsidR="00D80BD4" w:rsidRPr="00E95765" w:rsidRDefault="00C40BF9">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Therapy-specific profiling ensures biological compatibility and efficacy across therapy types and tumor indications:</w:t>
      </w:r>
    </w:p>
    <w:p w:rsidR="00D80BD4" w:rsidRPr="00E95765" w:rsidRDefault="00C40BF9" w:rsidP="00B86F94">
      <w:pPr>
        <w:pStyle w:val="PMI"/>
      </w:pPr>
      <w:r w:rsidRPr="00E95765">
        <w:rPr>
          <w:rStyle w:val="Tag"/>
          <w:rFonts w:ascii="Times New Roman" w:eastAsia="Times New Roman" w:hAnsi="Times New Roman" w:cs="Times New Roman"/>
          <w:sz w:val="24"/>
          <w:szCs w:val="24"/>
        </w:rPr>
        <w:t>&lt;BL&gt;</w:t>
      </w:r>
    </w:p>
    <w:p w:rsidR="00D80BD4" w:rsidRPr="00E95765" w:rsidRDefault="00C40BF9">
      <w:pPr>
        <w:pStyle w:val="BL-FIR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Antigen Expression</w:t>
      </w:r>
      <w:r w:rsidRPr="00E95765">
        <w:rPr>
          <w:rFonts w:ascii="Times New Roman" w:eastAsia="Times New Roman" w:hAnsi="Times New Roman" w:cs="Times New Roman"/>
          <w:sz w:val="24"/>
          <w:szCs w:val="24"/>
        </w:rPr>
        <w:t>: Confirm target antigen via immunohistochemistry (IH</w:t>
      </w:r>
      <w:r w:rsidRPr="00E95765">
        <w:rPr>
          <w:rFonts w:ascii="Times New Roman" w:eastAsia="Times New Roman" w:hAnsi="Times New Roman" w:cs="Times New Roman"/>
          <w:sz w:val="24"/>
          <w:szCs w:val="24"/>
          <w:highlight w:val="green"/>
        </w:rPr>
        <w:t xml:space="preserve">C) </w:t>
      </w:r>
      <w:r w:rsidRPr="00E95765">
        <w:rPr>
          <w:rFonts w:ascii="Times New Roman" w:eastAsia="Times New Roman" w:hAnsi="Times New Roman" w:cs="Times New Roman"/>
          <w:sz w:val="24"/>
          <w:szCs w:val="24"/>
        </w:rPr>
        <w:t xml:space="preserve">or flow </w:t>
      </w:r>
      <w:proofErr w:type="spellStart"/>
      <w:r w:rsidRPr="00E95765">
        <w:rPr>
          <w:rFonts w:ascii="Times New Roman" w:eastAsia="Times New Roman" w:hAnsi="Times New Roman" w:cs="Times New Roman"/>
          <w:sz w:val="24"/>
          <w:szCs w:val="24"/>
        </w:rPr>
        <w:t>cytometry</w:t>
      </w:r>
      <w:proofErr w:type="spellEnd"/>
      <w:r w:rsidRPr="00E95765">
        <w:rPr>
          <w:rFonts w:ascii="Times New Roman" w:eastAsia="Times New Roman" w:hAnsi="Times New Roman" w:cs="Times New Roman"/>
          <w:sz w:val="24"/>
          <w:szCs w:val="24"/>
        </w:rPr>
        <w:t xml:space="preserve"> per protocol and particularly after targeted therapy exposure to detect antigen escape.</w:t>
      </w:r>
    </w:p>
    <w:p w:rsidR="00D80BD4" w:rsidRPr="00E95765" w:rsidRDefault="00C40BF9">
      <w:pPr>
        <w:pStyle w:val="BL-MID"/>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Human Leukocyte Antigen</w:t>
      </w:r>
      <w:r w:rsidRPr="00E95765">
        <w:rPr>
          <w:rFonts w:ascii="Times New Roman" w:eastAsia="Times New Roman" w:hAnsi="Times New Roman" w:cs="Times New Roman"/>
          <w:b/>
          <w:bCs/>
          <w:sz w:val="24"/>
          <w:szCs w:val="24"/>
        </w:rPr>
        <w:t xml:space="preserve"> (</w:t>
      </w:r>
      <w:r w:rsidRPr="00E95765">
        <w:rPr>
          <w:rFonts w:eastAsia="Times New Roman" w:cs="Times New Roman"/>
          <w:b/>
          <w:bCs/>
          <w:szCs w:val="24"/>
        </w:rPr>
        <w:t>HL</w:t>
      </w:r>
      <w:r w:rsidRPr="00E95765">
        <w:rPr>
          <w:rFonts w:eastAsia="Times New Roman" w:cs="Times New Roman"/>
          <w:b/>
          <w:bCs/>
          <w:szCs w:val="24"/>
          <w:highlight w:val="green"/>
        </w:rPr>
        <w:t>A</w:t>
      </w:r>
      <w:r w:rsidRPr="00E95765">
        <w:rPr>
          <w:rFonts w:ascii="Times New Roman" w:eastAsia="Times New Roman" w:hAnsi="Times New Roman" w:cs="Times New Roman"/>
          <w:b/>
          <w:bCs/>
          <w:sz w:val="24"/>
          <w:szCs w:val="24"/>
          <w:highlight w:val="green"/>
        </w:rPr>
        <w:t xml:space="preserve">) </w:t>
      </w:r>
      <w:r w:rsidRPr="00E95765">
        <w:rPr>
          <w:rFonts w:ascii="Times New Roman" w:eastAsia="Times New Roman" w:hAnsi="Times New Roman" w:cs="Times New Roman"/>
          <w:b/>
          <w:bCs/>
          <w:sz w:val="24"/>
          <w:szCs w:val="24"/>
        </w:rPr>
        <w:t>Typing</w:t>
      </w:r>
      <w:r w:rsidRPr="00E95765">
        <w:rPr>
          <w:rFonts w:ascii="Times New Roman" w:eastAsia="Times New Roman" w:hAnsi="Times New Roman" w:cs="Times New Roman"/>
          <w:sz w:val="24"/>
          <w:szCs w:val="24"/>
        </w:rPr>
        <w:t>: Required for HLA-restricted therapies (e.g., TCR T-cell therapies) to ensure compatibility.</w:t>
      </w:r>
    </w:p>
    <w:p w:rsidR="00D80BD4" w:rsidRPr="00E95765" w:rsidRDefault="00C40BF9">
      <w:pPr>
        <w:pStyle w:val="BL-LA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Tumor Burden</w:t>
      </w:r>
      <w:r w:rsidRPr="00E95765">
        <w:rPr>
          <w:rFonts w:ascii="Times New Roman" w:eastAsia="Times New Roman" w:hAnsi="Times New Roman" w:cs="Times New Roman"/>
          <w:sz w:val="24"/>
          <w:szCs w:val="24"/>
        </w:rPr>
        <w:t xml:space="preserve">: For </w:t>
      </w:r>
      <w:proofErr w:type="gramStart"/>
      <w:r w:rsidRPr="00E95765">
        <w:rPr>
          <w:rFonts w:ascii="Times New Roman" w:eastAsia="Times New Roman" w:hAnsi="Times New Roman" w:cs="Times New Roman"/>
          <w:sz w:val="24"/>
          <w:szCs w:val="24"/>
        </w:rPr>
        <w:t>TILs,</w:t>
      </w:r>
      <w:proofErr w:type="gramEnd"/>
      <w:r w:rsidRPr="00E95765">
        <w:rPr>
          <w:rFonts w:ascii="Times New Roman" w:eastAsia="Times New Roman" w:hAnsi="Times New Roman" w:cs="Times New Roman"/>
          <w:sz w:val="24"/>
          <w:szCs w:val="24"/>
        </w:rPr>
        <w:t xml:space="preserve"> verify </w:t>
      </w:r>
      <w:proofErr w:type="spellStart"/>
      <w:r w:rsidRPr="00E95765">
        <w:rPr>
          <w:rFonts w:ascii="Times New Roman" w:eastAsia="Times New Roman" w:hAnsi="Times New Roman" w:cs="Times New Roman"/>
          <w:sz w:val="24"/>
          <w:szCs w:val="24"/>
        </w:rPr>
        <w:t>resectable</w:t>
      </w:r>
      <w:proofErr w:type="spellEnd"/>
      <w:r w:rsidRPr="00E95765">
        <w:rPr>
          <w:rFonts w:ascii="Times New Roman" w:eastAsia="Times New Roman" w:hAnsi="Times New Roman" w:cs="Times New Roman"/>
          <w:sz w:val="24"/>
          <w:szCs w:val="24"/>
        </w:rPr>
        <w:t xml:space="preserve"> tumor burden to ensure sufficient material as smaller lesions risk manufacturing failure.</w:t>
      </w:r>
    </w:p>
    <w:p w:rsidR="00D80BD4" w:rsidRPr="00E95765" w:rsidRDefault="00C40BF9" w:rsidP="00B86F94">
      <w:pPr>
        <w:pStyle w:val="PMI"/>
      </w:pPr>
      <w:r w:rsidRPr="00E95765">
        <w:rPr>
          <w:rStyle w:val="Tag"/>
          <w:rFonts w:ascii="Times New Roman" w:eastAsia="Times New Roman" w:hAnsi="Times New Roman" w:cs="Times New Roman"/>
          <w:b/>
          <w:bCs/>
          <w:sz w:val="24"/>
          <w:szCs w:val="24"/>
        </w:rPr>
        <w:t>&lt;/BL&gt;</w:t>
      </w:r>
    </w:p>
    <w:p w:rsidR="00D80BD4" w:rsidRPr="00E95765" w:rsidRDefault="00E95765">
      <w:pPr>
        <w:pStyle w:val="H1"/>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E95765">
        <w:rPr>
          <w:rStyle w:val="Tag"/>
          <w:rFonts w:ascii="Times New Roman" w:eastAsia="Times New Roman" w:hAnsi="Times New Roman" w:cs="Times New Roman"/>
          <w:b/>
          <w:bCs/>
          <w:sz w:val="24"/>
          <w:szCs w:val="24"/>
          <w:highlight w:val="yellow"/>
        </w:rPr>
        <w:t>&lt;</w:t>
      </w:r>
      <w:r w:rsidR="00C40BF9" w:rsidRPr="00E95765">
        <w:rPr>
          <w:rStyle w:val="Tag"/>
          <w:rFonts w:ascii="Times New Roman" w:eastAsia="Times New Roman" w:hAnsi="Times New Roman" w:cs="Times New Roman"/>
          <w:b/>
          <w:bCs/>
          <w:sz w:val="24"/>
          <w:szCs w:val="24"/>
          <w:highlight w:val="yellow"/>
        </w:rPr>
        <w:t>H1</w:t>
      </w:r>
      <w:r w:rsidRPr="00E95765">
        <w:rPr>
          <w:rStyle w:val="Tag"/>
          <w:rFonts w:ascii="Times New Roman" w:eastAsia="Times New Roman" w:hAnsi="Times New Roman" w:cs="Times New Roman"/>
          <w:b/>
          <w:bCs/>
          <w:sz w:val="24"/>
          <w:szCs w:val="24"/>
          <w:highlight w:val="yellow"/>
        </w:rPr>
        <w:t>&gt;</w:t>
      </w:r>
      <w:r w:rsidR="00C40BF9" w:rsidRPr="00E95765">
        <w:rPr>
          <w:rFonts w:ascii="Times New Roman" w:eastAsia="Times New Roman" w:hAnsi="Times New Roman" w:cs="Times New Roman"/>
          <w:b/>
          <w:bCs/>
          <w:sz w:val="24"/>
          <w:szCs w:val="24"/>
          <w:highlight w:val="yellow"/>
        </w:rPr>
        <w:t xml:space="preserve">Principles </w:t>
      </w:r>
      <w:proofErr w:type="gramStart"/>
      <w:r w:rsidRPr="00E95765">
        <w:rPr>
          <w:rFonts w:eastAsia="Times New Roman" w:cs="Times New Roman"/>
          <w:b/>
          <w:bCs/>
          <w:szCs w:val="24"/>
          <w:highlight w:val="green"/>
        </w:rPr>
        <w:t>Of</w:t>
      </w:r>
      <w:proofErr w:type="gramEnd"/>
      <w:r w:rsidRPr="00E95765">
        <w:rPr>
          <w:rFonts w:ascii="Times New Roman" w:eastAsia="Times New Roman" w:hAnsi="Times New Roman" w:cs="Times New Roman"/>
          <w:b/>
          <w:bCs/>
          <w:sz w:val="24"/>
          <w:szCs w:val="24"/>
          <w:highlight w:val="yellow"/>
        </w:rPr>
        <w:t xml:space="preserve"> </w:t>
      </w:r>
      <w:r w:rsidR="00C40BF9" w:rsidRPr="00E95765">
        <w:rPr>
          <w:rFonts w:ascii="Times New Roman" w:eastAsia="Times New Roman" w:hAnsi="Times New Roman" w:cs="Times New Roman"/>
          <w:b/>
          <w:bCs/>
          <w:sz w:val="24"/>
          <w:szCs w:val="24"/>
          <w:highlight w:val="yellow"/>
        </w:rPr>
        <w:t>Cellular Immunotherapy Selection</w:t>
      </w:r>
    </w:p>
    <w:p w:rsidR="00D80BD4" w:rsidRPr="00E95765" w:rsidRDefault="00C40BF9">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Cellular immunotherapy selection varies based on composite of factors including patient fitness, logistics, disease type, disease kinetics, availability of regulatory approved products, type of cell therapy, and consideration of available outcome data with salvage sequencing </w:t>
      </w:r>
      <w:r w:rsidRPr="00E95765">
        <w:rPr>
          <w:rFonts w:ascii="Times New Roman" w:eastAsia="Times New Roman" w:hAnsi="Times New Roman" w:cs="Times New Roman"/>
          <w:sz w:val="24"/>
          <w:szCs w:val="24"/>
        </w:rPr>
        <w:lastRenderedPageBreak/>
        <w:t xml:space="preserve">strategies to optimize outcomes where applicable (e.g., myeloma and lymphoma – where both </w:t>
      </w:r>
      <w:proofErr w:type="spellStart"/>
      <w:r w:rsidRPr="00E95765">
        <w:rPr>
          <w:rFonts w:ascii="Times New Roman" w:eastAsia="Times New Roman" w:hAnsi="Times New Roman" w:cs="Times New Roman"/>
          <w:sz w:val="24"/>
          <w:szCs w:val="24"/>
        </w:rPr>
        <w:t>BiTEs</w:t>
      </w:r>
      <w:proofErr w:type="spellEnd"/>
      <w:r w:rsidRPr="00E95765">
        <w:rPr>
          <w:rFonts w:ascii="Times New Roman" w:eastAsia="Times New Roman" w:hAnsi="Times New Roman" w:cs="Times New Roman"/>
          <w:sz w:val="24"/>
          <w:szCs w:val="24"/>
        </w:rPr>
        <w:t xml:space="preserve"> and CAR T-cell therapies are approve</w:t>
      </w:r>
      <w:r w:rsidRPr="00E95765">
        <w:rPr>
          <w:rFonts w:ascii="Times New Roman" w:eastAsia="Times New Roman" w:hAnsi="Times New Roman" w:cs="Times New Roman"/>
          <w:sz w:val="24"/>
          <w:szCs w:val="24"/>
          <w:highlight w:val="green"/>
        </w:rPr>
        <w:t xml:space="preserve">d) </w:t>
      </w:r>
      <w:r w:rsidRPr="00E95765">
        <w:rPr>
          <w:rFonts w:ascii="Times New Roman" w:eastAsia="Times New Roman" w:hAnsi="Times New Roman" w:cs="Times New Roman"/>
          <w:sz w:val="24"/>
          <w:szCs w:val="24"/>
        </w:rPr>
        <w:t>(</w:t>
      </w:r>
      <w:r w:rsidRPr="00E95765">
        <w:rPr>
          <w:rStyle w:val="TableCitation"/>
          <w:rFonts w:ascii="Times New Roman" w:eastAsia="Times New Roman" w:hAnsi="Times New Roman" w:cs="Times New Roman"/>
          <w:sz w:val="24"/>
          <w:szCs w:val="24"/>
        </w:rPr>
        <w:t>Table 5.2</w:t>
      </w:r>
      <w:r w:rsidRPr="00E95765">
        <w:rPr>
          <w:rFonts w:ascii="Times New Roman" w:eastAsia="Times New Roman" w:hAnsi="Times New Roman" w:cs="Times New Roman"/>
          <w:sz w:val="24"/>
          <w:szCs w:val="24"/>
        </w:rPr>
        <w:t>). The following general principles should be considered in totality when adjudicating appropriateness:</w:t>
      </w:r>
    </w:p>
    <w:p w:rsidR="00D80BD4" w:rsidRPr="00E95765" w:rsidRDefault="00C40BF9" w:rsidP="00B86F94">
      <w:pPr>
        <w:pStyle w:val="PMI"/>
      </w:pPr>
      <w:r w:rsidRPr="00E95765">
        <w:rPr>
          <w:rFonts w:ascii="Times New Roman" w:eastAsia="Times New Roman" w:hAnsi="Times New Roman" w:cs="Times New Roman"/>
          <w:sz w:val="24"/>
          <w:szCs w:val="24"/>
        </w:rPr>
        <w:t xml:space="preserve">&lt;INSERT </w:t>
      </w:r>
      <w:sdt>
        <w:sdtPr>
          <w:rPr>
            <w:rFonts w:ascii="Times New Roman" w:eastAsia="Times New Roman" w:hAnsi="Times New Roman" w:cs="Times New Roman"/>
            <w:sz w:val="24"/>
            <w:szCs w:val="24"/>
          </w:rPr>
          <w:alias w:val="Table Citation"/>
          <w:tag w:val="tab_cite"/>
          <w:id w:val="327871325"/>
          <w:placeholder>
            <w:docPart w:val="DefaultPlaceholder_1082065158"/>
          </w:placeholder>
        </w:sdtPr>
        <w:sdtEndPr/>
        <w:sdtContent>
          <w:r w:rsidRPr="00E95765">
            <w:rPr>
              <w:rFonts w:ascii="Times New Roman" w:eastAsia="Times New Roman" w:hAnsi="Times New Roman" w:cs="Times New Roman"/>
              <w:sz w:val="24"/>
              <w:szCs w:val="24"/>
            </w:rPr>
            <w:t>TAB5.2</w:t>
          </w:r>
        </w:sdtContent>
      </w:sdt>
      <w:r w:rsidRPr="00E95765">
        <w:rPr>
          <w:rFonts w:ascii="Times New Roman" w:eastAsia="Times New Roman" w:hAnsi="Times New Roman" w:cs="Times New Roman"/>
          <w:sz w:val="24"/>
          <w:szCs w:val="24"/>
        </w:rPr>
        <w:t>&gt;</w:t>
      </w:r>
    </w:p>
    <w:p w:rsidR="00D80BD4" w:rsidRPr="00E95765" w:rsidRDefault="00C40BF9" w:rsidP="00B86F94">
      <w:pPr>
        <w:pStyle w:val="PMI"/>
        <w:rPr>
          <w:rFonts w:ascii="Times New Roman" w:eastAsia="Times New Roman" w:hAnsi="Times New Roman" w:cs="Times New Roman"/>
          <w:sz w:val="24"/>
          <w:szCs w:val="24"/>
        </w:rPr>
      </w:pPr>
      <w:r w:rsidRPr="00E95765">
        <w:rPr>
          <w:rStyle w:val="Tag"/>
          <w:rFonts w:ascii="Times New Roman" w:eastAsia="Times New Roman" w:hAnsi="Times New Roman" w:cs="Times New Roman"/>
          <w:sz w:val="24"/>
          <w:szCs w:val="24"/>
        </w:rPr>
        <w:t>&lt;BL&gt;</w:t>
      </w:r>
    </w:p>
    <w:p w:rsidR="00D80BD4" w:rsidRPr="00E95765" w:rsidRDefault="00C40BF9">
      <w:pPr>
        <w:pStyle w:val="BL-FIR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Patient Fitness and Comorbidities</w:t>
      </w:r>
      <w:r w:rsidRPr="00E95765">
        <w:rPr>
          <w:rFonts w:ascii="Times New Roman" w:eastAsia="Times New Roman" w:hAnsi="Times New Roman" w:cs="Times New Roman"/>
          <w:sz w:val="24"/>
          <w:szCs w:val="24"/>
        </w:rPr>
        <w:t xml:space="preserve">: Therapeutic considerations should incorporate patient fitness and functional capacity. For frail individuals (age over 70, ECOG &gt;2, </w:t>
      </w:r>
      <w:proofErr w:type="spellStart"/>
      <w:r w:rsidRPr="00E95765">
        <w:rPr>
          <w:rFonts w:ascii="Times New Roman" w:eastAsia="Times New Roman" w:hAnsi="Times New Roman" w:cs="Times New Roman"/>
          <w:sz w:val="24"/>
          <w:szCs w:val="24"/>
        </w:rPr>
        <w:t>sarcopenia</w:t>
      </w:r>
      <w:proofErr w:type="spellEnd"/>
      <w:r w:rsidRPr="00E95765">
        <w:rPr>
          <w:rFonts w:ascii="Times New Roman" w:eastAsia="Times New Roman" w:hAnsi="Times New Roman" w:cs="Times New Roman"/>
          <w:sz w:val="24"/>
          <w:szCs w:val="24"/>
        </w:rPr>
        <w:t xml:space="preserve">, or cognitive challenges) </w:t>
      </w:r>
      <w:proofErr w:type="spellStart"/>
      <w:r w:rsidRPr="00E95765">
        <w:rPr>
          <w:rFonts w:ascii="Times New Roman" w:eastAsia="Times New Roman" w:hAnsi="Times New Roman" w:cs="Times New Roman"/>
          <w:sz w:val="24"/>
          <w:szCs w:val="24"/>
        </w:rPr>
        <w:t>BiTEs</w:t>
      </w:r>
      <w:proofErr w:type="spellEnd"/>
      <w:r w:rsidRPr="00E95765">
        <w:rPr>
          <w:rFonts w:ascii="Times New Roman" w:eastAsia="Times New Roman" w:hAnsi="Times New Roman" w:cs="Times New Roman"/>
          <w:sz w:val="24"/>
          <w:szCs w:val="24"/>
        </w:rPr>
        <w:t xml:space="preserve"> may be preferable due to their generally milder toxicity profile compared to CAR T cells. Among CAR T options, 4-1BB constructs could be favored over CD28 constructs for their potentially reduced CRS risk and linked to more controlled cell expansion. Opt for less intensive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xml:space="preserve"> regimens when possible, and leverage multidisciplinary frailty assessments to enhance pre-treatment optimization, ensuring at-risk patients receive </w:t>
      </w:r>
      <w:proofErr w:type="spellStart"/>
      <w:r w:rsidRPr="00E95765">
        <w:rPr>
          <w:rFonts w:ascii="Times New Roman" w:eastAsia="Times New Roman" w:hAnsi="Times New Roman" w:cs="Times New Roman"/>
          <w:sz w:val="24"/>
          <w:szCs w:val="24"/>
        </w:rPr>
        <w:t>suipportive</w:t>
      </w:r>
      <w:proofErr w:type="spellEnd"/>
      <w:r w:rsidRPr="00E95765">
        <w:rPr>
          <w:rFonts w:ascii="Times New Roman" w:eastAsia="Times New Roman" w:hAnsi="Times New Roman" w:cs="Times New Roman"/>
          <w:sz w:val="24"/>
          <w:szCs w:val="24"/>
        </w:rPr>
        <w:t xml:space="preserve"> care.</w:t>
      </w:r>
    </w:p>
    <w:p w:rsidR="00D80BD4" w:rsidRPr="00E95765" w:rsidRDefault="00C40BF9">
      <w:pPr>
        <w:pStyle w:val="BL-MID"/>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Disease Urgency</w:t>
      </w:r>
      <w:r w:rsidRPr="00E95765">
        <w:rPr>
          <w:rFonts w:ascii="Times New Roman" w:eastAsia="Times New Roman" w:hAnsi="Times New Roman" w:cs="Times New Roman"/>
          <w:sz w:val="24"/>
          <w:szCs w:val="24"/>
        </w:rPr>
        <w:t xml:space="preserve">: </w:t>
      </w:r>
      <w:r w:rsidRPr="00E95765">
        <w:rPr>
          <w:rFonts w:ascii="Times New Roman" w:hAnsi="Times New Roman" w:cs="Times New Roman"/>
          <w:color w:val="000000"/>
          <w:sz w:val="24"/>
          <w:szCs w:val="24"/>
        </w:rPr>
        <w:t>Promptly addressing rapid disease progression or significant tumor burden is essentia</w:t>
      </w:r>
      <w:r w:rsidRPr="00E95765">
        <w:rPr>
          <w:rFonts w:ascii="Times New Roman" w:hAnsi="Times New Roman" w:cs="Times New Roman"/>
          <w:color w:val="000000"/>
          <w:sz w:val="24"/>
          <w:szCs w:val="24"/>
          <w:highlight w:val="green"/>
        </w:rPr>
        <w:t xml:space="preserve">l. </w:t>
      </w:r>
      <w:r w:rsidRPr="00E95765">
        <w:rPr>
          <w:rFonts w:ascii="Times New Roman" w:hAnsi="Times New Roman" w:cs="Times New Roman"/>
          <w:color w:val="000000"/>
          <w:sz w:val="24"/>
          <w:szCs w:val="24"/>
        </w:rPr>
        <w:t xml:space="preserve">When manufacturing timelines are a limiting factor, "off-the-shelf" therapies such as </w:t>
      </w:r>
      <w:proofErr w:type="spellStart"/>
      <w:r w:rsidRPr="00E95765">
        <w:rPr>
          <w:rFonts w:ascii="Times New Roman" w:hAnsi="Times New Roman" w:cs="Times New Roman"/>
          <w:color w:val="000000"/>
          <w:sz w:val="24"/>
          <w:szCs w:val="24"/>
        </w:rPr>
        <w:t>BiTEs</w:t>
      </w:r>
      <w:proofErr w:type="spellEnd"/>
      <w:r w:rsidRPr="00E95765">
        <w:rPr>
          <w:rFonts w:ascii="Times New Roman" w:hAnsi="Times New Roman" w:cs="Times New Roman"/>
          <w:color w:val="000000"/>
          <w:sz w:val="24"/>
          <w:szCs w:val="24"/>
        </w:rPr>
        <w:t xml:space="preserve"> or allogeneic cell products may be optimal, particularly when supported by clinical outcome dat</w:t>
      </w:r>
      <w:r w:rsidRPr="00E95765">
        <w:rPr>
          <w:rFonts w:ascii="Times New Roman" w:hAnsi="Times New Roman" w:cs="Times New Roman"/>
          <w:color w:val="000000"/>
          <w:sz w:val="24"/>
          <w:szCs w:val="24"/>
          <w:highlight w:val="green"/>
        </w:rPr>
        <w:t xml:space="preserve">a. </w:t>
      </w:r>
      <w:r w:rsidRPr="00E95765">
        <w:rPr>
          <w:rFonts w:ascii="Times New Roman" w:hAnsi="Times New Roman" w:cs="Times New Roman"/>
          <w:color w:val="000000"/>
          <w:sz w:val="24"/>
          <w:szCs w:val="24"/>
        </w:rPr>
        <w:t>For autologous CAR T-cell treatments, consider constructs with accelerated expansion rates (e.g., CD28-base</w:t>
      </w:r>
      <w:r w:rsidRPr="00E95765">
        <w:rPr>
          <w:rFonts w:ascii="Times New Roman" w:hAnsi="Times New Roman" w:cs="Times New Roman"/>
          <w:color w:val="000000"/>
          <w:sz w:val="24"/>
          <w:szCs w:val="24"/>
          <w:highlight w:val="green"/>
        </w:rPr>
        <w:t xml:space="preserve">d) </w:t>
      </w:r>
      <w:r w:rsidRPr="00E95765">
        <w:rPr>
          <w:rFonts w:ascii="Times New Roman" w:hAnsi="Times New Roman" w:cs="Times New Roman"/>
          <w:color w:val="000000"/>
          <w:sz w:val="24"/>
          <w:szCs w:val="24"/>
        </w:rPr>
        <w:t xml:space="preserve">if they align with treatment schedules, and incorporate robust bridging strategies —referenced in relevant literature—to maintain disease stability and reduce potential toxicities. In cases where bridging options are restricted, prioritizing </w:t>
      </w:r>
      <w:proofErr w:type="spellStart"/>
      <w:r w:rsidRPr="00E95765">
        <w:rPr>
          <w:rFonts w:ascii="Times New Roman" w:hAnsi="Times New Roman" w:cs="Times New Roman"/>
          <w:color w:val="000000"/>
          <w:sz w:val="24"/>
          <w:szCs w:val="24"/>
        </w:rPr>
        <w:t>BiTEs</w:t>
      </w:r>
      <w:proofErr w:type="spellEnd"/>
      <w:r w:rsidRPr="00E95765">
        <w:rPr>
          <w:rFonts w:ascii="Times New Roman" w:hAnsi="Times New Roman" w:cs="Times New Roman"/>
          <w:color w:val="000000"/>
          <w:sz w:val="24"/>
          <w:szCs w:val="24"/>
        </w:rPr>
        <w:t xml:space="preserve"> or allogeneic modalities can help ensure timely therapeutic intervention.</w:t>
      </w:r>
    </w:p>
    <w:p w:rsidR="00D80BD4" w:rsidRPr="00E95765" w:rsidRDefault="00C40BF9">
      <w:pPr>
        <w:pStyle w:val="BL-LAST"/>
        <w:tabs>
          <w:tab w:val="left" w:pos="720"/>
        </w:tabs>
        <w:spacing w:before="100" w:beforeAutospacing="1" w:after="100" w:afterAutospacing="1" w:line="480" w:lineRule="auto"/>
        <w:ind w:left="720" w:hanging="360"/>
        <w:contextualSpacing/>
        <w:rPr>
          <w:rFonts w:ascii="Times New Roman" w:eastAsia="Times New Roman" w:hAnsi="Times New Roman" w:cs="Times New Roman"/>
          <w:b/>
          <w:bCs/>
          <w:sz w:val="24"/>
          <w:szCs w:val="24"/>
        </w:rPr>
      </w:pPr>
      <w:r w:rsidRPr="00E95765">
        <w:rPr>
          <w:rStyle w:val="BulletManualBodyList"/>
          <w:rFonts w:ascii="Symbol" w:eastAsia="Times New Roman" w:hAnsi="Symbol" w:cs="Times New Roman"/>
          <w:bCs/>
          <w:sz w:val="20"/>
          <w:szCs w:val="24"/>
        </w:rPr>
        <w:lastRenderedPageBreak/>
        <w:t></w:t>
      </w:r>
      <w:r w:rsidRPr="00E95765">
        <w:rPr>
          <w:rFonts w:ascii="Symbol" w:eastAsia="Times New Roman" w:hAnsi="Symbol" w:cs="Times New Roman"/>
          <w:bCs/>
          <w:sz w:val="20"/>
          <w:szCs w:val="24"/>
        </w:rPr>
        <w:tab/>
      </w:r>
      <w:r w:rsidRPr="00E95765">
        <w:rPr>
          <w:rFonts w:eastAsia="Times New Roman" w:cs="Times New Roman"/>
          <w:b/>
          <w:bCs/>
          <w:szCs w:val="24"/>
        </w:rPr>
        <w:t>Logistics</w:t>
      </w:r>
      <w:r w:rsidRPr="00E95765">
        <w:rPr>
          <w:rFonts w:ascii="Times New Roman" w:eastAsia="Times New Roman" w:hAnsi="Times New Roman" w:cs="Times New Roman"/>
          <w:sz w:val="24"/>
          <w:szCs w:val="24"/>
        </w:rPr>
        <w:t>: Setting of administration, caregiver support requirements, and access to cell therapy center additionally determines appropriateness of therapy.</w:t>
      </w:r>
    </w:p>
    <w:p w:rsidR="00D80BD4" w:rsidRPr="00E95765" w:rsidRDefault="00C40BF9" w:rsidP="00B86F94">
      <w:pPr>
        <w:pStyle w:val="PMI"/>
      </w:pPr>
      <w:r w:rsidRPr="00E95765">
        <w:rPr>
          <w:rStyle w:val="Tag"/>
          <w:rFonts w:ascii="Times New Roman" w:eastAsia="Times New Roman" w:hAnsi="Times New Roman" w:cs="Times New Roman"/>
          <w:b/>
          <w:bCs/>
          <w:sz w:val="24"/>
          <w:szCs w:val="24"/>
        </w:rPr>
        <w:t>&lt;/BL&gt;</w:t>
      </w:r>
    </w:p>
    <w:p w:rsidR="00D80BD4" w:rsidRPr="00E95765" w:rsidRDefault="00E95765">
      <w:pPr>
        <w:pStyle w:val="H1"/>
        <w:spacing w:before="100" w:beforeAutospacing="1" w:after="100" w:afterAutospacing="1" w:line="480" w:lineRule="auto"/>
        <w:contextualSpacing/>
        <w:outlineLvl w:val="3"/>
        <w:rPr>
          <w:rFonts w:ascii="Times New Roman" w:eastAsia="Times New Roman" w:hAnsi="Times New Roman" w:cs="Times New Roman"/>
          <w:sz w:val="24"/>
          <w:szCs w:val="24"/>
          <w:highlight w:val="yellow"/>
        </w:rPr>
      </w:pPr>
      <w:r w:rsidRPr="00E95765">
        <w:rPr>
          <w:rStyle w:val="Tag"/>
          <w:rFonts w:ascii="Times New Roman" w:eastAsia="Times New Roman" w:hAnsi="Times New Roman" w:cs="Times New Roman"/>
          <w:b/>
          <w:bCs/>
          <w:sz w:val="24"/>
          <w:szCs w:val="24"/>
          <w:highlight w:val="yellow"/>
        </w:rPr>
        <w:t>&lt;H1&gt;</w:t>
      </w:r>
      <w:r w:rsidRPr="00E95765">
        <w:rPr>
          <w:rFonts w:ascii="Times New Roman" w:eastAsia="Times New Roman" w:hAnsi="Times New Roman" w:cs="Times New Roman"/>
          <w:b/>
          <w:bCs/>
          <w:sz w:val="24"/>
          <w:szCs w:val="24"/>
          <w:highlight w:val="yellow"/>
        </w:rPr>
        <w:t>Risk Stratification Indices</w:t>
      </w:r>
    </w:p>
    <w:p w:rsidR="00D80BD4" w:rsidRPr="00E95765" w:rsidRDefault="00C40BF9">
      <w:pPr>
        <w:pStyle w:val="TXT-FLUSH"/>
        <w:spacing w:before="100" w:beforeAutospacing="1" w:after="100" w:afterAutospacing="1" w:line="480" w:lineRule="auto"/>
        <w:contextualSpacing/>
        <w:outlineLvl w:val="3"/>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Beyond general organ function criteria as specified by protocols to ensure safety at various stages of cellular therapy, risk stratification indices can support eligibility and toxicity risk assessment, especially in frail or comorbid patients </w:t>
      </w:r>
      <w:bookmarkStart w:id="1" w:name="bm_tab_cite_Table_5_3"/>
      <w:sdt>
        <w:sdtPr>
          <w:rPr>
            <w:rFonts w:ascii="Times New Roman" w:eastAsia="Times New Roman" w:hAnsi="Times New Roman" w:cs="Times New Roman"/>
            <w:sz w:val="24"/>
            <w:szCs w:val="24"/>
          </w:rPr>
          <w:alias w:val="Table Citation"/>
          <w:tag w:val="tab_cite"/>
          <w:id w:val="1774748545"/>
          <w:placeholder>
            <w:docPart w:val="DefaultPlaceholder_1082065158"/>
          </w:placeholder>
        </w:sdtPr>
        <w:sdtEndPr/>
        <w:sdtContent>
          <w:r w:rsidRPr="00E95765">
            <w:rPr>
              <w:rFonts w:ascii="Times New Roman" w:eastAsia="Times New Roman" w:hAnsi="Times New Roman" w:cs="Times New Roman"/>
              <w:sz w:val="24"/>
              <w:szCs w:val="24"/>
            </w:rPr>
            <w:t>(</w:t>
          </w:r>
          <w:r w:rsidRPr="00E95765">
            <w:rPr>
              <w:rStyle w:val="TableCitation"/>
              <w:rFonts w:ascii="Times New Roman" w:eastAsia="Times New Roman" w:hAnsi="Times New Roman" w:cs="Times New Roman"/>
              <w:sz w:val="24"/>
              <w:szCs w:val="24"/>
            </w:rPr>
            <w:t>Table 5.3</w:t>
          </w:r>
          <w:r w:rsidRPr="00E95765">
            <w:rPr>
              <w:rFonts w:ascii="Times New Roman" w:eastAsia="Times New Roman" w:hAnsi="Times New Roman" w:cs="Times New Roman"/>
              <w:sz w:val="24"/>
              <w:szCs w:val="24"/>
            </w:rPr>
            <w:t>)</w:t>
          </w:r>
          <w:bookmarkEnd w:id="1"/>
        </w:sdtContent>
      </w:sdt>
      <w:r w:rsidRPr="00E95765">
        <w:rPr>
          <w:rFonts w:ascii="Times New Roman" w:eastAsia="Times New Roman" w:hAnsi="Times New Roman" w:cs="Times New Roman"/>
          <w:sz w:val="24"/>
          <w:szCs w:val="24"/>
        </w:rPr>
        <w:t>. While these indices are not yet universally validated across all cell therapy modalities and indications, emerging data show promise in improving patient selection and management:</w:t>
      </w:r>
    </w:p>
    <w:p w:rsidR="00D80BD4" w:rsidRPr="00E95765" w:rsidRDefault="00C40BF9" w:rsidP="00B86F94">
      <w:pPr>
        <w:pStyle w:val="PMI"/>
      </w:pPr>
      <w:r w:rsidRPr="00E95765">
        <w:rPr>
          <w:rFonts w:ascii="Times New Roman" w:eastAsia="Times New Roman" w:hAnsi="Times New Roman" w:cs="Times New Roman"/>
          <w:sz w:val="24"/>
          <w:szCs w:val="24"/>
        </w:rPr>
        <w:t xml:space="preserve">&lt;INSERT </w:t>
      </w:r>
      <w:sdt>
        <w:sdtPr>
          <w:rPr>
            <w:rFonts w:ascii="Times New Roman" w:eastAsia="Times New Roman" w:hAnsi="Times New Roman" w:cs="Times New Roman"/>
            <w:sz w:val="24"/>
            <w:szCs w:val="24"/>
          </w:rPr>
          <w:alias w:val="Table Citation"/>
          <w:tag w:val="tab_cite"/>
          <w:id w:val="-974904708"/>
          <w:placeholder>
            <w:docPart w:val="DefaultPlaceholder_1082065158"/>
          </w:placeholder>
        </w:sdtPr>
        <w:sdtEndPr/>
        <w:sdtContent>
          <w:r w:rsidRPr="00E95765">
            <w:rPr>
              <w:rFonts w:ascii="Times New Roman" w:eastAsia="Times New Roman" w:hAnsi="Times New Roman" w:cs="Times New Roman"/>
              <w:sz w:val="24"/>
              <w:szCs w:val="24"/>
            </w:rPr>
            <w:t>TAB5.3</w:t>
          </w:r>
        </w:sdtContent>
      </w:sdt>
      <w:r w:rsidRPr="00E95765">
        <w:rPr>
          <w:rFonts w:ascii="Times New Roman" w:eastAsia="Times New Roman" w:hAnsi="Times New Roman" w:cs="Times New Roman"/>
          <w:sz w:val="24"/>
          <w:szCs w:val="24"/>
        </w:rPr>
        <w:t>&gt;</w:t>
      </w:r>
    </w:p>
    <w:p w:rsidR="00D80BD4" w:rsidRPr="00E95765" w:rsidRDefault="00C40BF9" w:rsidP="00B86F94">
      <w:pPr>
        <w:pStyle w:val="PMI"/>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&lt;BL&gt;</w:t>
      </w:r>
    </w:p>
    <w:p w:rsidR="00D80BD4" w:rsidRPr="00E95765" w:rsidRDefault="00C40BF9">
      <w:pPr>
        <w:pStyle w:val="BL-FIRST"/>
        <w:tabs>
          <w:tab w:val="left" w:pos="720"/>
        </w:tabs>
        <w:spacing w:before="100" w:beforeAutospacing="1" w:after="100" w:afterAutospacing="1" w:line="480" w:lineRule="auto"/>
        <w:ind w:left="720" w:hanging="360"/>
        <w:contextualSpacing/>
        <w:outlineLvl w:val="3"/>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ascii="Times New Roman" w:eastAsia="Times New Roman" w:hAnsi="Times New Roman" w:cs="Times New Roman"/>
          <w:b/>
          <w:bCs/>
          <w:sz w:val="24"/>
          <w:szCs w:val="24"/>
        </w:rPr>
        <w:t>CAR</w:t>
      </w:r>
      <w:r w:rsidRPr="00E95765">
        <w:rPr>
          <w:rFonts w:ascii="Times New Roman" w:eastAsia="Times New Roman" w:hAnsi="Times New Roman" w:cs="Times New Roman"/>
          <w:b/>
          <w:bCs/>
          <w:sz w:val="24"/>
          <w:szCs w:val="24"/>
        </w:rPr>
        <w:noBreakHyphen/>
        <w:t xml:space="preserve">HEMATOTOX (Chimeric Antigen Receptor </w:t>
      </w:r>
      <w:proofErr w:type="spellStart"/>
      <w:r w:rsidRPr="00E95765">
        <w:rPr>
          <w:rFonts w:ascii="Times New Roman" w:eastAsia="Times New Roman" w:hAnsi="Times New Roman" w:cs="Times New Roman"/>
          <w:b/>
          <w:bCs/>
          <w:sz w:val="24"/>
          <w:szCs w:val="24"/>
        </w:rPr>
        <w:t>Hematotoxicity</w:t>
      </w:r>
      <w:proofErr w:type="spellEnd"/>
      <w:r w:rsidRPr="00E95765">
        <w:rPr>
          <w:rFonts w:ascii="Times New Roman" w:eastAsia="Times New Roman" w:hAnsi="Times New Roman" w:cs="Times New Roman"/>
          <w:b/>
          <w:bCs/>
          <w:sz w:val="24"/>
          <w:szCs w:val="24"/>
        </w:rPr>
        <w:t xml:space="preserve"> Score):</w:t>
      </w:r>
      <w:r w:rsidRPr="00E95765">
        <w:rPr>
          <w:rFonts w:ascii="Times New Roman" w:eastAsia="Times New Roman" w:hAnsi="Times New Roman" w:cs="Times New Roman"/>
          <w:sz w:val="24"/>
          <w:szCs w:val="24"/>
        </w:rPr>
        <w:t xml:space="preserve"> Uses hematologic markers (ANC, platelets, hemoglobin) and inflammatory markers (CRP, ferritin) to predict severe or prolonged </w:t>
      </w:r>
      <w:proofErr w:type="spellStart"/>
      <w:r w:rsidRPr="00E95765">
        <w:rPr>
          <w:rFonts w:ascii="Times New Roman" w:eastAsia="Times New Roman" w:hAnsi="Times New Roman" w:cs="Times New Roman"/>
          <w:sz w:val="24"/>
          <w:szCs w:val="24"/>
        </w:rPr>
        <w:t>cytopenias</w:t>
      </w:r>
      <w:proofErr w:type="spellEnd"/>
      <w:r w:rsidRPr="00E95765">
        <w:rPr>
          <w:rFonts w:ascii="Times New Roman" w:eastAsia="Times New Roman" w:hAnsi="Times New Roman" w:cs="Times New Roman"/>
          <w:sz w:val="24"/>
          <w:szCs w:val="24"/>
        </w:rPr>
        <w:t>, higher</w:t>
      </w:r>
      <w:r w:rsidRPr="00E95765">
        <w:rPr>
          <w:rFonts w:ascii="Times New Roman" w:eastAsia="Times New Roman" w:hAnsi="Times New Roman" w:cs="Times New Roman"/>
          <w:sz w:val="24"/>
          <w:szCs w:val="24"/>
        </w:rPr>
        <w:noBreakHyphen/>
        <w:t>grade CRS/ICANS, and survival in CD19 CAR T</w:t>
      </w:r>
      <w:r w:rsidRPr="00E95765">
        <w:rPr>
          <w:rFonts w:ascii="Times New Roman" w:eastAsia="Times New Roman" w:hAnsi="Times New Roman" w:cs="Times New Roman"/>
          <w:sz w:val="24"/>
          <w:szCs w:val="24"/>
        </w:rPr>
        <w:noBreakHyphen/>
        <w:t>cell therapy for DLBCL and multiple myelom</w:t>
      </w:r>
      <w:r w:rsidRPr="00E95765">
        <w:rPr>
          <w:rFonts w:ascii="Times New Roman" w:eastAsia="Times New Roman" w:hAnsi="Times New Roman" w:cs="Times New Roman"/>
          <w:sz w:val="24"/>
          <w:szCs w:val="24"/>
          <w:highlight w:val="green"/>
        </w:rPr>
        <w:t xml:space="preserve">a. </w:t>
      </w:r>
      <w:r w:rsidRPr="00E95765">
        <w:rPr>
          <w:rFonts w:ascii="Times New Roman" w:eastAsia="Times New Roman" w:hAnsi="Times New Roman" w:cs="Times New Roman"/>
          <w:sz w:val="24"/>
          <w:szCs w:val="24"/>
        </w:rPr>
        <w:t>High</w:t>
      </w:r>
      <w:r w:rsidRPr="00E95765">
        <w:rPr>
          <w:rFonts w:ascii="Times New Roman" w:eastAsia="Times New Roman" w:hAnsi="Times New Roman" w:cs="Times New Roman"/>
          <w:sz w:val="24"/>
          <w:szCs w:val="24"/>
        </w:rPr>
        <w:noBreakHyphen/>
        <w:t xml:space="preserve">risk patients (score </w:t>
      </w:r>
      <w:r w:rsidR="00E95765" w:rsidRPr="00E95765">
        <w:rPr>
          <w:rFonts w:eastAsia="Times New Roman" w:cs="Times New Roman"/>
          <w:highlight w:val="green"/>
        </w:rPr>
        <w:t>≥</w:t>
      </w:r>
      <w:r w:rsidRPr="00E95765">
        <w:rPr>
          <w:rFonts w:ascii="Times New Roman" w:eastAsia="Times New Roman" w:hAnsi="Times New Roman" w:cs="Times New Roman"/>
          <w:sz w:val="24"/>
          <w:szCs w:val="24"/>
          <w:highlight w:val="green"/>
        </w:rPr>
        <w:t xml:space="preserve">3) </w:t>
      </w:r>
      <w:r w:rsidRPr="00E95765">
        <w:rPr>
          <w:rFonts w:ascii="Times New Roman" w:eastAsia="Times New Roman" w:hAnsi="Times New Roman" w:cs="Times New Roman"/>
          <w:sz w:val="24"/>
          <w:szCs w:val="24"/>
        </w:rPr>
        <w:t>require intensified monitoring and toxicity management. A 2025 prospective study validated its survival prediction in LBCL, with a simplified version reducing laboratory burden, and an “ALL</w:t>
      </w:r>
      <w:r w:rsidRPr="00E95765">
        <w:rPr>
          <w:rFonts w:ascii="Times New Roman" w:eastAsia="Times New Roman" w:hAnsi="Times New Roman" w:cs="Times New Roman"/>
          <w:sz w:val="24"/>
          <w:szCs w:val="24"/>
        </w:rPr>
        <w:noBreakHyphen/>
        <w:t xml:space="preserve">HEMATOTOX” variant showing high predictive accuracy for </w:t>
      </w:r>
      <w:proofErr w:type="spellStart"/>
      <w:r w:rsidRPr="00E95765">
        <w:rPr>
          <w:rFonts w:ascii="Times New Roman" w:eastAsia="Times New Roman" w:hAnsi="Times New Roman" w:cs="Times New Roman"/>
          <w:sz w:val="24"/>
          <w:szCs w:val="24"/>
        </w:rPr>
        <w:t>cytopenias</w:t>
      </w:r>
      <w:proofErr w:type="spellEnd"/>
      <w:r w:rsidRPr="00E95765">
        <w:rPr>
          <w:rFonts w:ascii="Times New Roman" w:eastAsia="Times New Roman" w:hAnsi="Times New Roman" w:cs="Times New Roman"/>
          <w:sz w:val="24"/>
          <w:szCs w:val="24"/>
        </w:rPr>
        <w:t xml:space="preserve"> in B</w:t>
      </w:r>
      <w:r w:rsidRPr="00E95765">
        <w:rPr>
          <w:rFonts w:ascii="Times New Roman" w:eastAsia="Times New Roman" w:hAnsi="Times New Roman" w:cs="Times New Roman"/>
          <w:sz w:val="24"/>
          <w:szCs w:val="24"/>
        </w:rPr>
        <w:noBreakHyphen/>
        <w:t>ALL. Application in BCMA CAR T for myeloma is promising but remains investigational; extrapolation to TCR T</w:t>
      </w:r>
      <w:r w:rsidRPr="00E95765">
        <w:rPr>
          <w:rFonts w:ascii="Times New Roman" w:eastAsia="Times New Roman" w:hAnsi="Times New Roman" w:cs="Times New Roman"/>
          <w:sz w:val="24"/>
          <w:szCs w:val="24"/>
        </w:rPr>
        <w:noBreakHyphen/>
        <w:t>cells or TILs awaits validation.</w:t>
      </w:r>
    </w:p>
    <w:p w:rsidR="00D80BD4" w:rsidRPr="00E95765" w:rsidRDefault="00C40BF9">
      <w:pPr>
        <w:pStyle w:val="BL-MID"/>
        <w:tabs>
          <w:tab w:val="left" w:pos="720"/>
        </w:tabs>
        <w:spacing w:before="100" w:beforeAutospacing="1" w:after="100" w:afterAutospacing="1" w:line="480" w:lineRule="auto"/>
        <w:ind w:left="720" w:hanging="360"/>
        <w:contextualSpacing/>
        <w:outlineLvl w:val="3"/>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lastRenderedPageBreak/>
        <w:t></w:t>
      </w:r>
      <w:r w:rsidRPr="00E95765">
        <w:rPr>
          <w:rFonts w:ascii="Symbol" w:eastAsia="Times New Roman" w:hAnsi="Symbol" w:cs="Times New Roman"/>
          <w:sz w:val="20"/>
          <w:szCs w:val="24"/>
        </w:rPr>
        <w:tab/>
      </w:r>
      <w:r w:rsidRPr="00E95765">
        <w:rPr>
          <w:rFonts w:ascii="Times New Roman" w:eastAsia="Times New Roman" w:hAnsi="Times New Roman" w:cs="Times New Roman"/>
          <w:b/>
          <w:bCs/>
          <w:sz w:val="24"/>
          <w:szCs w:val="24"/>
        </w:rPr>
        <w:t>HCT</w:t>
      </w:r>
      <w:r w:rsidRPr="00E95765">
        <w:rPr>
          <w:rFonts w:ascii="Times New Roman" w:eastAsia="Times New Roman" w:hAnsi="Times New Roman" w:cs="Times New Roman"/>
          <w:b/>
          <w:bCs/>
          <w:sz w:val="24"/>
          <w:szCs w:val="24"/>
        </w:rPr>
        <w:noBreakHyphen/>
        <w:t>CI (Hematopoietic Cell Transplantation</w:t>
      </w:r>
      <w:r w:rsidRPr="00E95765">
        <w:rPr>
          <w:rStyle w:val="BulletManualBodyList"/>
          <w:rFonts w:ascii="Times New Roman" w:eastAsia="Times New Roman" w:hAnsi="Times New Roman" w:cs="Times New Roman"/>
          <w:b/>
          <w:bCs/>
          <w:sz w:val="24"/>
          <w:szCs w:val="24"/>
        </w:rPr>
        <w:t>–</w:t>
      </w:r>
      <w:r w:rsidRPr="00E95765">
        <w:rPr>
          <w:rFonts w:ascii="Times New Roman" w:eastAsia="Times New Roman" w:hAnsi="Times New Roman" w:cs="Times New Roman"/>
          <w:b/>
          <w:bCs/>
          <w:sz w:val="24"/>
          <w:szCs w:val="24"/>
        </w:rPr>
        <w:t>Comorbidity Index):</w:t>
      </w:r>
      <w:r w:rsidRPr="00E95765">
        <w:rPr>
          <w:rFonts w:ascii="Times New Roman" w:eastAsia="Times New Roman" w:hAnsi="Times New Roman" w:cs="Times New Roman"/>
          <w:sz w:val="24"/>
          <w:szCs w:val="24"/>
        </w:rPr>
        <w:t> Evaluates comorbidities (e.g., cardiac, pulmonary, hepatic disease, diabetes, prior malignancy; scored 0</w:t>
      </w:r>
      <w:r w:rsidRPr="00E95765">
        <w:rPr>
          <w:rStyle w:val="BulletManualBodyList"/>
          <w:rFonts w:ascii="Times New Roman" w:eastAsia="Times New Roman" w:hAnsi="Times New Roman" w:cs="Times New Roman"/>
          <w:sz w:val="24"/>
          <w:szCs w:val="24"/>
        </w:rPr>
        <w:t>–</w:t>
      </w:r>
      <w:r w:rsidRPr="00E95765">
        <w:rPr>
          <w:rFonts w:ascii="Times New Roman" w:eastAsia="Times New Roman" w:hAnsi="Times New Roman" w:cs="Times New Roman"/>
          <w:sz w:val="24"/>
          <w:szCs w:val="24"/>
        </w:rPr>
        <w:t>3</w:t>
      </w:r>
      <w:r w:rsidRPr="00E95765">
        <w:rPr>
          <w:rFonts w:eastAsia="Times New Roman" w:cs="Times New Roman"/>
        </w:rPr>
        <w:t>+</w:t>
      </w:r>
      <w:r w:rsidRPr="00E95765">
        <w:rPr>
          <w:rFonts w:ascii="Times New Roman" w:eastAsia="Times New Roman" w:hAnsi="Times New Roman" w:cs="Times New Roman"/>
          <w:sz w:val="24"/>
          <w:szCs w:val="24"/>
        </w:rPr>
        <w:t>) to predict non</w:t>
      </w:r>
      <w:r w:rsidRPr="00E95765">
        <w:rPr>
          <w:rFonts w:ascii="Times New Roman" w:eastAsia="Times New Roman" w:hAnsi="Times New Roman" w:cs="Times New Roman"/>
          <w:sz w:val="24"/>
          <w:szCs w:val="24"/>
        </w:rPr>
        <w:noBreakHyphen/>
        <w:t>relapse mortality (</w:t>
      </w:r>
      <w:r w:rsidRPr="00E95765">
        <w:rPr>
          <w:rFonts w:eastAsia="Times New Roman" w:cs="Times New Roman"/>
          <w:szCs w:val="24"/>
        </w:rPr>
        <w:t>NRM</w:t>
      </w:r>
      <w:r w:rsidRPr="00E95765">
        <w:rPr>
          <w:rFonts w:ascii="Times New Roman" w:eastAsia="Times New Roman" w:hAnsi="Times New Roman" w:cs="Times New Roman"/>
          <w:sz w:val="24"/>
          <w:szCs w:val="24"/>
        </w:rPr>
        <w:t xml:space="preserve">) and overall survival in </w:t>
      </w:r>
      <w:proofErr w:type="spellStart"/>
      <w:r w:rsidRPr="00E95765">
        <w:rPr>
          <w:rFonts w:ascii="Times New Roman" w:eastAsia="Times New Roman" w:hAnsi="Times New Roman" w:cs="Times New Roman"/>
          <w:sz w:val="24"/>
          <w:szCs w:val="24"/>
        </w:rPr>
        <w:t>allo</w:t>
      </w:r>
      <w:proofErr w:type="spellEnd"/>
      <w:r w:rsidRPr="00E95765">
        <w:rPr>
          <w:rFonts w:ascii="Times New Roman" w:eastAsia="Times New Roman" w:hAnsi="Times New Roman" w:cs="Times New Roman"/>
          <w:sz w:val="24"/>
          <w:szCs w:val="24"/>
        </w:rPr>
        <w:noBreakHyphen/>
        <w:t>HSCT and has been applied to CAR T for DLBCL, ALL, and MM. High scores (</w:t>
      </w:r>
      <w:r w:rsidR="00E95765" w:rsidRPr="00E95765">
        <w:rPr>
          <w:rFonts w:eastAsia="Times New Roman" w:cs="Times New Roman"/>
          <w:highlight w:val="green"/>
        </w:rPr>
        <w:t>≥</w:t>
      </w:r>
      <w:r w:rsidRPr="00E95765">
        <w:rPr>
          <w:rStyle w:val="citebib"/>
          <w:rFonts w:ascii="Times New Roman" w:eastAsia="Times New Roman" w:hAnsi="Times New Roman" w:cs="Times New Roman"/>
          <w:szCs w:val="24"/>
        </w:rPr>
        <w:t>3</w:t>
      </w:r>
      <w:r w:rsidRPr="00E95765">
        <w:rPr>
          <w:rFonts w:ascii="Times New Roman" w:eastAsia="Times New Roman" w:hAnsi="Times New Roman" w:cs="Times New Roman"/>
          <w:sz w:val="24"/>
          <w:szCs w:val="24"/>
        </w:rPr>
        <w:t>) increase NRM risk (HR 1.5</w:t>
      </w:r>
      <w:r w:rsidRPr="00E95765">
        <w:rPr>
          <w:rStyle w:val="BulletManualBodyList"/>
          <w:rFonts w:ascii="Times New Roman" w:eastAsia="Times New Roman" w:hAnsi="Times New Roman" w:cs="Times New Roman"/>
          <w:sz w:val="24"/>
          <w:szCs w:val="24"/>
        </w:rPr>
        <w:t>–</w:t>
      </w:r>
      <w:r w:rsidRPr="00E95765">
        <w:rPr>
          <w:rFonts w:ascii="Times New Roman" w:eastAsia="Times New Roman" w:hAnsi="Times New Roman" w:cs="Times New Roman"/>
          <w:sz w:val="24"/>
          <w:szCs w:val="24"/>
        </w:rPr>
        <w:t>2.</w:t>
      </w:r>
      <w:r w:rsidRPr="00E95765">
        <w:rPr>
          <w:rFonts w:ascii="Times New Roman" w:eastAsia="Times New Roman" w:hAnsi="Times New Roman" w:cs="Times New Roman"/>
          <w:sz w:val="24"/>
          <w:szCs w:val="24"/>
          <w:highlight w:val="green"/>
        </w:rPr>
        <w:t xml:space="preserve">0) </w:t>
      </w:r>
      <w:r w:rsidRPr="00E95765">
        <w:rPr>
          <w:rFonts w:ascii="Times New Roman" w:eastAsia="Times New Roman" w:hAnsi="Times New Roman" w:cs="Times New Roman"/>
          <w:sz w:val="24"/>
          <w:szCs w:val="24"/>
        </w:rPr>
        <w:t>and prompt organ</w:t>
      </w:r>
      <w:r w:rsidRPr="00E95765">
        <w:rPr>
          <w:rFonts w:ascii="Times New Roman" w:eastAsia="Times New Roman" w:hAnsi="Times New Roman" w:cs="Times New Roman"/>
          <w:sz w:val="24"/>
          <w:szCs w:val="24"/>
        </w:rPr>
        <w:noBreakHyphen/>
        <w:t>specific optimization (e.g., cardiology consult for LVEF &lt;50%). Real</w:t>
      </w:r>
      <w:r w:rsidRPr="00E95765">
        <w:rPr>
          <w:rFonts w:ascii="Times New Roman" w:eastAsia="Times New Roman" w:hAnsi="Times New Roman" w:cs="Times New Roman"/>
          <w:sz w:val="24"/>
          <w:szCs w:val="24"/>
        </w:rPr>
        <w:noBreakHyphen/>
        <w:t>world 2025 data show limited predictive value for NRM in LBCL CAR T but confirm clinical utility in elderly MM patients.</w:t>
      </w:r>
    </w:p>
    <w:p w:rsidR="00D80BD4" w:rsidRPr="00E95765" w:rsidRDefault="00C40BF9">
      <w:pPr>
        <w:pStyle w:val="BL-MID"/>
        <w:tabs>
          <w:tab w:val="left" w:pos="720"/>
        </w:tabs>
        <w:spacing w:before="100" w:beforeAutospacing="1" w:after="100" w:afterAutospacing="1" w:line="480" w:lineRule="auto"/>
        <w:ind w:left="720" w:hanging="360"/>
        <w:contextualSpacing/>
        <w:outlineLvl w:val="3"/>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CIRS</w:t>
      </w:r>
      <w:r w:rsidRPr="00E95765">
        <w:rPr>
          <w:rFonts w:ascii="Times New Roman" w:eastAsia="Times New Roman" w:hAnsi="Times New Roman" w:cs="Times New Roman"/>
          <w:b/>
          <w:bCs/>
          <w:sz w:val="24"/>
          <w:szCs w:val="24"/>
        </w:rPr>
        <w:noBreakHyphen/>
        <w:t>G (Cumulative Illness Rating Scale</w:t>
      </w:r>
      <w:r w:rsidRPr="00E95765">
        <w:rPr>
          <w:rStyle w:val="BulletManualBodyList"/>
          <w:rFonts w:ascii="Times New Roman" w:eastAsia="Times New Roman" w:hAnsi="Times New Roman" w:cs="Times New Roman"/>
          <w:b/>
          <w:bCs/>
          <w:sz w:val="24"/>
          <w:szCs w:val="24"/>
        </w:rPr>
        <w:t>–</w:t>
      </w:r>
      <w:r w:rsidRPr="00E95765">
        <w:rPr>
          <w:rFonts w:ascii="Times New Roman" w:eastAsia="Times New Roman" w:hAnsi="Times New Roman" w:cs="Times New Roman"/>
          <w:b/>
          <w:bCs/>
          <w:sz w:val="24"/>
          <w:szCs w:val="24"/>
        </w:rPr>
        <w:t>Geriatric):</w:t>
      </w:r>
      <w:r w:rsidRPr="00E95765">
        <w:rPr>
          <w:rFonts w:ascii="Times New Roman" w:eastAsia="Times New Roman" w:hAnsi="Times New Roman" w:cs="Times New Roman"/>
          <w:sz w:val="24"/>
          <w:szCs w:val="24"/>
        </w:rPr>
        <w:t> Quantifies frailty across 18 organ systems (e.g., respiratory, renal, hepat</w:t>
      </w:r>
      <w:r w:rsidRPr="00E95765">
        <w:rPr>
          <w:rFonts w:ascii="Times New Roman" w:eastAsia="Times New Roman" w:hAnsi="Times New Roman" w:cs="Times New Roman"/>
          <w:sz w:val="24"/>
          <w:szCs w:val="24"/>
          <w:highlight w:val="green"/>
        </w:rPr>
        <w:t xml:space="preserve">ic) </w:t>
      </w:r>
      <w:r w:rsidRPr="00E95765">
        <w:rPr>
          <w:rFonts w:ascii="Times New Roman" w:eastAsia="Times New Roman" w:hAnsi="Times New Roman" w:cs="Times New Roman"/>
          <w:sz w:val="24"/>
          <w:szCs w:val="24"/>
        </w:rPr>
        <w:t>and has been studied in CAR T for DLBCL and MM. Frail patients (score &gt;</w:t>
      </w:r>
      <w:r w:rsidRPr="00E95765">
        <w:rPr>
          <w:rFonts w:ascii="Times New Roman" w:eastAsia="Times New Roman" w:hAnsi="Times New Roman" w:cs="Times New Roman"/>
          <w:sz w:val="24"/>
          <w:szCs w:val="24"/>
          <w:highlight w:val="green"/>
        </w:rPr>
        <w:t xml:space="preserve">8) </w:t>
      </w:r>
      <w:r w:rsidRPr="00E95765">
        <w:rPr>
          <w:rFonts w:ascii="Times New Roman" w:eastAsia="Times New Roman" w:hAnsi="Times New Roman" w:cs="Times New Roman"/>
          <w:sz w:val="24"/>
          <w:szCs w:val="24"/>
        </w:rPr>
        <w:t xml:space="preserve">face reduced overall survival (HR </w:t>
      </w:r>
      <w:r w:rsidRPr="00E95765">
        <w:rPr>
          <w:rFonts w:eastAsia="Times New Roman" w:cs="Times New Roman"/>
        </w:rPr>
        <w:t>~</w:t>
      </w:r>
      <w:r w:rsidRPr="00E95765">
        <w:rPr>
          <w:rFonts w:ascii="Times New Roman" w:eastAsia="Times New Roman" w:hAnsi="Times New Roman" w:cs="Times New Roman"/>
          <w:sz w:val="24"/>
          <w:szCs w:val="24"/>
        </w:rPr>
        <w:t>1.</w:t>
      </w:r>
      <w:r w:rsidRPr="00E95765">
        <w:rPr>
          <w:rFonts w:ascii="Times New Roman" w:eastAsia="Times New Roman" w:hAnsi="Times New Roman" w:cs="Times New Roman"/>
          <w:sz w:val="24"/>
          <w:szCs w:val="24"/>
          <w:highlight w:val="green"/>
        </w:rPr>
        <w:t xml:space="preserve">8) </w:t>
      </w:r>
      <w:r w:rsidRPr="00E95765">
        <w:rPr>
          <w:rFonts w:ascii="Times New Roman" w:eastAsia="Times New Roman" w:hAnsi="Times New Roman" w:cs="Times New Roman"/>
          <w:sz w:val="24"/>
          <w:szCs w:val="24"/>
        </w:rPr>
        <w:t xml:space="preserve">and higher grade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3 CRS rates (20</w:t>
      </w:r>
      <w:r w:rsidRPr="00E95765">
        <w:rPr>
          <w:rStyle w:val="BulletManualBodyList"/>
          <w:rFonts w:ascii="Times New Roman" w:eastAsia="Times New Roman" w:hAnsi="Times New Roman" w:cs="Times New Roman"/>
          <w:sz w:val="24"/>
          <w:szCs w:val="24"/>
        </w:rPr>
        <w:t>–</w:t>
      </w:r>
      <w:r w:rsidRPr="00E95765">
        <w:rPr>
          <w:rFonts w:ascii="Times New Roman" w:eastAsia="Times New Roman" w:hAnsi="Times New Roman" w:cs="Times New Roman"/>
          <w:sz w:val="24"/>
          <w:szCs w:val="24"/>
        </w:rPr>
        <w:t xml:space="preserve">30%), supporting early geriatric referral and </w:t>
      </w:r>
      <w:proofErr w:type="spellStart"/>
      <w:r w:rsidRPr="00E95765">
        <w:rPr>
          <w:rFonts w:ascii="Times New Roman" w:eastAsia="Times New Roman" w:hAnsi="Times New Roman" w:cs="Times New Roman"/>
          <w:sz w:val="24"/>
          <w:szCs w:val="24"/>
        </w:rPr>
        <w:t>prehabilitation</w:t>
      </w:r>
      <w:proofErr w:type="spellEnd"/>
      <w:r w:rsidRPr="00E95765">
        <w:rPr>
          <w:rFonts w:ascii="Times New Roman" w:eastAsia="Times New Roman" w:hAnsi="Times New Roman" w:cs="Times New Roman"/>
          <w:sz w:val="24"/>
          <w:szCs w:val="24"/>
        </w:rPr>
        <w:t xml:space="preserve">. A 2025 study confirmed its role in elderly r/r LBCL (CIRS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 xml:space="preserve">10: significantly worse OS), underscoring utility for geriatric optimization. Use in TIL or </w:t>
      </w:r>
      <w:proofErr w:type="spellStart"/>
      <w:r w:rsidRPr="00E95765">
        <w:rPr>
          <w:rFonts w:ascii="Times New Roman" w:eastAsia="Times New Roman" w:hAnsi="Times New Roman" w:cs="Times New Roman"/>
          <w:sz w:val="24"/>
          <w:szCs w:val="24"/>
        </w:rPr>
        <w:t>BiTE</w:t>
      </w:r>
      <w:proofErr w:type="spellEnd"/>
      <w:r w:rsidRPr="00E95765">
        <w:rPr>
          <w:rFonts w:ascii="Times New Roman" w:eastAsia="Times New Roman" w:hAnsi="Times New Roman" w:cs="Times New Roman"/>
          <w:sz w:val="24"/>
          <w:szCs w:val="24"/>
        </w:rPr>
        <w:t xml:space="preserve"> therapy is under investigation.</w:t>
      </w:r>
    </w:p>
    <w:p w:rsidR="00D80BD4" w:rsidRPr="00E95765" w:rsidRDefault="00C40BF9">
      <w:pPr>
        <w:pStyle w:val="BL-MID"/>
        <w:tabs>
          <w:tab w:val="left" w:pos="720"/>
        </w:tabs>
        <w:spacing w:before="100" w:beforeAutospacing="1" w:after="100" w:afterAutospacing="1" w:line="480" w:lineRule="auto"/>
        <w:ind w:left="720" w:hanging="360"/>
        <w:contextualSpacing/>
        <w:outlineLvl w:val="3"/>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EASIX</w:t>
      </w:r>
      <w:r w:rsidRPr="00E95765">
        <w:rPr>
          <w:rFonts w:ascii="Times New Roman" w:eastAsia="Times New Roman" w:hAnsi="Times New Roman" w:cs="Times New Roman"/>
          <w:b/>
          <w:bCs/>
          <w:sz w:val="24"/>
          <w:szCs w:val="24"/>
        </w:rPr>
        <w:t xml:space="preserve"> (Endothelial Activation and Stress Index):</w:t>
      </w:r>
      <w:r w:rsidRPr="00E95765">
        <w:rPr>
          <w:rFonts w:ascii="Times New Roman" w:eastAsia="Times New Roman" w:hAnsi="Times New Roman" w:cs="Times New Roman"/>
          <w:sz w:val="24"/>
          <w:szCs w:val="24"/>
        </w:rPr>
        <w:t xml:space="preserve"> A simple formula (LDH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 xml:space="preserve"> </w:t>
      </w:r>
      <w:proofErr w:type="spellStart"/>
      <w:r w:rsidRPr="00E95765">
        <w:rPr>
          <w:rFonts w:ascii="Times New Roman" w:eastAsia="Times New Roman" w:hAnsi="Times New Roman" w:cs="Times New Roman"/>
          <w:sz w:val="24"/>
          <w:szCs w:val="24"/>
        </w:rPr>
        <w:t>creatinine</w:t>
      </w:r>
      <w:proofErr w:type="spellEnd"/>
      <w:r w:rsidRPr="00E95765">
        <w:rPr>
          <w:rFonts w:ascii="Times New Roman" w:eastAsia="Times New Roman" w:hAnsi="Times New Roman" w:cs="Times New Roman"/>
          <w:sz w:val="24"/>
          <w:szCs w:val="24"/>
        </w:rPr>
        <w:t xml:space="preserve">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 xml:space="preserve"> platelets) initially developed for </w:t>
      </w:r>
      <w:proofErr w:type="spellStart"/>
      <w:r w:rsidRPr="00E95765">
        <w:rPr>
          <w:rFonts w:ascii="Times New Roman" w:eastAsia="Times New Roman" w:hAnsi="Times New Roman" w:cs="Times New Roman"/>
          <w:sz w:val="24"/>
          <w:szCs w:val="24"/>
        </w:rPr>
        <w:t>allo</w:t>
      </w:r>
      <w:proofErr w:type="spellEnd"/>
      <w:r w:rsidRPr="00E95765">
        <w:rPr>
          <w:rFonts w:ascii="Times New Roman" w:eastAsia="Times New Roman" w:hAnsi="Times New Roman" w:cs="Times New Roman"/>
          <w:sz w:val="24"/>
          <w:szCs w:val="24"/>
        </w:rPr>
        <w:noBreakHyphen/>
        <w:t xml:space="preserve">HSCT, used to predict endothelial dysfunction, </w:t>
      </w:r>
      <w:proofErr w:type="spellStart"/>
      <w:r w:rsidRPr="00E95765">
        <w:rPr>
          <w:rFonts w:ascii="Times New Roman" w:eastAsia="Times New Roman" w:hAnsi="Times New Roman" w:cs="Times New Roman"/>
          <w:sz w:val="24"/>
          <w:szCs w:val="24"/>
        </w:rPr>
        <w:t>cytopenias</w:t>
      </w:r>
      <w:proofErr w:type="spellEnd"/>
      <w:r w:rsidRPr="00E95765">
        <w:rPr>
          <w:rFonts w:ascii="Times New Roman" w:eastAsia="Times New Roman" w:hAnsi="Times New Roman" w:cs="Times New Roman"/>
          <w:sz w:val="24"/>
          <w:szCs w:val="24"/>
        </w:rPr>
        <w:t xml:space="preserve">, NRM, and infections. </w:t>
      </w:r>
      <w:proofErr w:type="gramStart"/>
      <w:r w:rsidRPr="00E95765">
        <w:rPr>
          <w:rFonts w:ascii="Times New Roman" w:eastAsia="Times New Roman" w:hAnsi="Times New Roman" w:cs="Times New Roman"/>
          <w:sz w:val="24"/>
          <w:szCs w:val="24"/>
        </w:rPr>
        <w:t>In CAR T, high scores (&gt;</w:t>
      </w:r>
      <w:r w:rsidRPr="00E95765">
        <w:rPr>
          <w:rStyle w:val="citebib"/>
          <w:rFonts w:ascii="Times New Roman" w:eastAsia="Times New Roman" w:hAnsi="Times New Roman" w:cs="Times New Roman"/>
          <w:szCs w:val="24"/>
        </w:rPr>
        <w:t>2</w:t>
      </w:r>
      <w:r w:rsidRPr="00E95765">
        <w:rPr>
          <w:rFonts w:ascii="Times New Roman" w:eastAsia="Times New Roman" w:hAnsi="Times New Roman" w:cs="Times New Roman"/>
          <w:sz w:val="24"/>
          <w:szCs w:val="24"/>
        </w:rPr>
        <w:t xml:space="preserve">) correlate with increased NRM (HR </w:t>
      </w:r>
      <w:r w:rsidRPr="00E95765">
        <w:rPr>
          <w:rFonts w:eastAsia="Times New Roman" w:cs="Times New Roman"/>
        </w:rPr>
        <w:t>~</w:t>
      </w:r>
      <w:r w:rsidRPr="00E95765">
        <w:rPr>
          <w:rFonts w:ascii="Times New Roman" w:eastAsia="Times New Roman" w:hAnsi="Times New Roman" w:cs="Times New Roman"/>
          <w:sz w:val="24"/>
          <w:szCs w:val="24"/>
        </w:rPr>
        <w:t>1.</w:t>
      </w:r>
      <w:r w:rsidRPr="00E95765">
        <w:rPr>
          <w:rFonts w:ascii="Times New Roman" w:eastAsia="Times New Roman" w:hAnsi="Times New Roman" w:cs="Times New Roman"/>
          <w:sz w:val="24"/>
          <w:szCs w:val="24"/>
          <w:highlight w:val="green"/>
        </w:rPr>
        <w:t xml:space="preserve">9) </w:t>
      </w:r>
      <w:r w:rsidRPr="00E95765">
        <w:rPr>
          <w:rFonts w:ascii="Times New Roman" w:eastAsia="Times New Roman" w:hAnsi="Times New Roman" w:cs="Times New Roman"/>
          <w:sz w:val="24"/>
          <w:szCs w:val="24"/>
        </w:rPr>
        <w:t>and ICU admission risk.</w:t>
      </w:r>
      <w:proofErr w:type="gramEnd"/>
      <w:r w:rsidRPr="00E95765">
        <w:rPr>
          <w:rFonts w:ascii="Times New Roman" w:eastAsia="Times New Roman" w:hAnsi="Times New Roman" w:cs="Times New Roman"/>
          <w:sz w:val="24"/>
          <w:szCs w:val="24"/>
        </w:rPr>
        <w:t xml:space="preserve"> Validated in 2025 for DLBCL and MM CAR T, with ongoing studies testing applicability in TCR T</w:t>
      </w:r>
      <w:r w:rsidRPr="00E95765">
        <w:rPr>
          <w:rFonts w:ascii="Times New Roman" w:eastAsia="Times New Roman" w:hAnsi="Times New Roman" w:cs="Times New Roman"/>
          <w:sz w:val="24"/>
          <w:szCs w:val="24"/>
        </w:rPr>
        <w:noBreakHyphen/>
        <w:t xml:space="preserve">cells and </w:t>
      </w:r>
      <w:proofErr w:type="spellStart"/>
      <w:r w:rsidRPr="00E95765">
        <w:rPr>
          <w:rFonts w:ascii="Times New Roman" w:eastAsia="Times New Roman" w:hAnsi="Times New Roman" w:cs="Times New Roman"/>
          <w:sz w:val="24"/>
          <w:szCs w:val="24"/>
        </w:rPr>
        <w:t>bispecific</w:t>
      </w:r>
      <w:proofErr w:type="spellEnd"/>
      <w:r w:rsidRPr="00E95765">
        <w:rPr>
          <w:rFonts w:ascii="Times New Roman" w:eastAsia="Times New Roman" w:hAnsi="Times New Roman" w:cs="Times New Roman"/>
          <w:sz w:val="24"/>
          <w:szCs w:val="24"/>
        </w:rPr>
        <w:t xml:space="preserve"> T</w:t>
      </w:r>
      <w:r w:rsidRPr="00E95765">
        <w:rPr>
          <w:rFonts w:ascii="Times New Roman" w:eastAsia="Times New Roman" w:hAnsi="Times New Roman" w:cs="Times New Roman"/>
          <w:sz w:val="24"/>
          <w:szCs w:val="24"/>
        </w:rPr>
        <w:noBreakHyphen/>
        <w:t>cell engagers; simplicity makes it attractive in resource</w:t>
      </w:r>
      <w:r w:rsidRPr="00E95765">
        <w:rPr>
          <w:rFonts w:ascii="Times New Roman" w:eastAsia="Times New Roman" w:hAnsi="Times New Roman" w:cs="Times New Roman"/>
          <w:sz w:val="24"/>
          <w:szCs w:val="24"/>
        </w:rPr>
        <w:noBreakHyphen/>
        <w:t>limited settings.</w:t>
      </w:r>
    </w:p>
    <w:p w:rsidR="00D80BD4" w:rsidRPr="00E95765" w:rsidRDefault="00C40BF9">
      <w:pPr>
        <w:pStyle w:val="BL-LAST"/>
        <w:tabs>
          <w:tab w:val="left" w:pos="720"/>
        </w:tabs>
        <w:spacing w:before="100" w:beforeAutospacing="1" w:after="100" w:afterAutospacing="1" w:line="480" w:lineRule="auto"/>
        <w:ind w:left="720" w:hanging="360"/>
        <w:contextualSpacing/>
        <w:outlineLvl w:val="3"/>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IMWG</w:t>
      </w:r>
      <w:r w:rsidRPr="00E95765">
        <w:rPr>
          <w:rFonts w:ascii="Times New Roman" w:eastAsia="Times New Roman" w:hAnsi="Times New Roman" w:cs="Times New Roman"/>
          <w:b/>
          <w:bCs/>
          <w:sz w:val="24"/>
          <w:szCs w:val="24"/>
        </w:rPr>
        <w:t xml:space="preserve"> Frailty Index (International Myeloma Working Group Frailty Score):</w:t>
      </w:r>
      <w:r w:rsidRPr="00E95765">
        <w:rPr>
          <w:rFonts w:ascii="Times New Roman" w:eastAsia="Times New Roman" w:hAnsi="Times New Roman" w:cs="Times New Roman"/>
          <w:sz w:val="24"/>
          <w:szCs w:val="24"/>
        </w:rPr>
        <w:t xml:space="preserve"> A practical scoring system using age, performance status (ECOG/ADL), and </w:t>
      </w:r>
      <w:proofErr w:type="spellStart"/>
      <w:r w:rsidRPr="00E95765">
        <w:rPr>
          <w:rFonts w:eastAsia="Times New Roman" w:cs="Times New Roman"/>
          <w:szCs w:val="24"/>
        </w:rPr>
        <w:t>Charlson</w:t>
      </w:r>
      <w:proofErr w:type="spellEnd"/>
      <w:r w:rsidRPr="00E95765">
        <w:rPr>
          <w:rFonts w:eastAsia="Times New Roman" w:cs="Times New Roman"/>
          <w:szCs w:val="24"/>
        </w:rPr>
        <w:t xml:space="preserve"> Comorbidity Index</w:t>
      </w:r>
      <w:r w:rsidRPr="00E95765">
        <w:rPr>
          <w:rFonts w:ascii="Times New Roman" w:eastAsia="Times New Roman" w:hAnsi="Times New Roman" w:cs="Times New Roman"/>
          <w:sz w:val="24"/>
          <w:szCs w:val="24"/>
        </w:rPr>
        <w:t xml:space="preserve"> </w:t>
      </w:r>
      <w:r w:rsidRPr="00E95765">
        <w:rPr>
          <w:rFonts w:ascii="Times New Roman" w:eastAsia="Times New Roman" w:hAnsi="Times New Roman" w:cs="Times New Roman"/>
          <w:sz w:val="24"/>
          <w:szCs w:val="24"/>
          <w:highlight w:val="green"/>
        </w:rPr>
        <w:t>(</w:t>
      </w:r>
      <w:r w:rsidRPr="00E95765">
        <w:rPr>
          <w:rFonts w:eastAsia="Times New Roman" w:cs="Times New Roman"/>
          <w:szCs w:val="24"/>
          <w:highlight w:val="green"/>
        </w:rPr>
        <w:t>CCI</w:t>
      </w:r>
      <w:r w:rsidRPr="00E95765">
        <w:rPr>
          <w:rFonts w:ascii="Times New Roman" w:eastAsia="Times New Roman" w:hAnsi="Times New Roman" w:cs="Times New Roman"/>
          <w:sz w:val="24"/>
          <w:szCs w:val="24"/>
          <w:highlight w:val="green"/>
        </w:rPr>
        <w:t>)</w:t>
      </w:r>
      <w:r w:rsidRPr="00E95765">
        <w:rPr>
          <w:rFonts w:ascii="Times New Roman" w:eastAsia="Times New Roman" w:hAnsi="Times New Roman" w:cs="Times New Roman"/>
          <w:sz w:val="24"/>
          <w:szCs w:val="24"/>
        </w:rPr>
        <w:t xml:space="preserve">. Frailty is defined as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 xml:space="preserve">2 points. Widely used in myeloma, it predicts PFS, OS, and toxicity risk. In BCMA CAR T and </w:t>
      </w:r>
      <w:proofErr w:type="spellStart"/>
      <w:r w:rsidRPr="00E95765">
        <w:rPr>
          <w:rFonts w:ascii="Times New Roman" w:eastAsia="Times New Roman" w:hAnsi="Times New Roman" w:cs="Times New Roman"/>
          <w:sz w:val="24"/>
          <w:szCs w:val="24"/>
        </w:rPr>
        <w:t>bispecific</w:t>
      </w:r>
      <w:proofErr w:type="spellEnd"/>
      <w:r w:rsidRPr="00E95765">
        <w:rPr>
          <w:rFonts w:ascii="Times New Roman" w:eastAsia="Times New Roman" w:hAnsi="Times New Roman" w:cs="Times New Roman"/>
          <w:sz w:val="24"/>
          <w:szCs w:val="24"/>
        </w:rPr>
        <w:t xml:space="preserve"> antibody trials, </w:t>
      </w:r>
      <w:r w:rsidRPr="00E95765">
        <w:rPr>
          <w:rFonts w:ascii="Times New Roman" w:eastAsia="Times New Roman" w:hAnsi="Times New Roman" w:cs="Times New Roman"/>
          <w:sz w:val="24"/>
          <w:szCs w:val="24"/>
        </w:rPr>
        <w:lastRenderedPageBreak/>
        <w:t>frail patients show comparable CRS/ICANS rates but higher NRM and inferior OS (HR 1.5</w:t>
      </w:r>
      <w:r w:rsidRPr="00E95765">
        <w:rPr>
          <w:rStyle w:val="BulletManualBodyList"/>
          <w:rFonts w:ascii="Times New Roman" w:eastAsia="Times New Roman" w:hAnsi="Times New Roman" w:cs="Times New Roman"/>
          <w:sz w:val="24"/>
          <w:szCs w:val="24"/>
        </w:rPr>
        <w:t>–</w:t>
      </w:r>
      <w:r w:rsidRPr="00E95765">
        <w:rPr>
          <w:rFonts w:ascii="Times New Roman" w:eastAsia="Times New Roman" w:hAnsi="Times New Roman" w:cs="Times New Roman"/>
          <w:sz w:val="24"/>
          <w:szCs w:val="24"/>
        </w:rPr>
        <w:t xml:space="preserve">2.2), supporting tailored optimization and </w:t>
      </w:r>
      <w:proofErr w:type="spellStart"/>
      <w:r w:rsidRPr="00E95765">
        <w:rPr>
          <w:rFonts w:ascii="Times New Roman" w:eastAsia="Times New Roman" w:hAnsi="Times New Roman" w:cs="Times New Roman"/>
          <w:sz w:val="24"/>
          <w:szCs w:val="24"/>
        </w:rPr>
        <w:t>prehabilitation</w:t>
      </w:r>
      <w:proofErr w:type="spellEnd"/>
      <w:r w:rsidRPr="00E95765">
        <w:rPr>
          <w:rFonts w:ascii="Times New Roman" w:eastAsia="Times New Roman" w:hAnsi="Times New Roman" w:cs="Times New Roman"/>
          <w:sz w:val="24"/>
          <w:szCs w:val="24"/>
        </w:rPr>
        <w:t xml:space="preserve"> strategies.</w:t>
      </w:r>
    </w:p>
    <w:p w:rsidR="00D80BD4" w:rsidRPr="00E95765" w:rsidRDefault="00E95765">
      <w:pPr>
        <w:pStyle w:val="H1"/>
        <w:spacing w:before="100" w:beforeAutospacing="1" w:after="100" w:afterAutospacing="1" w:line="480" w:lineRule="auto"/>
        <w:contextualSpacing/>
        <w:outlineLvl w:val="3"/>
        <w:rPr>
          <w:rFonts w:ascii="Times New Roman" w:eastAsia="Times New Roman" w:hAnsi="Times New Roman" w:cs="Times New Roman"/>
          <w:sz w:val="24"/>
          <w:szCs w:val="24"/>
          <w:highlight w:val="yellow"/>
        </w:rPr>
      </w:pPr>
      <w:r w:rsidRPr="00E95765">
        <w:rPr>
          <w:rStyle w:val="Tag"/>
          <w:rFonts w:ascii="Times New Roman" w:eastAsia="Times New Roman" w:hAnsi="Times New Roman" w:cs="Times New Roman"/>
          <w:b/>
          <w:bCs/>
          <w:sz w:val="24"/>
          <w:szCs w:val="24"/>
          <w:highlight w:val="yellow"/>
        </w:rPr>
        <w:t>&lt;H1&gt;</w:t>
      </w:r>
      <w:r w:rsidRPr="00E95765">
        <w:rPr>
          <w:rFonts w:ascii="Times New Roman" w:eastAsia="Times New Roman" w:hAnsi="Times New Roman" w:cs="Times New Roman"/>
          <w:b/>
          <w:bCs/>
          <w:sz w:val="24"/>
          <w:szCs w:val="24"/>
          <w:highlight w:val="yellow"/>
        </w:rPr>
        <w:t>Minimum Organ Function</w:t>
      </w:r>
    </w:p>
    <w:p w:rsidR="00D80BD4" w:rsidRPr="00E95765" w:rsidRDefault="00C40BF9">
      <w:pPr>
        <w:pStyle w:val="TXT-FLUSH"/>
        <w:spacing w:before="100" w:beforeAutospacing="1" w:after="100" w:afterAutospacing="1" w:line="480" w:lineRule="auto"/>
        <w:contextualSpacing/>
        <w:outlineLvl w:val="3"/>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Minimum organ function standards support </w:t>
      </w:r>
      <w:proofErr w:type="spellStart"/>
      <w:r w:rsidRPr="00E95765">
        <w:rPr>
          <w:rFonts w:ascii="Times New Roman" w:eastAsia="Times New Roman" w:hAnsi="Times New Roman" w:cs="Times New Roman"/>
          <w:sz w:val="24"/>
          <w:szCs w:val="24"/>
        </w:rPr>
        <w:t>leukapheresis</w:t>
      </w:r>
      <w:proofErr w:type="spellEnd"/>
      <w:r w:rsidRPr="00E95765">
        <w:rPr>
          <w:rFonts w:ascii="Times New Roman" w:eastAsia="Times New Roman" w:hAnsi="Times New Roman" w:cs="Times New Roman"/>
          <w:sz w:val="24"/>
          <w:szCs w:val="24"/>
        </w:rPr>
        <w:t xml:space="preserve">,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xml:space="preserve">, and infusion, with requirements varying by therapy intensity (e.g., stricter for TILs compared to CARs). Adequate hematologic reserves (e.g., ANC, platelets) mitigate infection and bleeding risks, while preserved cardiopulmonary, hepatic, and renal functions reduce toxicity risks associated with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xml:space="preserve"> and cellular therapy-related toxicities. Protocols typically require ANC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500–1,000/</w:t>
      </w:r>
      <w:r w:rsidR="00E95765" w:rsidRPr="00E95765">
        <w:rPr>
          <w:rFonts w:eastAsia="Times New Roman" w:cs="Times New Roman"/>
          <w:highlight w:val="green"/>
        </w:rPr>
        <w:t>µ</w:t>
      </w:r>
      <w:r w:rsidRPr="00E95765">
        <w:rPr>
          <w:rFonts w:ascii="Times New Roman" w:eastAsia="Times New Roman" w:hAnsi="Times New Roman" w:cs="Times New Roman"/>
          <w:sz w:val="24"/>
          <w:szCs w:val="24"/>
        </w:rPr>
        <w:t xml:space="preserve">L, platelets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50,000/</w:t>
      </w:r>
      <w:r w:rsidR="00E95765" w:rsidRPr="00E95765">
        <w:rPr>
          <w:rFonts w:eastAsia="Times New Roman" w:cs="Times New Roman"/>
          <w:highlight w:val="green"/>
        </w:rPr>
        <w:t>µ</w:t>
      </w:r>
      <w:r w:rsidRPr="00E95765">
        <w:rPr>
          <w:rFonts w:ascii="Times New Roman" w:eastAsia="Times New Roman" w:hAnsi="Times New Roman" w:cs="Times New Roman"/>
          <w:sz w:val="24"/>
          <w:szCs w:val="24"/>
        </w:rPr>
        <w:t xml:space="preserve">L, hemoglobin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8 g/</w:t>
      </w:r>
      <w:proofErr w:type="spellStart"/>
      <w:r w:rsidRPr="00E95765">
        <w:rPr>
          <w:rFonts w:ascii="Times New Roman" w:eastAsia="Times New Roman" w:hAnsi="Times New Roman" w:cs="Times New Roman"/>
          <w:sz w:val="24"/>
          <w:szCs w:val="24"/>
        </w:rPr>
        <w:t>dL</w:t>
      </w:r>
      <w:proofErr w:type="spellEnd"/>
      <w:r w:rsidRPr="00E95765">
        <w:rPr>
          <w:rFonts w:ascii="Times New Roman" w:eastAsia="Times New Roman" w:hAnsi="Times New Roman" w:cs="Times New Roman"/>
          <w:sz w:val="24"/>
          <w:szCs w:val="24"/>
        </w:rPr>
        <w:t xml:space="preserve">, </w:t>
      </w:r>
      <w:proofErr w:type="spellStart"/>
      <w:r w:rsidRPr="00E95765">
        <w:rPr>
          <w:rFonts w:ascii="Times New Roman" w:eastAsia="Times New Roman" w:hAnsi="Times New Roman" w:cs="Times New Roman"/>
          <w:sz w:val="24"/>
          <w:szCs w:val="24"/>
        </w:rPr>
        <w:t>CrCl</w:t>
      </w:r>
      <w:proofErr w:type="spellEnd"/>
      <w:r w:rsidRPr="00E95765">
        <w:rPr>
          <w:rFonts w:ascii="Times New Roman" w:eastAsia="Times New Roman" w:hAnsi="Times New Roman" w:cs="Times New Roman"/>
          <w:sz w:val="24"/>
          <w:szCs w:val="24"/>
        </w:rPr>
        <w:t xml:space="preserve">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30 mL/min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 xml:space="preserve">45 mL/min for TILs requiring high dose-IL2,), bilirubin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2 mg/</w:t>
      </w:r>
      <w:proofErr w:type="spellStart"/>
      <w:r w:rsidRPr="00E95765">
        <w:rPr>
          <w:rFonts w:ascii="Times New Roman" w:eastAsia="Times New Roman" w:hAnsi="Times New Roman" w:cs="Times New Roman"/>
          <w:sz w:val="24"/>
          <w:szCs w:val="24"/>
        </w:rPr>
        <w:t>dL</w:t>
      </w:r>
      <w:proofErr w:type="spellEnd"/>
      <w:r w:rsidRPr="00E95765">
        <w:rPr>
          <w:rFonts w:ascii="Times New Roman" w:eastAsia="Times New Roman" w:hAnsi="Times New Roman" w:cs="Times New Roman"/>
          <w:sz w:val="24"/>
          <w:szCs w:val="24"/>
        </w:rPr>
        <w:t xml:space="preserve">, LVEF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45% (NYHA Class I-II) but specifics may vary based on product and protoco</w:t>
      </w:r>
      <w:r w:rsidRPr="00E95765">
        <w:rPr>
          <w:rFonts w:ascii="Times New Roman" w:eastAsia="Times New Roman" w:hAnsi="Times New Roman" w:cs="Times New Roman"/>
          <w:sz w:val="24"/>
          <w:szCs w:val="24"/>
          <w:highlight w:val="green"/>
        </w:rPr>
        <w:t xml:space="preserve">l. </w:t>
      </w:r>
    </w:p>
    <w:p w:rsidR="00D80BD4" w:rsidRPr="00E95765" w:rsidRDefault="00E95765">
      <w:pPr>
        <w:pStyle w:val="H1"/>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E95765">
        <w:rPr>
          <w:rStyle w:val="Tag"/>
          <w:rFonts w:ascii="Times New Roman" w:eastAsia="Times New Roman" w:hAnsi="Times New Roman" w:cs="Times New Roman"/>
          <w:b/>
          <w:bCs/>
          <w:sz w:val="24"/>
          <w:szCs w:val="24"/>
          <w:highlight w:val="yellow"/>
        </w:rPr>
        <w:t>&lt;</w:t>
      </w:r>
      <w:r w:rsidR="00C40BF9" w:rsidRPr="00E95765">
        <w:rPr>
          <w:rStyle w:val="Tag"/>
          <w:rFonts w:ascii="Times New Roman" w:eastAsia="Times New Roman" w:hAnsi="Times New Roman" w:cs="Times New Roman"/>
          <w:b/>
          <w:bCs/>
          <w:sz w:val="24"/>
          <w:szCs w:val="24"/>
          <w:highlight w:val="yellow"/>
        </w:rPr>
        <w:t>H1</w:t>
      </w:r>
      <w:r w:rsidRPr="00E95765">
        <w:rPr>
          <w:rStyle w:val="Tag"/>
          <w:rFonts w:ascii="Times New Roman" w:eastAsia="Times New Roman" w:hAnsi="Times New Roman" w:cs="Times New Roman"/>
          <w:b/>
          <w:bCs/>
          <w:sz w:val="24"/>
          <w:szCs w:val="24"/>
          <w:highlight w:val="yellow"/>
        </w:rPr>
        <w:t>&gt;</w:t>
      </w:r>
      <w:r w:rsidR="00C40BF9" w:rsidRPr="00E95765">
        <w:rPr>
          <w:rFonts w:ascii="Times New Roman" w:eastAsia="Times New Roman" w:hAnsi="Times New Roman" w:cs="Times New Roman"/>
          <w:b/>
          <w:bCs/>
          <w:sz w:val="24"/>
          <w:szCs w:val="24"/>
          <w:highlight w:val="yellow"/>
        </w:rPr>
        <w:t xml:space="preserve">Cellular Collection </w:t>
      </w:r>
      <w:proofErr w:type="gramStart"/>
      <w:r w:rsidRPr="00E95765">
        <w:rPr>
          <w:rFonts w:ascii="Times New Roman" w:eastAsia="Times New Roman" w:hAnsi="Times New Roman" w:cs="Times New Roman"/>
          <w:b/>
          <w:bCs/>
          <w:sz w:val="24"/>
          <w:szCs w:val="24"/>
          <w:highlight w:val="green"/>
        </w:rPr>
        <w:t>And</w:t>
      </w:r>
      <w:proofErr w:type="gramEnd"/>
      <w:r w:rsidRPr="00E95765">
        <w:rPr>
          <w:rFonts w:ascii="Times New Roman" w:eastAsia="Times New Roman" w:hAnsi="Times New Roman" w:cs="Times New Roman"/>
          <w:b/>
          <w:bCs/>
          <w:sz w:val="24"/>
          <w:szCs w:val="24"/>
          <w:highlight w:val="yellow"/>
        </w:rPr>
        <w:t xml:space="preserve"> </w:t>
      </w:r>
      <w:r w:rsidR="00C40BF9" w:rsidRPr="00E95765">
        <w:rPr>
          <w:rFonts w:ascii="Times New Roman" w:eastAsia="Times New Roman" w:hAnsi="Times New Roman" w:cs="Times New Roman"/>
          <w:b/>
          <w:bCs/>
          <w:sz w:val="24"/>
          <w:szCs w:val="24"/>
          <w:highlight w:val="yellow"/>
        </w:rPr>
        <w:t>Manufacturing</w:t>
      </w:r>
    </w:p>
    <w:p w:rsidR="00D80BD4" w:rsidRPr="00E95765" w:rsidRDefault="00C40BF9">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After consent and exhaustive baseline screening, patients may undergo </w:t>
      </w:r>
      <w:proofErr w:type="spellStart"/>
      <w:r w:rsidRPr="00E95765">
        <w:rPr>
          <w:rFonts w:ascii="Times New Roman" w:eastAsia="Times New Roman" w:hAnsi="Times New Roman" w:cs="Times New Roman"/>
          <w:sz w:val="24"/>
          <w:szCs w:val="24"/>
        </w:rPr>
        <w:t>leukapheresis</w:t>
      </w:r>
      <w:proofErr w:type="spellEnd"/>
      <w:r w:rsidRPr="00E95765">
        <w:rPr>
          <w:rFonts w:ascii="Times New Roman" w:eastAsia="Times New Roman" w:hAnsi="Times New Roman" w:cs="Times New Roman"/>
          <w:sz w:val="24"/>
          <w:szCs w:val="24"/>
        </w:rPr>
        <w:t xml:space="preserve"> or TIL harvesting (typically 2–4 weeks prior to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if clinically stable and meeting hematologic/clinical criteri</w:t>
      </w:r>
      <w:r w:rsidRPr="00E95765">
        <w:rPr>
          <w:rFonts w:ascii="Times New Roman" w:eastAsia="Times New Roman" w:hAnsi="Times New Roman" w:cs="Times New Roman"/>
          <w:sz w:val="24"/>
          <w:szCs w:val="24"/>
          <w:highlight w:val="green"/>
        </w:rPr>
        <w:t xml:space="preserve">a. </w:t>
      </w:r>
      <w:r w:rsidRPr="00E95765">
        <w:rPr>
          <w:rFonts w:ascii="Times New Roman" w:eastAsia="Times New Roman" w:hAnsi="Times New Roman" w:cs="Times New Roman"/>
          <w:sz w:val="24"/>
          <w:szCs w:val="24"/>
        </w:rPr>
        <w:t xml:space="preserve">Pre-collection evaluation should confirm current infectious serologic status, exclude active infections, ensure adequate vascular access, and verify avoidance of </w:t>
      </w:r>
      <w:proofErr w:type="spellStart"/>
      <w:r w:rsidRPr="00E95765">
        <w:rPr>
          <w:rFonts w:ascii="Times New Roman" w:eastAsia="Times New Roman" w:hAnsi="Times New Roman" w:cs="Times New Roman"/>
          <w:sz w:val="24"/>
          <w:szCs w:val="24"/>
        </w:rPr>
        <w:t>lymphotoxic</w:t>
      </w:r>
      <w:proofErr w:type="spellEnd"/>
      <w:r w:rsidRPr="00E95765">
        <w:rPr>
          <w:rFonts w:ascii="Times New Roman" w:eastAsia="Times New Roman" w:hAnsi="Times New Roman" w:cs="Times New Roman"/>
          <w:sz w:val="24"/>
          <w:szCs w:val="24"/>
        </w:rPr>
        <w:t xml:space="preserve"> drugs within the protoco</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 xml:space="preserve">specified washout period (typically 2-4 weeks but varies based on drug’s pharmacokinetics and lymphocyte impact; </w:t>
      </w:r>
      <w:r w:rsidRPr="00E95765">
        <w:rPr>
          <w:rStyle w:val="TableCitation"/>
          <w:rFonts w:ascii="Times New Roman" w:eastAsia="Times New Roman" w:hAnsi="Times New Roman" w:cs="Times New Roman"/>
          <w:sz w:val="24"/>
          <w:szCs w:val="24"/>
        </w:rPr>
        <w:t>Table 5.4</w:t>
      </w:r>
      <w:r w:rsidRPr="00E95765">
        <w:rPr>
          <w:rFonts w:ascii="Times New Roman" w:eastAsia="Times New Roman" w:hAnsi="Times New Roman" w:cs="Times New Roman"/>
          <w:sz w:val="24"/>
          <w:szCs w:val="24"/>
        </w:rPr>
        <w:t>):</w:t>
      </w:r>
    </w:p>
    <w:p w:rsidR="00D80BD4" w:rsidRPr="00E95765" w:rsidRDefault="00C40BF9" w:rsidP="00B86F94">
      <w:pPr>
        <w:pStyle w:val="PMI"/>
      </w:pPr>
      <w:r w:rsidRPr="00E95765">
        <w:rPr>
          <w:rFonts w:ascii="Times New Roman" w:eastAsia="Times New Roman" w:hAnsi="Times New Roman" w:cs="Times New Roman"/>
          <w:sz w:val="24"/>
          <w:szCs w:val="24"/>
        </w:rPr>
        <w:t xml:space="preserve">&lt;INSERT </w:t>
      </w:r>
      <w:sdt>
        <w:sdtPr>
          <w:rPr>
            <w:rFonts w:ascii="Times New Roman" w:eastAsia="Times New Roman" w:hAnsi="Times New Roman" w:cs="Times New Roman"/>
            <w:sz w:val="24"/>
            <w:szCs w:val="24"/>
          </w:rPr>
          <w:alias w:val="Table Citation"/>
          <w:tag w:val="tab_cite"/>
          <w:id w:val="2134048178"/>
          <w:placeholder>
            <w:docPart w:val="DefaultPlaceholder_1082065158"/>
          </w:placeholder>
        </w:sdtPr>
        <w:sdtEndPr/>
        <w:sdtContent>
          <w:r w:rsidRPr="00E95765">
            <w:rPr>
              <w:rFonts w:ascii="Times New Roman" w:eastAsia="Times New Roman" w:hAnsi="Times New Roman" w:cs="Times New Roman"/>
              <w:sz w:val="24"/>
              <w:szCs w:val="24"/>
            </w:rPr>
            <w:t>TAB5.4</w:t>
          </w:r>
        </w:sdtContent>
      </w:sdt>
      <w:r w:rsidRPr="00E95765">
        <w:rPr>
          <w:rFonts w:ascii="Times New Roman" w:eastAsia="Times New Roman" w:hAnsi="Times New Roman" w:cs="Times New Roman"/>
          <w:sz w:val="24"/>
          <w:szCs w:val="24"/>
        </w:rPr>
        <w:t>&gt;</w:t>
      </w:r>
    </w:p>
    <w:p w:rsidR="00D80BD4" w:rsidRPr="00E95765" w:rsidRDefault="00C40BF9" w:rsidP="00B86F94">
      <w:pPr>
        <w:pStyle w:val="PMI"/>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&lt;BL&gt;</w:t>
      </w:r>
    </w:p>
    <w:p w:rsidR="00D80BD4" w:rsidRPr="00E95765" w:rsidRDefault="00C40BF9">
      <w:pPr>
        <w:pStyle w:val="BL-FIR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lastRenderedPageBreak/>
        <w:t></w:t>
      </w:r>
      <w:r w:rsidRPr="00E95765">
        <w:rPr>
          <w:rFonts w:ascii="Symbol" w:eastAsia="Times New Roman" w:hAnsi="Symbol" w:cs="Times New Roman"/>
          <w:sz w:val="20"/>
          <w:szCs w:val="24"/>
        </w:rPr>
        <w:tab/>
      </w:r>
      <w:r w:rsidRPr="00E95765">
        <w:rPr>
          <w:rFonts w:eastAsia="Times New Roman" w:cs="Times New Roman"/>
          <w:b/>
          <w:bCs/>
          <w:szCs w:val="24"/>
        </w:rPr>
        <w:t>Cellular Material</w:t>
      </w:r>
      <w:r w:rsidRPr="00E95765">
        <w:rPr>
          <w:rFonts w:ascii="Times New Roman" w:eastAsia="Times New Roman" w:hAnsi="Times New Roman" w:cs="Times New Roman"/>
          <w:sz w:val="24"/>
          <w:szCs w:val="24"/>
        </w:rPr>
        <w:t xml:space="preserve">: For </w:t>
      </w:r>
      <w:proofErr w:type="spellStart"/>
      <w:r w:rsidRPr="00E95765">
        <w:rPr>
          <w:rFonts w:ascii="Times New Roman" w:eastAsia="Times New Roman" w:hAnsi="Times New Roman" w:cs="Times New Roman"/>
          <w:sz w:val="24"/>
          <w:szCs w:val="24"/>
        </w:rPr>
        <w:t>leukapheresis</w:t>
      </w:r>
      <w:proofErr w:type="spellEnd"/>
      <w:r w:rsidRPr="00E95765">
        <w:rPr>
          <w:rFonts w:ascii="Times New Roman" w:eastAsia="Times New Roman" w:hAnsi="Times New Roman" w:cs="Times New Roman"/>
          <w:sz w:val="24"/>
          <w:szCs w:val="24"/>
        </w:rPr>
        <w:t>, higher baseline CD3 counts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500/</w:t>
      </w:r>
      <w:r w:rsidR="00E95765" w:rsidRPr="00E95765">
        <w:rPr>
          <w:rFonts w:eastAsia="Times New Roman" w:cs="Times New Roman"/>
          <w:highlight w:val="green"/>
        </w:rPr>
        <w:t>µ</w:t>
      </w:r>
      <w:r w:rsidRPr="00E95765">
        <w:rPr>
          <w:rFonts w:ascii="Times New Roman" w:eastAsia="Times New Roman" w:hAnsi="Times New Roman" w:cs="Times New Roman"/>
          <w:sz w:val="24"/>
          <w:szCs w:val="24"/>
        </w:rPr>
        <w:t xml:space="preserve">L) correlate with improved manufacturing yield for autologous cellular therapies; for TILs, larger </w:t>
      </w:r>
      <w:proofErr w:type="spellStart"/>
      <w:r w:rsidRPr="00E95765">
        <w:rPr>
          <w:rFonts w:ascii="Times New Roman" w:eastAsia="Times New Roman" w:hAnsi="Times New Roman" w:cs="Times New Roman"/>
          <w:sz w:val="24"/>
          <w:szCs w:val="24"/>
        </w:rPr>
        <w:t>resectable</w:t>
      </w:r>
      <w:proofErr w:type="spellEnd"/>
      <w:r w:rsidRPr="00E95765">
        <w:rPr>
          <w:rFonts w:ascii="Times New Roman" w:eastAsia="Times New Roman" w:hAnsi="Times New Roman" w:cs="Times New Roman"/>
          <w:sz w:val="24"/>
          <w:szCs w:val="24"/>
        </w:rPr>
        <w:t xml:space="preserve"> tumor results in more successful manufacturing.</w:t>
      </w:r>
    </w:p>
    <w:p w:rsidR="00D80BD4" w:rsidRPr="00E95765" w:rsidRDefault="00C40BF9">
      <w:pPr>
        <w:pStyle w:val="BL-LAST"/>
        <w:tabs>
          <w:tab w:val="left" w:pos="720"/>
        </w:tabs>
        <w:spacing w:before="100" w:beforeAutospacing="1" w:after="100" w:afterAutospacing="1" w:line="480" w:lineRule="auto"/>
        <w:ind w:left="720" w:hanging="360"/>
        <w:contextualSpacing/>
        <w:rPr>
          <w:rFonts w:ascii="Times New Roman" w:eastAsia="Times New Roman" w:hAnsi="Times New Roman" w:cs="Times New Roman"/>
          <w:sz w:val="24"/>
          <w:szCs w:val="24"/>
        </w:rPr>
      </w:pPr>
      <w:r w:rsidRPr="00E95765">
        <w:rPr>
          <w:rStyle w:val="BulletManualBodyList"/>
          <w:rFonts w:ascii="Symbol" w:eastAsia="Times New Roman" w:hAnsi="Symbol" w:cs="Times New Roman"/>
          <w:sz w:val="20"/>
          <w:szCs w:val="24"/>
        </w:rPr>
        <w:t></w:t>
      </w:r>
      <w:r w:rsidRPr="00E95765">
        <w:rPr>
          <w:rFonts w:ascii="Symbol" w:eastAsia="Times New Roman" w:hAnsi="Symbol" w:cs="Times New Roman"/>
          <w:sz w:val="20"/>
          <w:szCs w:val="24"/>
        </w:rPr>
        <w:tab/>
      </w:r>
      <w:r w:rsidRPr="00E95765">
        <w:rPr>
          <w:rFonts w:eastAsia="Times New Roman" w:cs="Times New Roman"/>
          <w:b/>
          <w:bCs/>
          <w:szCs w:val="24"/>
        </w:rPr>
        <w:t>Venous Access</w:t>
      </w:r>
      <w:r w:rsidRPr="00E95765">
        <w:rPr>
          <w:rFonts w:ascii="Times New Roman" w:eastAsia="Times New Roman" w:hAnsi="Times New Roman" w:cs="Times New Roman"/>
          <w:sz w:val="24"/>
          <w:szCs w:val="24"/>
        </w:rPr>
        <w:t>: Dual/triple-lumen catheter (e.g., PICC, CV</w:t>
      </w:r>
      <w:r w:rsidRPr="00E95765">
        <w:rPr>
          <w:rFonts w:ascii="Times New Roman" w:eastAsia="Times New Roman" w:hAnsi="Times New Roman" w:cs="Times New Roman"/>
          <w:sz w:val="24"/>
          <w:szCs w:val="24"/>
          <w:highlight w:val="green"/>
        </w:rPr>
        <w:t xml:space="preserve">C) </w:t>
      </w:r>
      <w:r w:rsidRPr="00E95765">
        <w:rPr>
          <w:rFonts w:ascii="Times New Roman" w:eastAsia="Times New Roman" w:hAnsi="Times New Roman" w:cs="Times New Roman"/>
          <w:sz w:val="24"/>
          <w:szCs w:val="24"/>
        </w:rPr>
        <w:t xml:space="preserve">for </w:t>
      </w:r>
      <w:proofErr w:type="spellStart"/>
      <w:r w:rsidRPr="00E95765">
        <w:rPr>
          <w:rFonts w:ascii="Times New Roman" w:eastAsia="Times New Roman" w:hAnsi="Times New Roman" w:cs="Times New Roman"/>
          <w:sz w:val="24"/>
          <w:szCs w:val="24"/>
        </w:rPr>
        <w:t>leukapheresis</w:t>
      </w:r>
      <w:proofErr w:type="spellEnd"/>
      <w:r w:rsidRPr="00E95765">
        <w:rPr>
          <w:rFonts w:ascii="Times New Roman" w:eastAsia="Times New Roman" w:hAnsi="Times New Roman" w:cs="Times New Roman"/>
          <w:sz w:val="24"/>
          <w:szCs w:val="24"/>
        </w:rPr>
        <w:t>/infusion.</w:t>
      </w:r>
    </w:p>
    <w:p w:rsidR="00D80BD4" w:rsidRPr="00E95765" w:rsidRDefault="00C40BF9" w:rsidP="00B86F94">
      <w:pPr>
        <w:pStyle w:val="TXT"/>
      </w:pPr>
      <w:r w:rsidRPr="00E95765">
        <w:rPr>
          <w:rFonts w:eastAsia="Times New Roman"/>
        </w:rPr>
        <w:t>Patient evaluation and selection for cellular immunotherapies demand a tailored approach, considering all therapy types and disease indications. Clinicians should leverage rea</w:t>
      </w:r>
      <w:r w:rsidRPr="00E95765">
        <w:rPr>
          <w:rFonts w:eastAsia="Times New Roman"/>
          <w:highlight w:val="green"/>
        </w:rPr>
        <w:t>l-</w:t>
      </w:r>
      <w:r w:rsidRPr="00E95765">
        <w:rPr>
          <w:rFonts w:eastAsia="Times New Roman"/>
        </w:rPr>
        <w:t>world evidence and multidisciplinary optimization to expand access, avoiding rigid exclusions based on frailty or comorbidities for regulatory approved products given established benefit in real world patients. Comprehensive screening, strategic therapy selection, and proactive risk management ensure safety and efficacy, with criteria that are evolving to reflect therapeutic advances in the fiel</w:t>
      </w:r>
      <w:r w:rsidRPr="00E95765">
        <w:rPr>
          <w:rFonts w:eastAsia="Times New Roman"/>
          <w:highlight w:val="green"/>
        </w:rPr>
        <w:t xml:space="preserve">d. </w:t>
      </w:r>
      <w:r w:rsidRPr="00E95765">
        <w:rPr>
          <w:rFonts w:eastAsia="Times New Roman"/>
        </w:rPr>
        <w:t>Regulatory guidance and trial specific protocols should always be followed for updated standards.</w:t>
      </w:r>
    </w:p>
    <w:p w:rsidR="00D80BD4" w:rsidRPr="00E95765" w:rsidRDefault="00C40BF9">
      <w:pPr>
        <w:rPr>
          <w:b/>
          <w:bCs/>
          <w:sz w:val="24"/>
          <w:szCs w:val="24"/>
        </w:rPr>
      </w:pPr>
      <w:r w:rsidRPr="00E95765">
        <w:rPr>
          <w:b/>
          <w:bCs/>
          <w:sz w:val="24"/>
          <w:szCs w:val="24"/>
        </w:rPr>
        <w:br w:type="page"/>
      </w:r>
    </w:p>
    <w:p w:rsidR="00D80BD4" w:rsidRPr="00E95765" w:rsidRDefault="00C40BF9" w:rsidP="00314605">
      <w:pPr>
        <w:pStyle w:val="SRH1"/>
      </w:pPr>
      <w:r w:rsidRPr="00E95765">
        <w:rPr>
          <w:rStyle w:val="Tag"/>
          <w:rFonts w:ascii="Times New Roman" w:eastAsia="Times New Roman" w:hAnsi="Times New Roman" w:cs="Times New Roman"/>
          <w:b/>
          <w:bCs/>
          <w:sz w:val="24"/>
          <w:szCs w:val="24"/>
        </w:rPr>
        <w:lastRenderedPageBreak/>
        <w:t>&lt;REF&gt;</w:t>
      </w:r>
      <w:r w:rsidRPr="00E95765">
        <w:rPr>
          <w:rFonts w:ascii="Times New Roman" w:eastAsia="Times New Roman" w:hAnsi="Times New Roman" w:cs="Times New Roman"/>
          <w:b/>
          <w:bCs/>
          <w:sz w:val="24"/>
          <w:szCs w:val="24"/>
        </w:rPr>
        <w:t>Suggested Readings</w:t>
      </w:r>
    </w:p>
    <w:p w:rsidR="00D80BD4" w:rsidRPr="008967C0" w:rsidRDefault="00C40BF9">
      <w:pPr>
        <w:pStyle w:val="SR"/>
        <w:tabs>
          <w:tab w:val="left" w:pos="720"/>
        </w:tabs>
        <w:spacing w:before="100" w:beforeAutospacing="1" w:after="100" w:afterAutospacing="1" w:line="480" w:lineRule="auto"/>
        <w:ind w:left="720" w:hanging="360"/>
      </w:pPr>
      <w:r w:rsidRPr="00E95765">
        <w:rPr>
          <w:rStyle w:val="bibnumber"/>
        </w:rPr>
        <w:t>1</w:t>
      </w:r>
      <w:r w:rsidRPr="00E95765">
        <w:t>.</w:t>
      </w:r>
      <w:r w:rsidRPr="00E95765">
        <w:rPr>
          <w:rFonts w:ascii="Times New Roman" w:eastAsia="Times New Roman" w:hAnsi="Times New Roman" w:cs="Times New Roman"/>
          <w:sz w:val="20"/>
          <w:szCs w:val="24"/>
        </w:rPr>
        <w:tab/>
      </w:r>
      <w:r w:rsidRPr="00E95765">
        <w:rPr>
          <w:rStyle w:val="bibsurname"/>
          <w:rFonts w:eastAsia="Times New Roman" w:cs="Times New Roman"/>
          <w:szCs w:val="24"/>
        </w:rPr>
        <w:t>Akkad</w:t>
      </w:r>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N</w:t>
      </w:r>
      <w:r w:rsidRPr="00E95765">
        <w:rPr>
          <w:rFonts w:ascii="Times New Roman" w:eastAsia="Times New Roman" w:hAnsi="Times New Roman" w:cs="Times New Roman"/>
          <w:sz w:val="24"/>
          <w:szCs w:val="24"/>
        </w:rPr>
        <w:t xml:space="preserve">, </w:t>
      </w:r>
      <w:proofErr w:type="spellStart"/>
      <w:r w:rsidRPr="00E95765">
        <w:rPr>
          <w:rStyle w:val="bibsurname"/>
          <w:rFonts w:eastAsia="Times New Roman" w:cs="Times New Roman"/>
          <w:szCs w:val="24"/>
        </w:rPr>
        <w:t>Chihara</w:t>
      </w:r>
      <w:proofErr w:type="spellEnd"/>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D.</w:t>
      </w:r>
      <w:r w:rsidRPr="00E95765">
        <w:rPr>
          <w:rFonts w:ascii="Times New Roman" w:eastAsia="Times New Roman" w:hAnsi="Times New Roman" w:cs="Times New Roman"/>
          <w:sz w:val="24"/>
          <w:szCs w:val="24"/>
        </w:rPr>
        <w:t xml:space="preserve"> </w:t>
      </w:r>
      <w:r w:rsidRPr="00E95765">
        <w:rPr>
          <w:rStyle w:val="bibarticle"/>
        </w:rPr>
        <w:t>License for a CAR T: Examining patient eligibility</w:t>
      </w:r>
      <w:r w:rsidRPr="00E95765">
        <w:t>. </w:t>
      </w:r>
      <w:proofErr w:type="spellStart"/>
      <w:r w:rsidRPr="00E95765">
        <w:rPr>
          <w:rStyle w:val="bibjournal"/>
        </w:rPr>
        <w:t>Semin</w:t>
      </w:r>
      <w:proofErr w:type="spellEnd"/>
      <w:r w:rsidRPr="00E95765">
        <w:rPr>
          <w:rStyle w:val="bibjournal"/>
        </w:rPr>
        <w:t xml:space="preserve"> </w:t>
      </w:r>
      <w:proofErr w:type="spellStart"/>
      <w:r w:rsidRPr="00E95765">
        <w:rPr>
          <w:rStyle w:val="bibjournal"/>
        </w:rPr>
        <w:t>Hematol</w:t>
      </w:r>
      <w:proofErr w:type="spellEnd"/>
      <w:r w:rsidRPr="00E95765">
        <w:rPr>
          <w:rFonts w:ascii="Times New Roman" w:eastAsia="Times New Roman" w:hAnsi="Times New Roman" w:cs="Times New Roman"/>
          <w:sz w:val="24"/>
          <w:szCs w:val="24"/>
        </w:rPr>
        <w:t xml:space="preserve">. </w:t>
      </w:r>
      <w:r w:rsidRPr="00E95765">
        <w:rPr>
          <w:rStyle w:val="bibyear"/>
          <w:rFonts w:eastAsia="Times New Roman" w:cs="Times New Roman"/>
          <w:szCs w:val="24"/>
        </w:rPr>
        <w:t>2024</w:t>
      </w:r>
      <w:r w:rsidRPr="00E95765">
        <w:rPr>
          <w:rFonts w:ascii="Times New Roman" w:eastAsia="Times New Roman" w:hAnsi="Times New Roman" w:cs="Times New Roman"/>
          <w:sz w:val="24"/>
          <w:szCs w:val="24"/>
        </w:rPr>
        <w:t>.</w:t>
      </w:r>
    </w:p>
    <w:p w:rsidR="00D80BD4" w:rsidRPr="00E95765" w:rsidRDefault="00C40BF9">
      <w:pPr>
        <w:pStyle w:val="SR"/>
        <w:tabs>
          <w:tab w:val="left" w:pos="720"/>
        </w:tabs>
        <w:spacing w:before="100" w:beforeAutospacing="1" w:after="100" w:afterAutospacing="1" w:line="480" w:lineRule="auto"/>
        <w:ind w:left="720" w:hanging="360"/>
        <w:rPr>
          <w:rFonts w:ascii="Times New Roman" w:eastAsia="Times New Roman" w:hAnsi="Times New Roman" w:cs="Times New Roman"/>
          <w:sz w:val="24"/>
          <w:szCs w:val="24"/>
        </w:rPr>
      </w:pPr>
      <w:r w:rsidRPr="00E95765">
        <w:rPr>
          <w:rStyle w:val="bibnumber"/>
        </w:rPr>
        <w:t>2</w:t>
      </w:r>
      <w:r w:rsidRPr="00E95765">
        <w:t>.</w:t>
      </w:r>
      <w:r w:rsidRPr="00E95765">
        <w:rPr>
          <w:rFonts w:ascii="Times New Roman" w:eastAsia="Times New Roman" w:hAnsi="Times New Roman" w:cs="Times New Roman"/>
          <w:sz w:val="20"/>
          <w:szCs w:val="24"/>
        </w:rPr>
        <w:tab/>
      </w:r>
      <w:proofErr w:type="spellStart"/>
      <w:r w:rsidRPr="00E95765">
        <w:rPr>
          <w:rStyle w:val="bibsurname"/>
          <w:rFonts w:eastAsia="Times New Roman" w:cs="Times New Roman"/>
          <w:szCs w:val="24"/>
        </w:rPr>
        <w:t>D’Angelo</w:t>
      </w:r>
      <w:proofErr w:type="spellEnd"/>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SP</w:t>
      </w:r>
      <w:r w:rsidRPr="00E95765">
        <w:rPr>
          <w:rFonts w:ascii="Times New Roman" w:eastAsia="Times New Roman" w:hAnsi="Times New Roman" w:cs="Times New Roman"/>
          <w:sz w:val="24"/>
          <w:szCs w:val="24"/>
        </w:rPr>
        <w:t xml:space="preserve">, </w:t>
      </w:r>
      <w:r w:rsidRPr="00E95765">
        <w:rPr>
          <w:rStyle w:val="bibetal"/>
          <w:rFonts w:eastAsia="Times New Roman" w:cs="Times New Roman"/>
          <w:szCs w:val="24"/>
        </w:rPr>
        <w:t>et al</w:t>
      </w:r>
      <w:r w:rsidRPr="00E95765">
        <w:rPr>
          <w:rFonts w:ascii="Times New Roman" w:eastAsia="Times New Roman" w:hAnsi="Times New Roman" w:cs="Times New Roman"/>
          <w:sz w:val="24"/>
          <w:szCs w:val="24"/>
        </w:rPr>
        <w:t xml:space="preserve">. </w:t>
      </w:r>
      <w:r w:rsidRPr="00E95765">
        <w:rPr>
          <w:rStyle w:val="bibarticle"/>
        </w:rPr>
        <w:t>Antitumor activity with prolonged persistence of NY</w:t>
      </w:r>
      <w:r w:rsidRPr="00E95765">
        <w:rPr>
          <w:rStyle w:val="bibarticle"/>
        </w:rPr>
        <w:noBreakHyphen/>
        <w:t>ESO</w:t>
      </w:r>
      <w:r w:rsidRPr="00E95765">
        <w:rPr>
          <w:rStyle w:val="bibarticle"/>
        </w:rPr>
        <w:noBreakHyphen/>
        <w:t>1c259T cells in synovial sarcoma</w:t>
      </w:r>
      <w:r w:rsidRPr="00E95765">
        <w:rPr>
          <w:rFonts w:ascii="Times New Roman" w:eastAsia="Times New Roman" w:hAnsi="Times New Roman" w:cs="Times New Roman"/>
          <w:sz w:val="24"/>
          <w:szCs w:val="24"/>
        </w:rPr>
        <w:t>. </w:t>
      </w:r>
      <w:r w:rsidRPr="00E95765">
        <w:rPr>
          <w:rStyle w:val="bibjournal"/>
          <w:rFonts w:eastAsia="Times New Roman" w:cs="Times New Roman"/>
          <w:szCs w:val="24"/>
        </w:rPr>
        <w:t>Nat Med</w:t>
      </w:r>
      <w:r w:rsidRPr="00E95765">
        <w:rPr>
          <w:rFonts w:ascii="Times New Roman" w:eastAsia="Times New Roman" w:hAnsi="Times New Roman" w:cs="Times New Roman"/>
          <w:sz w:val="24"/>
          <w:szCs w:val="24"/>
        </w:rPr>
        <w:t xml:space="preserve">. </w:t>
      </w:r>
      <w:r w:rsidRPr="00E95765">
        <w:rPr>
          <w:rStyle w:val="bibyear"/>
          <w:rFonts w:eastAsia="Times New Roman" w:cs="Times New Roman"/>
          <w:szCs w:val="24"/>
        </w:rPr>
        <w:t>2022</w:t>
      </w:r>
      <w:proofErr w:type="gramStart"/>
      <w:r w:rsidRPr="00E95765">
        <w:rPr>
          <w:rFonts w:ascii="Times New Roman" w:eastAsia="Times New Roman" w:hAnsi="Times New Roman" w:cs="Times New Roman"/>
          <w:sz w:val="24"/>
          <w:szCs w:val="24"/>
        </w:rPr>
        <w:t>;</w:t>
      </w:r>
      <w:r w:rsidRPr="00E95765">
        <w:rPr>
          <w:rStyle w:val="bibvolume"/>
          <w:rFonts w:eastAsia="Times New Roman" w:cs="Times New Roman"/>
          <w:szCs w:val="24"/>
        </w:rPr>
        <w:t>28</w:t>
      </w:r>
      <w:r w:rsidRPr="00E95765">
        <w:rPr>
          <w:rFonts w:ascii="Times New Roman" w:eastAsia="Times New Roman" w:hAnsi="Times New Roman" w:cs="Times New Roman"/>
          <w:sz w:val="24"/>
          <w:szCs w:val="24"/>
        </w:rPr>
        <w:t>:</w:t>
      </w:r>
      <w:r w:rsidRPr="00E95765">
        <w:rPr>
          <w:rStyle w:val="bibfpage"/>
          <w:rFonts w:eastAsia="Times New Roman" w:cs="Times New Roman"/>
          <w:szCs w:val="24"/>
        </w:rPr>
        <w:t>83</w:t>
      </w:r>
      <w:proofErr w:type="gramEnd"/>
      <w:r w:rsidRPr="00E95765">
        <w:rPr>
          <w:rFonts w:ascii="Times New Roman" w:eastAsia="Times New Roman" w:hAnsi="Times New Roman" w:cs="Times New Roman"/>
          <w:sz w:val="24"/>
          <w:szCs w:val="24"/>
        </w:rPr>
        <w:noBreakHyphen/>
      </w:r>
      <w:r w:rsidRPr="00E95765">
        <w:rPr>
          <w:rStyle w:val="bibfpage"/>
          <w:rFonts w:eastAsia="Times New Roman" w:cs="Times New Roman"/>
          <w:szCs w:val="24"/>
        </w:rPr>
        <w:t>91</w:t>
      </w:r>
      <w:r w:rsidRPr="00E95765">
        <w:rPr>
          <w:rFonts w:ascii="Times New Roman" w:eastAsia="Times New Roman" w:hAnsi="Times New Roman" w:cs="Times New Roman"/>
          <w:sz w:val="24"/>
          <w:szCs w:val="24"/>
        </w:rPr>
        <w:t>.</w:t>
      </w:r>
    </w:p>
    <w:p w:rsidR="00D80BD4" w:rsidRPr="00E95765" w:rsidRDefault="00C40BF9">
      <w:pPr>
        <w:pStyle w:val="SR"/>
        <w:tabs>
          <w:tab w:val="left" w:pos="720"/>
        </w:tabs>
        <w:spacing w:before="100" w:beforeAutospacing="1" w:after="100" w:afterAutospacing="1" w:line="480" w:lineRule="auto"/>
        <w:ind w:left="720" w:hanging="360"/>
        <w:rPr>
          <w:rFonts w:ascii="Times New Roman" w:eastAsia="Times New Roman" w:hAnsi="Times New Roman" w:cs="Times New Roman"/>
          <w:sz w:val="24"/>
          <w:szCs w:val="24"/>
        </w:rPr>
      </w:pPr>
      <w:r w:rsidRPr="00E95765">
        <w:rPr>
          <w:rStyle w:val="bibnumber"/>
        </w:rPr>
        <w:t>3</w:t>
      </w:r>
      <w:r w:rsidRPr="00E95765">
        <w:t>.</w:t>
      </w:r>
      <w:r w:rsidRPr="00E95765">
        <w:rPr>
          <w:rFonts w:ascii="Times New Roman" w:eastAsia="Times New Roman" w:hAnsi="Times New Roman" w:cs="Times New Roman"/>
          <w:sz w:val="20"/>
          <w:szCs w:val="24"/>
        </w:rPr>
        <w:tab/>
      </w:r>
      <w:proofErr w:type="spellStart"/>
      <w:r w:rsidRPr="00E95765">
        <w:rPr>
          <w:rStyle w:val="bibsurname"/>
          <w:rFonts w:eastAsia="Times New Roman" w:cs="Times New Roman"/>
          <w:szCs w:val="24"/>
        </w:rPr>
        <w:t>Hiwarkar</w:t>
      </w:r>
      <w:proofErr w:type="spellEnd"/>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P</w:t>
      </w:r>
      <w:r w:rsidRPr="00E95765">
        <w:rPr>
          <w:rFonts w:ascii="Times New Roman" w:eastAsia="Times New Roman" w:hAnsi="Times New Roman" w:cs="Times New Roman"/>
          <w:sz w:val="24"/>
          <w:szCs w:val="24"/>
        </w:rPr>
        <w:t xml:space="preserve">, </w:t>
      </w:r>
      <w:r w:rsidRPr="00E95765">
        <w:rPr>
          <w:rStyle w:val="bibetal"/>
          <w:rFonts w:eastAsia="Times New Roman" w:cs="Times New Roman"/>
          <w:szCs w:val="24"/>
        </w:rPr>
        <w:t>et al</w:t>
      </w:r>
      <w:r w:rsidRPr="00E95765">
        <w:rPr>
          <w:rFonts w:ascii="Times New Roman" w:eastAsia="Times New Roman" w:hAnsi="Times New Roman" w:cs="Times New Roman"/>
          <w:sz w:val="24"/>
          <w:szCs w:val="24"/>
        </w:rPr>
        <w:t xml:space="preserve">. </w:t>
      </w:r>
      <w:r w:rsidRPr="00E95765">
        <w:rPr>
          <w:rStyle w:val="bibarticle"/>
        </w:rPr>
        <w:t>Impact of viral reactivations after allogeneic SCT in children in the era of pre</w:t>
      </w:r>
      <w:r w:rsidRPr="00E95765">
        <w:rPr>
          <w:rStyle w:val="bibarticle"/>
        </w:rPr>
        <w:noBreakHyphen/>
        <w:t>emptive antivirals</w:t>
      </w:r>
      <w:r w:rsidRPr="00E95765">
        <w:rPr>
          <w:rFonts w:ascii="Times New Roman" w:eastAsia="Times New Roman" w:hAnsi="Times New Roman" w:cs="Times New Roman"/>
          <w:sz w:val="24"/>
          <w:szCs w:val="24"/>
        </w:rPr>
        <w:t>. </w:t>
      </w:r>
      <w:proofErr w:type="gramStart"/>
      <w:r w:rsidRPr="00E95765">
        <w:rPr>
          <w:rStyle w:val="bibjournal"/>
          <w:rFonts w:eastAsia="Times New Roman" w:cs="Times New Roman"/>
          <w:szCs w:val="24"/>
        </w:rPr>
        <w:t>Blood</w:t>
      </w:r>
      <w:r w:rsidRPr="00E95765">
        <w:rPr>
          <w:rFonts w:ascii="Times New Roman" w:eastAsia="Times New Roman" w:hAnsi="Times New Roman" w:cs="Times New Roman"/>
          <w:sz w:val="24"/>
          <w:szCs w:val="24"/>
        </w:rPr>
        <w:t>.</w:t>
      </w:r>
      <w:proofErr w:type="gramEnd"/>
      <w:r w:rsidRPr="00E95765">
        <w:rPr>
          <w:rFonts w:ascii="Times New Roman" w:eastAsia="Times New Roman" w:hAnsi="Times New Roman" w:cs="Times New Roman"/>
          <w:sz w:val="24"/>
          <w:szCs w:val="24"/>
        </w:rPr>
        <w:t xml:space="preserve"> </w:t>
      </w:r>
      <w:r w:rsidRPr="00E95765">
        <w:rPr>
          <w:rStyle w:val="bibyear"/>
        </w:rPr>
        <w:t>2015</w:t>
      </w:r>
      <w:proofErr w:type="gramStart"/>
      <w:r w:rsidRPr="00E95765">
        <w:rPr>
          <w:rFonts w:ascii="Times New Roman" w:eastAsia="Times New Roman" w:hAnsi="Times New Roman" w:cs="Times New Roman"/>
          <w:sz w:val="24"/>
          <w:szCs w:val="24"/>
        </w:rPr>
        <w:t>;</w:t>
      </w:r>
      <w:r w:rsidRPr="00E95765">
        <w:rPr>
          <w:rStyle w:val="bibvolume"/>
          <w:rFonts w:eastAsia="Times New Roman" w:cs="Times New Roman"/>
          <w:szCs w:val="24"/>
        </w:rPr>
        <w:t>126</w:t>
      </w:r>
      <w:r w:rsidRPr="00E95765">
        <w:rPr>
          <w:rFonts w:ascii="Times New Roman" w:eastAsia="Times New Roman" w:hAnsi="Times New Roman" w:cs="Times New Roman"/>
          <w:sz w:val="24"/>
          <w:szCs w:val="24"/>
        </w:rPr>
        <w:t>:</w:t>
      </w:r>
      <w:r w:rsidRPr="00E95765">
        <w:rPr>
          <w:rStyle w:val="bibfpage"/>
        </w:rPr>
        <w:t>2067</w:t>
      </w:r>
      <w:proofErr w:type="gramEnd"/>
      <w:r w:rsidRPr="00E95765">
        <w:rPr>
          <w:rFonts w:ascii="Times New Roman" w:eastAsia="Times New Roman" w:hAnsi="Times New Roman" w:cs="Times New Roman"/>
          <w:sz w:val="24"/>
          <w:szCs w:val="24"/>
        </w:rPr>
        <w:t>.</w:t>
      </w:r>
    </w:p>
    <w:p w:rsidR="00D80BD4" w:rsidRPr="00E95765" w:rsidRDefault="00C40BF9">
      <w:pPr>
        <w:pStyle w:val="SR"/>
        <w:tabs>
          <w:tab w:val="left" w:pos="720"/>
        </w:tabs>
        <w:spacing w:before="100" w:beforeAutospacing="1" w:after="100" w:afterAutospacing="1" w:line="480" w:lineRule="auto"/>
        <w:ind w:left="720" w:hanging="360"/>
        <w:rPr>
          <w:rFonts w:ascii="Times New Roman" w:eastAsia="Times New Roman" w:hAnsi="Times New Roman" w:cs="Times New Roman"/>
          <w:sz w:val="24"/>
          <w:szCs w:val="24"/>
        </w:rPr>
      </w:pPr>
      <w:r w:rsidRPr="00E95765">
        <w:rPr>
          <w:rStyle w:val="bibnumber"/>
        </w:rPr>
        <w:t>4</w:t>
      </w:r>
      <w:r w:rsidRPr="00E95765">
        <w:t>.</w:t>
      </w:r>
      <w:r w:rsidRPr="00E95765">
        <w:rPr>
          <w:rFonts w:ascii="Times New Roman" w:eastAsia="Times New Roman" w:hAnsi="Times New Roman" w:cs="Times New Roman"/>
          <w:sz w:val="20"/>
          <w:szCs w:val="24"/>
        </w:rPr>
        <w:tab/>
      </w:r>
      <w:r w:rsidRPr="00E95765">
        <w:rPr>
          <w:rStyle w:val="bibsurname"/>
          <w:rFonts w:eastAsia="Times New Roman" w:cs="Times New Roman"/>
          <w:szCs w:val="24"/>
        </w:rPr>
        <w:t>Jacobson</w:t>
      </w:r>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CA</w:t>
      </w:r>
      <w:r w:rsidRPr="00E95765">
        <w:rPr>
          <w:rFonts w:ascii="Times New Roman" w:eastAsia="Times New Roman" w:hAnsi="Times New Roman" w:cs="Times New Roman"/>
          <w:sz w:val="24"/>
          <w:szCs w:val="24"/>
        </w:rPr>
        <w:t xml:space="preserve">, </w:t>
      </w:r>
      <w:r w:rsidRPr="00E95765">
        <w:rPr>
          <w:rStyle w:val="bibetal"/>
          <w:rFonts w:eastAsia="Times New Roman" w:cs="Times New Roman"/>
          <w:szCs w:val="24"/>
        </w:rPr>
        <w:t>et al</w:t>
      </w:r>
      <w:r w:rsidRPr="00E95765">
        <w:rPr>
          <w:rFonts w:ascii="Times New Roman" w:eastAsia="Times New Roman" w:hAnsi="Times New Roman" w:cs="Times New Roman"/>
          <w:sz w:val="24"/>
          <w:szCs w:val="24"/>
        </w:rPr>
        <w:t xml:space="preserve">. </w:t>
      </w:r>
      <w:r w:rsidRPr="00E95765">
        <w:rPr>
          <w:rStyle w:val="bibarticle"/>
        </w:rPr>
        <w:t>Real</w:t>
      </w:r>
      <w:r w:rsidRPr="00E95765">
        <w:rPr>
          <w:rStyle w:val="bibarticle"/>
        </w:rPr>
        <w:noBreakHyphen/>
        <w:t xml:space="preserve">world outcomes with </w:t>
      </w:r>
      <w:proofErr w:type="spellStart"/>
      <w:r w:rsidRPr="00E95765">
        <w:rPr>
          <w:rStyle w:val="bibarticle"/>
        </w:rPr>
        <w:t>axicabtagene</w:t>
      </w:r>
      <w:proofErr w:type="spellEnd"/>
      <w:r w:rsidRPr="00E95765">
        <w:rPr>
          <w:rStyle w:val="bibarticle"/>
        </w:rPr>
        <w:t xml:space="preserve"> </w:t>
      </w:r>
      <w:proofErr w:type="spellStart"/>
      <w:r w:rsidRPr="00E95765">
        <w:rPr>
          <w:rStyle w:val="bibarticle"/>
        </w:rPr>
        <w:t>ciloleucel</w:t>
      </w:r>
      <w:proofErr w:type="spellEnd"/>
      <w:r w:rsidRPr="00E95765">
        <w:rPr>
          <w:rStyle w:val="bibarticle"/>
        </w:rPr>
        <w:t xml:space="preserve"> in r/r large B</w:t>
      </w:r>
      <w:r w:rsidRPr="00E95765">
        <w:rPr>
          <w:rStyle w:val="bibarticle"/>
        </w:rPr>
        <w:noBreakHyphen/>
        <w:t>cell lymphoma: A multicenter study</w:t>
      </w:r>
      <w:r w:rsidRPr="00E95765">
        <w:rPr>
          <w:rFonts w:ascii="Times New Roman" w:eastAsia="Times New Roman" w:hAnsi="Times New Roman" w:cs="Times New Roman"/>
          <w:sz w:val="24"/>
          <w:szCs w:val="24"/>
        </w:rPr>
        <w:t>. </w:t>
      </w:r>
      <w:proofErr w:type="gramStart"/>
      <w:r w:rsidRPr="00E95765">
        <w:rPr>
          <w:rStyle w:val="bibjournal"/>
          <w:rFonts w:eastAsia="Times New Roman" w:cs="Times New Roman"/>
          <w:szCs w:val="24"/>
        </w:rPr>
        <w:t xml:space="preserve">J Clin </w:t>
      </w:r>
      <w:proofErr w:type="spellStart"/>
      <w:r w:rsidRPr="00E95765">
        <w:rPr>
          <w:rStyle w:val="bibjournal"/>
          <w:rFonts w:eastAsia="Times New Roman" w:cs="Times New Roman"/>
          <w:szCs w:val="24"/>
        </w:rPr>
        <w:t>Oncol</w:t>
      </w:r>
      <w:proofErr w:type="spellEnd"/>
      <w:r w:rsidRPr="00E95765">
        <w:rPr>
          <w:rFonts w:ascii="Times New Roman" w:eastAsia="Times New Roman" w:hAnsi="Times New Roman" w:cs="Times New Roman"/>
          <w:sz w:val="24"/>
          <w:szCs w:val="24"/>
        </w:rPr>
        <w:t>.</w:t>
      </w:r>
      <w:proofErr w:type="gramEnd"/>
      <w:r w:rsidRPr="00E95765">
        <w:rPr>
          <w:rFonts w:ascii="Times New Roman" w:eastAsia="Times New Roman" w:hAnsi="Times New Roman" w:cs="Times New Roman"/>
          <w:sz w:val="24"/>
          <w:szCs w:val="24"/>
        </w:rPr>
        <w:t xml:space="preserve"> </w:t>
      </w:r>
      <w:r w:rsidRPr="00E95765">
        <w:rPr>
          <w:rStyle w:val="bibyear"/>
          <w:rFonts w:eastAsia="Times New Roman" w:cs="Times New Roman"/>
          <w:szCs w:val="24"/>
        </w:rPr>
        <w:t>2021</w:t>
      </w:r>
      <w:proofErr w:type="gramStart"/>
      <w:r w:rsidRPr="00E95765">
        <w:rPr>
          <w:rFonts w:ascii="Times New Roman" w:eastAsia="Times New Roman" w:hAnsi="Times New Roman" w:cs="Times New Roman"/>
          <w:sz w:val="24"/>
          <w:szCs w:val="24"/>
        </w:rPr>
        <w:t>;</w:t>
      </w:r>
      <w:r w:rsidRPr="00E95765">
        <w:rPr>
          <w:rStyle w:val="bibvolume"/>
          <w:rFonts w:eastAsia="Times New Roman" w:cs="Times New Roman"/>
          <w:szCs w:val="24"/>
        </w:rPr>
        <w:t>39</w:t>
      </w:r>
      <w:proofErr w:type="gramEnd"/>
      <w:r w:rsidRPr="00E95765">
        <w:rPr>
          <w:rStyle w:val="bibissue"/>
          <w:rFonts w:eastAsia="Times New Roman" w:cs="Times New Roman"/>
          <w:szCs w:val="24"/>
        </w:rPr>
        <w:t xml:space="preserve">(15 </w:t>
      </w:r>
      <w:proofErr w:type="spellStart"/>
      <w:r w:rsidRPr="00E95765">
        <w:rPr>
          <w:rStyle w:val="bibissue"/>
          <w:rFonts w:eastAsia="Times New Roman" w:cs="Times New Roman"/>
          <w:szCs w:val="24"/>
        </w:rPr>
        <w:t>Suppl</w:t>
      </w:r>
      <w:proofErr w:type="spellEnd"/>
      <w:r w:rsidRPr="00E95765">
        <w:rPr>
          <w:rFonts w:ascii="Times New Roman" w:eastAsia="Times New Roman" w:hAnsi="Times New Roman" w:cs="Times New Roman"/>
          <w:sz w:val="24"/>
          <w:szCs w:val="24"/>
        </w:rPr>
        <w:t>):</w:t>
      </w:r>
      <w:r w:rsidRPr="00E95765">
        <w:rPr>
          <w:rStyle w:val="bibfpage"/>
          <w:rFonts w:eastAsia="Times New Roman" w:cs="Times New Roman"/>
          <w:szCs w:val="24"/>
        </w:rPr>
        <w:t>7503</w:t>
      </w:r>
      <w:r w:rsidRPr="00E95765">
        <w:rPr>
          <w:rFonts w:ascii="Times New Roman" w:eastAsia="Times New Roman" w:hAnsi="Times New Roman" w:cs="Times New Roman"/>
          <w:sz w:val="24"/>
          <w:szCs w:val="24"/>
        </w:rPr>
        <w:t>.</w:t>
      </w:r>
    </w:p>
    <w:p w:rsidR="00D80BD4" w:rsidRPr="00E95765" w:rsidRDefault="00C40BF9">
      <w:pPr>
        <w:pStyle w:val="SR"/>
        <w:tabs>
          <w:tab w:val="left" w:pos="720"/>
        </w:tabs>
        <w:spacing w:before="100" w:beforeAutospacing="1" w:after="100" w:afterAutospacing="1" w:line="480" w:lineRule="auto"/>
        <w:ind w:left="720" w:hanging="360"/>
        <w:rPr>
          <w:rFonts w:ascii="Times New Roman" w:eastAsia="Times New Roman" w:hAnsi="Times New Roman" w:cs="Times New Roman"/>
          <w:sz w:val="24"/>
          <w:szCs w:val="24"/>
        </w:rPr>
      </w:pPr>
      <w:r w:rsidRPr="00E95765">
        <w:rPr>
          <w:rStyle w:val="bibnumber"/>
        </w:rPr>
        <w:t>5</w:t>
      </w:r>
      <w:r w:rsidRPr="00E95765">
        <w:t>.</w:t>
      </w:r>
      <w:r w:rsidRPr="00E95765">
        <w:rPr>
          <w:rFonts w:ascii="Times New Roman" w:eastAsia="Times New Roman" w:hAnsi="Times New Roman" w:cs="Times New Roman"/>
          <w:sz w:val="20"/>
          <w:szCs w:val="24"/>
        </w:rPr>
        <w:tab/>
      </w:r>
      <w:r w:rsidRPr="00E95765">
        <w:rPr>
          <w:rStyle w:val="bibsurname"/>
          <w:rFonts w:eastAsia="Times New Roman" w:cs="Times New Roman"/>
          <w:szCs w:val="24"/>
        </w:rPr>
        <w:t>Maude</w:t>
      </w:r>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SL</w:t>
      </w:r>
      <w:r w:rsidRPr="00E95765">
        <w:rPr>
          <w:rFonts w:ascii="Times New Roman" w:eastAsia="Times New Roman" w:hAnsi="Times New Roman" w:cs="Times New Roman"/>
          <w:sz w:val="24"/>
          <w:szCs w:val="24"/>
        </w:rPr>
        <w:t xml:space="preserve">, </w:t>
      </w:r>
      <w:r w:rsidRPr="00E95765">
        <w:rPr>
          <w:rStyle w:val="bibetal"/>
          <w:rFonts w:eastAsia="Times New Roman" w:cs="Times New Roman"/>
          <w:szCs w:val="24"/>
        </w:rPr>
        <w:t>et al</w:t>
      </w:r>
      <w:r w:rsidRPr="00E95765">
        <w:rPr>
          <w:rFonts w:ascii="Times New Roman" w:eastAsia="Times New Roman" w:hAnsi="Times New Roman" w:cs="Times New Roman"/>
          <w:sz w:val="24"/>
          <w:szCs w:val="24"/>
        </w:rPr>
        <w:t xml:space="preserve">. </w:t>
      </w:r>
      <w:proofErr w:type="spellStart"/>
      <w:r w:rsidRPr="00E95765">
        <w:rPr>
          <w:rStyle w:val="bibarticle"/>
        </w:rPr>
        <w:t>Tisagenlecleucel</w:t>
      </w:r>
      <w:proofErr w:type="spellEnd"/>
      <w:r w:rsidRPr="00E95765">
        <w:rPr>
          <w:rStyle w:val="bibarticle"/>
        </w:rPr>
        <w:t xml:space="preserve"> in children and young adults with B</w:t>
      </w:r>
      <w:r w:rsidRPr="00E95765">
        <w:rPr>
          <w:rStyle w:val="bibarticle"/>
        </w:rPr>
        <w:noBreakHyphen/>
        <w:t>ALL</w:t>
      </w:r>
      <w:r w:rsidRPr="00E95765">
        <w:rPr>
          <w:rFonts w:ascii="Times New Roman" w:eastAsia="Times New Roman" w:hAnsi="Times New Roman" w:cs="Times New Roman"/>
          <w:sz w:val="24"/>
          <w:szCs w:val="24"/>
        </w:rPr>
        <w:t>. </w:t>
      </w:r>
      <w:r w:rsidRPr="00E95765">
        <w:rPr>
          <w:rStyle w:val="bibjournal"/>
          <w:rFonts w:eastAsia="Times New Roman" w:cs="Times New Roman"/>
          <w:szCs w:val="24"/>
        </w:rPr>
        <w:t>N Engl J Med</w:t>
      </w:r>
      <w:r w:rsidRPr="00E95765">
        <w:rPr>
          <w:rFonts w:ascii="Times New Roman" w:eastAsia="Times New Roman" w:hAnsi="Times New Roman" w:cs="Times New Roman"/>
          <w:sz w:val="24"/>
          <w:szCs w:val="24"/>
        </w:rPr>
        <w:t xml:space="preserve">. </w:t>
      </w:r>
      <w:r w:rsidRPr="00E95765">
        <w:rPr>
          <w:rStyle w:val="bibyear"/>
          <w:rFonts w:eastAsia="Times New Roman" w:cs="Times New Roman"/>
          <w:szCs w:val="24"/>
        </w:rPr>
        <w:t>2018</w:t>
      </w:r>
      <w:proofErr w:type="gramStart"/>
      <w:r w:rsidRPr="00E95765">
        <w:rPr>
          <w:rFonts w:ascii="Times New Roman" w:eastAsia="Times New Roman" w:hAnsi="Times New Roman" w:cs="Times New Roman"/>
          <w:sz w:val="24"/>
          <w:szCs w:val="24"/>
        </w:rPr>
        <w:t>;</w:t>
      </w:r>
      <w:r w:rsidRPr="00E95765">
        <w:rPr>
          <w:rStyle w:val="bibvolume"/>
          <w:rFonts w:eastAsia="Times New Roman" w:cs="Times New Roman"/>
          <w:szCs w:val="24"/>
        </w:rPr>
        <w:t>378</w:t>
      </w:r>
      <w:r w:rsidRPr="00E95765">
        <w:rPr>
          <w:rFonts w:ascii="Times New Roman" w:eastAsia="Times New Roman" w:hAnsi="Times New Roman" w:cs="Times New Roman"/>
          <w:sz w:val="24"/>
          <w:szCs w:val="24"/>
        </w:rPr>
        <w:t>:</w:t>
      </w:r>
      <w:r w:rsidRPr="00E95765">
        <w:rPr>
          <w:rStyle w:val="bibfpage"/>
          <w:rFonts w:eastAsia="Times New Roman" w:cs="Times New Roman"/>
          <w:szCs w:val="24"/>
        </w:rPr>
        <w:t>439</w:t>
      </w:r>
      <w:proofErr w:type="gramEnd"/>
      <w:r w:rsidRPr="00E95765">
        <w:rPr>
          <w:rFonts w:ascii="Times New Roman" w:eastAsia="Times New Roman" w:hAnsi="Times New Roman" w:cs="Times New Roman"/>
          <w:sz w:val="24"/>
          <w:szCs w:val="24"/>
        </w:rPr>
        <w:noBreakHyphen/>
      </w:r>
      <w:r w:rsidRPr="00E95765">
        <w:rPr>
          <w:rStyle w:val="bibfpage"/>
          <w:rFonts w:eastAsia="Times New Roman" w:cs="Times New Roman"/>
          <w:szCs w:val="24"/>
        </w:rPr>
        <w:t>448</w:t>
      </w:r>
      <w:r w:rsidRPr="00E95765">
        <w:rPr>
          <w:rFonts w:ascii="Times New Roman" w:eastAsia="Times New Roman" w:hAnsi="Times New Roman" w:cs="Times New Roman"/>
          <w:sz w:val="24"/>
          <w:szCs w:val="24"/>
        </w:rPr>
        <w:t>.</w:t>
      </w:r>
    </w:p>
    <w:p w:rsidR="00D80BD4" w:rsidRPr="00E95765" w:rsidRDefault="00C40BF9">
      <w:pPr>
        <w:pStyle w:val="SR"/>
        <w:tabs>
          <w:tab w:val="left" w:pos="720"/>
        </w:tabs>
        <w:spacing w:before="100" w:beforeAutospacing="1" w:after="100" w:afterAutospacing="1" w:line="480" w:lineRule="auto"/>
        <w:ind w:left="720" w:hanging="360"/>
        <w:rPr>
          <w:rFonts w:ascii="Times New Roman" w:eastAsia="Times New Roman" w:hAnsi="Times New Roman" w:cs="Times New Roman"/>
          <w:sz w:val="24"/>
          <w:szCs w:val="24"/>
        </w:rPr>
      </w:pPr>
      <w:r w:rsidRPr="00E95765">
        <w:rPr>
          <w:rStyle w:val="bibnumber"/>
        </w:rPr>
        <w:t>6</w:t>
      </w:r>
      <w:r w:rsidRPr="00E95765">
        <w:t>.</w:t>
      </w:r>
      <w:r w:rsidRPr="00E95765">
        <w:rPr>
          <w:rFonts w:ascii="Times New Roman" w:eastAsia="Times New Roman" w:hAnsi="Times New Roman" w:cs="Times New Roman"/>
          <w:sz w:val="20"/>
          <w:szCs w:val="24"/>
        </w:rPr>
        <w:tab/>
      </w:r>
      <w:proofErr w:type="spellStart"/>
      <w:r w:rsidRPr="00E95765">
        <w:rPr>
          <w:rStyle w:val="bibsurname"/>
          <w:rFonts w:eastAsia="Times New Roman" w:cs="Times New Roman"/>
          <w:szCs w:val="24"/>
        </w:rPr>
        <w:t>Munshi</w:t>
      </w:r>
      <w:proofErr w:type="spellEnd"/>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NC</w:t>
      </w:r>
      <w:r w:rsidRPr="00E95765">
        <w:rPr>
          <w:rFonts w:ascii="Times New Roman" w:eastAsia="Times New Roman" w:hAnsi="Times New Roman" w:cs="Times New Roman"/>
          <w:sz w:val="24"/>
          <w:szCs w:val="24"/>
        </w:rPr>
        <w:t xml:space="preserve">, </w:t>
      </w:r>
      <w:r w:rsidRPr="00E95765">
        <w:rPr>
          <w:rStyle w:val="bibetal"/>
          <w:rFonts w:eastAsia="Times New Roman" w:cs="Times New Roman"/>
          <w:szCs w:val="24"/>
        </w:rPr>
        <w:t>et al</w:t>
      </w:r>
      <w:r w:rsidRPr="00E95765">
        <w:rPr>
          <w:rFonts w:ascii="Times New Roman" w:eastAsia="Times New Roman" w:hAnsi="Times New Roman" w:cs="Times New Roman"/>
          <w:sz w:val="24"/>
          <w:szCs w:val="24"/>
        </w:rPr>
        <w:t xml:space="preserve">. </w:t>
      </w:r>
      <w:proofErr w:type="spellStart"/>
      <w:r w:rsidRPr="00E95765">
        <w:rPr>
          <w:rStyle w:val="bibarticle"/>
          <w:rFonts w:eastAsia="Times New Roman" w:cs="Times New Roman"/>
          <w:szCs w:val="24"/>
        </w:rPr>
        <w:t>Idecabtagene</w:t>
      </w:r>
      <w:proofErr w:type="spellEnd"/>
      <w:r w:rsidRPr="00E95765">
        <w:rPr>
          <w:rStyle w:val="bibarticle"/>
          <w:rFonts w:eastAsia="Times New Roman" w:cs="Times New Roman"/>
          <w:szCs w:val="24"/>
        </w:rPr>
        <w:t xml:space="preserve"> </w:t>
      </w:r>
      <w:proofErr w:type="spellStart"/>
      <w:r w:rsidRPr="00E95765">
        <w:rPr>
          <w:rStyle w:val="bibarticle"/>
          <w:rFonts w:eastAsia="Times New Roman" w:cs="Times New Roman"/>
          <w:szCs w:val="24"/>
        </w:rPr>
        <w:t>vicleucel</w:t>
      </w:r>
      <w:proofErr w:type="spellEnd"/>
      <w:r w:rsidRPr="00E95765">
        <w:rPr>
          <w:rStyle w:val="bibarticle"/>
          <w:rFonts w:eastAsia="Times New Roman" w:cs="Times New Roman"/>
          <w:szCs w:val="24"/>
        </w:rPr>
        <w:t xml:space="preserve"> in relapsed and refractory multiple myeloma</w:t>
      </w:r>
      <w:r w:rsidRPr="00E95765">
        <w:rPr>
          <w:rFonts w:ascii="Times New Roman" w:eastAsia="Times New Roman" w:hAnsi="Times New Roman" w:cs="Times New Roman"/>
          <w:sz w:val="24"/>
          <w:szCs w:val="24"/>
        </w:rPr>
        <w:t>. </w:t>
      </w:r>
      <w:r w:rsidRPr="00E95765">
        <w:rPr>
          <w:rStyle w:val="bibjournal"/>
          <w:rFonts w:eastAsia="Times New Roman" w:cs="Times New Roman"/>
          <w:szCs w:val="24"/>
        </w:rPr>
        <w:t>N Engl J Med</w:t>
      </w:r>
      <w:r w:rsidRPr="00E95765">
        <w:rPr>
          <w:rFonts w:ascii="Times New Roman" w:eastAsia="Times New Roman" w:hAnsi="Times New Roman" w:cs="Times New Roman"/>
          <w:sz w:val="24"/>
          <w:szCs w:val="24"/>
        </w:rPr>
        <w:t xml:space="preserve">. </w:t>
      </w:r>
      <w:r w:rsidRPr="00E95765">
        <w:rPr>
          <w:rStyle w:val="bibyear"/>
          <w:rFonts w:eastAsia="Times New Roman" w:cs="Times New Roman"/>
          <w:szCs w:val="24"/>
        </w:rPr>
        <w:t>2021</w:t>
      </w:r>
      <w:proofErr w:type="gramStart"/>
      <w:r w:rsidRPr="00E95765">
        <w:rPr>
          <w:rFonts w:ascii="Times New Roman" w:eastAsia="Times New Roman" w:hAnsi="Times New Roman" w:cs="Times New Roman"/>
          <w:sz w:val="24"/>
          <w:szCs w:val="24"/>
        </w:rPr>
        <w:t>;</w:t>
      </w:r>
      <w:r w:rsidRPr="00E95765">
        <w:rPr>
          <w:rStyle w:val="bibvolume"/>
          <w:rFonts w:eastAsia="Times New Roman" w:cs="Times New Roman"/>
          <w:szCs w:val="24"/>
        </w:rPr>
        <w:t>384</w:t>
      </w:r>
      <w:r w:rsidRPr="00E95765">
        <w:rPr>
          <w:rFonts w:ascii="Times New Roman" w:eastAsia="Times New Roman" w:hAnsi="Times New Roman" w:cs="Times New Roman"/>
          <w:sz w:val="24"/>
          <w:szCs w:val="24"/>
        </w:rPr>
        <w:t>:</w:t>
      </w:r>
      <w:r w:rsidRPr="00E95765">
        <w:rPr>
          <w:rStyle w:val="bibfpage"/>
          <w:rFonts w:eastAsia="Times New Roman" w:cs="Times New Roman"/>
          <w:szCs w:val="24"/>
        </w:rPr>
        <w:t>705</w:t>
      </w:r>
      <w:proofErr w:type="gramEnd"/>
      <w:r w:rsidRPr="00E95765">
        <w:rPr>
          <w:rFonts w:ascii="Times New Roman" w:eastAsia="Times New Roman" w:hAnsi="Times New Roman" w:cs="Times New Roman"/>
          <w:sz w:val="24"/>
          <w:szCs w:val="24"/>
        </w:rPr>
        <w:noBreakHyphen/>
      </w:r>
      <w:r w:rsidRPr="00E95765">
        <w:rPr>
          <w:rStyle w:val="bibfpage"/>
          <w:rFonts w:eastAsia="Times New Roman" w:cs="Times New Roman"/>
          <w:szCs w:val="24"/>
        </w:rPr>
        <w:t>716</w:t>
      </w:r>
      <w:r w:rsidRPr="00E95765">
        <w:rPr>
          <w:rFonts w:ascii="Times New Roman" w:eastAsia="Times New Roman" w:hAnsi="Times New Roman" w:cs="Times New Roman"/>
          <w:sz w:val="24"/>
          <w:szCs w:val="24"/>
        </w:rPr>
        <w:t>.</w:t>
      </w:r>
    </w:p>
    <w:p w:rsidR="00D80BD4" w:rsidRPr="00E95765" w:rsidRDefault="00C40BF9">
      <w:pPr>
        <w:pStyle w:val="SR"/>
        <w:tabs>
          <w:tab w:val="left" w:pos="720"/>
        </w:tabs>
        <w:spacing w:before="100" w:beforeAutospacing="1" w:after="100" w:afterAutospacing="1" w:line="480" w:lineRule="auto"/>
        <w:ind w:left="720" w:hanging="360"/>
        <w:rPr>
          <w:rFonts w:ascii="Times New Roman" w:eastAsia="Times New Roman" w:hAnsi="Times New Roman" w:cs="Times New Roman"/>
          <w:sz w:val="24"/>
          <w:szCs w:val="24"/>
        </w:rPr>
      </w:pPr>
      <w:r w:rsidRPr="00E95765">
        <w:rPr>
          <w:rStyle w:val="bibnumber"/>
        </w:rPr>
        <w:t>7</w:t>
      </w:r>
      <w:r w:rsidRPr="00E95765">
        <w:t>.</w:t>
      </w:r>
      <w:r w:rsidRPr="00E95765">
        <w:rPr>
          <w:rFonts w:ascii="Times New Roman" w:eastAsia="Times New Roman" w:hAnsi="Times New Roman" w:cs="Times New Roman"/>
          <w:sz w:val="20"/>
          <w:szCs w:val="24"/>
        </w:rPr>
        <w:tab/>
      </w:r>
      <w:proofErr w:type="spellStart"/>
      <w:r w:rsidRPr="00E95765">
        <w:rPr>
          <w:rStyle w:val="bibsurname"/>
          <w:rFonts w:eastAsia="Times New Roman" w:cs="Times New Roman"/>
          <w:szCs w:val="24"/>
        </w:rPr>
        <w:t>Neelapu</w:t>
      </w:r>
      <w:proofErr w:type="spellEnd"/>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SS</w:t>
      </w:r>
      <w:r w:rsidRPr="00E95765">
        <w:rPr>
          <w:rFonts w:ascii="Times New Roman" w:eastAsia="Times New Roman" w:hAnsi="Times New Roman" w:cs="Times New Roman"/>
          <w:sz w:val="24"/>
          <w:szCs w:val="24"/>
        </w:rPr>
        <w:t xml:space="preserve">, </w:t>
      </w:r>
      <w:r w:rsidRPr="00E95765">
        <w:rPr>
          <w:rStyle w:val="bibetal"/>
          <w:rFonts w:eastAsia="Times New Roman" w:cs="Times New Roman"/>
          <w:szCs w:val="24"/>
        </w:rPr>
        <w:t>et al</w:t>
      </w:r>
      <w:r w:rsidRPr="00E95765">
        <w:rPr>
          <w:rFonts w:ascii="Times New Roman" w:eastAsia="Times New Roman" w:hAnsi="Times New Roman" w:cs="Times New Roman"/>
          <w:sz w:val="24"/>
          <w:szCs w:val="24"/>
        </w:rPr>
        <w:t xml:space="preserve">. </w:t>
      </w:r>
      <w:proofErr w:type="spellStart"/>
      <w:r w:rsidRPr="00E95765">
        <w:rPr>
          <w:rStyle w:val="bibarticle"/>
        </w:rPr>
        <w:t>Axicabtagene</w:t>
      </w:r>
      <w:proofErr w:type="spellEnd"/>
      <w:r w:rsidRPr="00E95765">
        <w:rPr>
          <w:rStyle w:val="bibarticle"/>
        </w:rPr>
        <w:t xml:space="preserve"> </w:t>
      </w:r>
      <w:proofErr w:type="spellStart"/>
      <w:r w:rsidRPr="00E95765">
        <w:rPr>
          <w:rStyle w:val="bibarticle"/>
        </w:rPr>
        <w:t>ciloleucel</w:t>
      </w:r>
      <w:proofErr w:type="spellEnd"/>
      <w:r w:rsidRPr="00E95765">
        <w:rPr>
          <w:rStyle w:val="bibarticle"/>
        </w:rPr>
        <w:t xml:space="preserve"> CAR T</w:t>
      </w:r>
      <w:r w:rsidRPr="00E95765">
        <w:rPr>
          <w:rStyle w:val="bibarticle"/>
        </w:rPr>
        <w:noBreakHyphen/>
        <w:t>cell therapy in refractory large B</w:t>
      </w:r>
      <w:r w:rsidRPr="00E95765">
        <w:rPr>
          <w:rStyle w:val="bibarticle"/>
        </w:rPr>
        <w:noBreakHyphen/>
        <w:t>cell lymphoma</w:t>
      </w:r>
      <w:r w:rsidRPr="00E95765">
        <w:rPr>
          <w:rFonts w:ascii="Times New Roman" w:eastAsia="Times New Roman" w:hAnsi="Times New Roman" w:cs="Times New Roman"/>
          <w:sz w:val="24"/>
          <w:szCs w:val="24"/>
        </w:rPr>
        <w:t>. </w:t>
      </w:r>
      <w:r w:rsidRPr="00E95765">
        <w:rPr>
          <w:rStyle w:val="bibjournal"/>
          <w:rFonts w:eastAsia="Times New Roman" w:cs="Times New Roman"/>
          <w:szCs w:val="24"/>
        </w:rPr>
        <w:t>N Engl J Med</w:t>
      </w:r>
      <w:r w:rsidRPr="00E95765">
        <w:rPr>
          <w:rFonts w:ascii="Times New Roman" w:eastAsia="Times New Roman" w:hAnsi="Times New Roman" w:cs="Times New Roman"/>
          <w:sz w:val="24"/>
          <w:szCs w:val="24"/>
        </w:rPr>
        <w:t xml:space="preserve">. </w:t>
      </w:r>
      <w:r w:rsidRPr="00E95765">
        <w:rPr>
          <w:rStyle w:val="bibyear"/>
          <w:rFonts w:eastAsia="Times New Roman" w:cs="Times New Roman"/>
          <w:szCs w:val="24"/>
        </w:rPr>
        <w:t>2017</w:t>
      </w:r>
      <w:proofErr w:type="gramStart"/>
      <w:r w:rsidRPr="00E95765">
        <w:rPr>
          <w:rFonts w:ascii="Times New Roman" w:eastAsia="Times New Roman" w:hAnsi="Times New Roman" w:cs="Times New Roman"/>
          <w:sz w:val="24"/>
          <w:szCs w:val="24"/>
        </w:rPr>
        <w:t>;</w:t>
      </w:r>
      <w:r w:rsidRPr="00E95765">
        <w:rPr>
          <w:rStyle w:val="bibvolume"/>
          <w:rFonts w:eastAsia="Times New Roman" w:cs="Times New Roman"/>
          <w:szCs w:val="24"/>
        </w:rPr>
        <w:t>377</w:t>
      </w:r>
      <w:r w:rsidRPr="00E95765">
        <w:rPr>
          <w:rFonts w:ascii="Times New Roman" w:eastAsia="Times New Roman" w:hAnsi="Times New Roman" w:cs="Times New Roman"/>
          <w:sz w:val="24"/>
          <w:szCs w:val="24"/>
        </w:rPr>
        <w:t>:</w:t>
      </w:r>
      <w:r w:rsidRPr="00E95765">
        <w:rPr>
          <w:rStyle w:val="bibfpage"/>
          <w:rFonts w:eastAsia="Times New Roman" w:cs="Times New Roman"/>
          <w:szCs w:val="24"/>
        </w:rPr>
        <w:t>2531</w:t>
      </w:r>
      <w:proofErr w:type="gramEnd"/>
      <w:r w:rsidRPr="00E95765">
        <w:rPr>
          <w:rFonts w:ascii="Times New Roman" w:eastAsia="Times New Roman" w:hAnsi="Times New Roman" w:cs="Times New Roman"/>
          <w:sz w:val="24"/>
          <w:szCs w:val="24"/>
        </w:rPr>
        <w:noBreakHyphen/>
      </w:r>
      <w:r w:rsidRPr="00E95765">
        <w:rPr>
          <w:rStyle w:val="bibfpage"/>
          <w:rFonts w:eastAsia="Times New Roman" w:cs="Times New Roman"/>
          <w:szCs w:val="24"/>
        </w:rPr>
        <w:t>2544</w:t>
      </w:r>
      <w:r w:rsidRPr="00E95765">
        <w:rPr>
          <w:rFonts w:ascii="Times New Roman" w:eastAsia="Times New Roman" w:hAnsi="Times New Roman" w:cs="Times New Roman"/>
          <w:sz w:val="24"/>
          <w:szCs w:val="24"/>
        </w:rPr>
        <w:t>.</w:t>
      </w:r>
    </w:p>
    <w:p w:rsidR="00D80BD4" w:rsidRPr="00E95765" w:rsidRDefault="00C40BF9">
      <w:pPr>
        <w:pStyle w:val="SR"/>
        <w:tabs>
          <w:tab w:val="left" w:pos="720"/>
        </w:tabs>
        <w:spacing w:before="100" w:beforeAutospacing="1" w:after="100" w:afterAutospacing="1" w:line="480" w:lineRule="auto"/>
        <w:ind w:left="720" w:hanging="360"/>
        <w:rPr>
          <w:rFonts w:ascii="Times New Roman" w:eastAsia="Times New Roman" w:hAnsi="Times New Roman" w:cs="Times New Roman"/>
          <w:sz w:val="24"/>
          <w:szCs w:val="24"/>
        </w:rPr>
      </w:pPr>
      <w:r w:rsidRPr="00E95765">
        <w:rPr>
          <w:rStyle w:val="bibnumber"/>
        </w:rPr>
        <w:t>8</w:t>
      </w:r>
      <w:r w:rsidRPr="00E95765">
        <w:t>.</w:t>
      </w:r>
      <w:r w:rsidRPr="00E95765">
        <w:rPr>
          <w:rFonts w:ascii="Times New Roman" w:eastAsia="Times New Roman" w:hAnsi="Times New Roman" w:cs="Times New Roman"/>
          <w:sz w:val="20"/>
          <w:szCs w:val="24"/>
        </w:rPr>
        <w:tab/>
      </w:r>
      <w:proofErr w:type="spellStart"/>
      <w:r w:rsidRPr="00E95765">
        <w:rPr>
          <w:rStyle w:val="bibsurname"/>
          <w:rFonts w:eastAsia="Times New Roman" w:cs="Times New Roman"/>
          <w:szCs w:val="24"/>
        </w:rPr>
        <w:t>Panch</w:t>
      </w:r>
      <w:proofErr w:type="spellEnd"/>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SR</w:t>
      </w:r>
      <w:r w:rsidRPr="00E95765">
        <w:rPr>
          <w:rFonts w:ascii="Times New Roman" w:eastAsia="Times New Roman" w:hAnsi="Times New Roman" w:cs="Times New Roman"/>
          <w:sz w:val="24"/>
          <w:szCs w:val="24"/>
        </w:rPr>
        <w:t xml:space="preserve">, </w:t>
      </w:r>
      <w:r w:rsidRPr="00E95765">
        <w:rPr>
          <w:rStyle w:val="bibetal"/>
          <w:rFonts w:eastAsia="Times New Roman" w:cs="Times New Roman"/>
          <w:szCs w:val="24"/>
        </w:rPr>
        <w:t>et al</w:t>
      </w:r>
      <w:r w:rsidRPr="00E95765">
        <w:rPr>
          <w:rFonts w:ascii="Times New Roman" w:eastAsia="Times New Roman" w:hAnsi="Times New Roman" w:cs="Times New Roman"/>
          <w:sz w:val="24"/>
          <w:szCs w:val="24"/>
        </w:rPr>
        <w:t xml:space="preserve">. </w:t>
      </w:r>
      <w:r w:rsidRPr="00E95765">
        <w:rPr>
          <w:rStyle w:val="bibarticle"/>
        </w:rPr>
        <w:t>Effect of cryopreservation on autologous CAR T</w:t>
      </w:r>
      <w:r w:rsidRPr="00E95765">
        <w:rPr>
          <w:rStyle w:val="bibarticle"/>
        </w:rPr>
        <w:noBreakHyphen/>
        <w:t>cell characteristics</w:t>
      </w:r>
      <w:r w:rsidRPr="00E95765">
        <w:rPr>
          <w:rFonts w:ascii="Times New Roman" w:eastAsia="Times New Roman" w:hAnsi="Times New Roman" w:cs="Times New Roman"/>
          <w:sz w:val="24"/>
          <w:szCs w:val="24"/>
        </w:rPr>
        <w:t>. </w:t>
      </w:r>
      <w:proofErr w:type="gramStart"/>
      <w:r w:rsidRPr="00E95765">
        <w:rPr>
          <w:rStyle w:val="bibjournal"/>
        </w:rPr>
        <w:t xml:space="preserve">Mol </w:t>
      </w:r>
      <w:proofErr w:type="spellStart"/>
      <w:r w:rsidRPr="00E95765">
        <w:rPr>
          <w:rStyle w:val="bibjournal"/>
        </w:rPr>
        <w:t>Ther</w:t>
      </w:r>
      <w:proofErr w:type="spellEnd"/>
      <w:r w:rsidRPr="00E95765">
        <w:rPr>
          <w:rFonts w:ascii="Times New Roman" w:eastAsia="Times New Roman" w:hAnsi="Times New Roman" w:cs="Times New Roman"/>
          <w:sz w:val="24"/>
          <w:szCs w:val="24"/>
        </w:rPr>
        <w:t>.</w:t>
      </w:r>
      <w:proofErr w:type="gramEnd"/>
      <w:r w:rsidRPr="00E95765">
        <w:rPr>
          <w:rFonts w:ascii="Times New Roman" w:eastAsia="Times New Roman" w:hAnsi="Times New Roman" w:cs="Times New Roman"/>
          <w:sz w:val="24"/>
          <w:szCs w:val="24"/>
        </w:rPr>
        <w:t xml:space="preserve"> </w:t>
      </w:r>
      <w:r w:rsidRPr="00E95765">
        <w:rPr>
          <w:rStyle w:val="bibyear"/>
          <w:rFonts w:eastAsia="Times New Roman" w:cs="Times New Roman"/>
          <w:szCs w:val="24"/>
        </w:rPr>
        <w:t>2019</w:t>
      </w:r>
      <w:proofErr w:type="gramStart"/>
      <w:r w:rsidRPr="00E95765">
        <w:rPr>
          <w:rFonts w:ascii="Times New Roman" w:eastAsia="Times New Roman" w:hAnsi="Times New Roman" w:cs="Times New Roman"/>
          <w:sz w:val="24"/>
          <w:szCs w:val="24"/>
        </w:rPr>
        <w:t>;</w:t>
      </w:r>
      <w:r w:rsidRPr="00E95765">
        <w:rPr>
          <w:rStyle w:val="bibvolume"/>
          <w:rFonts w:eastAsia="Times New Roman" w:cs="Times New Roman"/>
          <w:szCs w:val="24"/>
        </w:rPr>
        <w:t>27</w:t>
      </w:r>
      <w:r w:rsidRPr="00E95765">
        <w:rPr>
          <w:rFonts w:ascii="Times New Roman" w:eastAsia="Times New Roman" w:hAnsi="Times New Roman" w:cs="Times New Roman"/>
          <w:sz w:val="24"/>
          <w:szCs w:val="24"/>
        </w:rPr>
        <w:t>:</w:t>
      </w:r>
      <w:r w:rsidRPr="00E95765">
        <w:rPr>
          <w:rStyle w:val="bibfpage"/>
          <w:rFonts w:eastAsia="Times New Roman" w:cs="Times New Roman"/>
          <w:szCs w:val="24"/>
        </w:rPr>
        <w:t>326</w:t>
      </w:r>
      <w:proofErr w:type="gramEnd"/>
      <w:r w:rsidRPr="00E95765">
        <w:rPr>
          <w:rFonts w:ascii="Times New Roman" w:eastAsia="Times New Roman" w:hAnsi="Times New Roman" w:cs="Times New Roman"/>
          <w:sz w:val="24"/>
          <w:szCs w:val="24"/>
        </w:rPr>
        <w:noBreakHyphen/>
      </w:r>
      <w:r w:rsidRPr="00E95765">
        <w:rPr>
          <w:rStyle w:val="bibfpage"/>
          <w:rFonts w:eastAsia="Times New Roman" w:cs="Times New Roman"/>
          <w:szCs w:val="24"/>
        </w:rPr>
        <w:t>334</w:t>
      </w:r>
      <w:r w:rsidRPr="00E95765">
        <w:rPr>
          <w:rFonts w:ascii="Times New Roman" w:eastAsia="Times New Roman" w:hAnsi="Times New Roman" w:cs="Times New Roman"/>
          <w:sz w:val="24"/>
          <w:szCs w:val="24"/>
        </w:rPr>
        <w:t>.</w:t>
      </w:r>
    </w:p>
    <w:p w:rsidR="00D80BD4" w:rsidRPr="00E95765" w:rsidRDefault="00C40BF9">
      <w:pPr>
        <w:pStyle w:val="SR"/>
        <w:tabs>
          <w:tab w:val="left" w:pos="720"/>
        </w:tabs>
        <w:spacing w:before="100" w:beforeAutospacing="1" w:after="100" w:afterAutospacing="1" w:line="480" w:lineRule="auto"/>
        <w:ind w:left="720" w:hanging="360"/>
        <w:rPr>
          <w:rFonts w:ascii="Times New Roman" w:eastAsia="Times New Roman" w:hAnsi="Times New Roman" w:cs="Times New Roman"/>
          <w:sz w:val="24"/>
          <w:szCs w:val="24"/>
        </w:rPr>
      </w:pPr>
      <w:r w:rsidRPr="00E95765">
        <w:rPr>
          <w:rStyle w:val="bibnumber"/>
        </w:rPr>
        <w:t>9</w:t>
      </w:r>
      <w:r w:rsidRPr="00E95765">
        <w:t>.</w:t>
      </w:r>
      <w:r w:rsidRPr="00E95765">
        <w:rPr>
          <w:rFonts w:ascii="Times New Roman" w:eastAsia="Times New Roman" w:hAnsi="Times New Roman" w:cs="Times New Roman"/>
          <w:sz w:val="20"/>
          <w:szCs w:val="24"/>
        </w:rPr>
        <w:tab/>
      </w:r>
      <w:proofErr w:type="spellStart"/>
      <w:r w:rsidRPr="00E95765">
        <w:rPr>
          <w:rStyle w:val="bibsurname"/>
          <w:rFonts w:eastAsia="Times New Roman" w:cs="Times New Roman"/>
          <w:szCs w:val="24"/>
        </w:rPr>
        <w:t>Rejeski</w:t>
      </w:r>
      <w:proofErr w:type="spellEnd"/>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K</w:t>
      </w:r>
      <w:r w:rsidRPr="00E95765">
        <w:rPr>
          <w:rFonts w:ascii="Times New Roman" w:eastAsia="Times New Roman" w:hAnsi="Times New Roman" w:cs="Times New Roman"/>
          <w:sz w:val="24"/>
          <w:szCs w:val="24"/>
        </w:rPr>
        <w:t xml:space="preserve">, </w:t>
      </w:r>
      <w:r w:rsidRPr="00E95765">
        <w:rPr>
          <w:rStyle w:val="bibetal"/>
          <w:rFonts w:eastAsia="Times New Roman" w:cs="Times New Roman"/>
          <w:szCs w:val="24"/>
        </w:rPr>
        <w:t>et al</w:t>
      </w:r>
      <w:r w:rsidRPr="00E95765">
        <w:rPr>
          <w:rFonts w:ascii="Times New Roman" w:eastAsia="Times New Roman" w:hAnsi="Times New Roman" w:cs="Times New Roman"/>
          <w:sz w:val="24"/>
          <w:szCs w:val="24"/>
        </w:rPr>
        <w:t xml:space="preserve">. </w:t>
      </w:r>
      <w:r w:rsidRPr="00E95765">
        <w:rPr>
          <w:rStyle w:val="bibarticle"/>
        </w:rPr>
        <w:t>CAR</w:t>
      </w:r>
      <w:r w:rsidRPr="00E95765">
        <w:rPr>
          <w:rStyle w:val="bibarticle"/>
        </w:rPr>
        <w:noBreakHyphen/>
        <w:t>HEMATOTOX: A model for CAR T</w:t>
      </w:r>
      <w:r w:rsidRPr="00E95765">
        <w:rPr>
          <w:rStyle w:val="bibarticle"/>
        </w:rPr>
        <w:noBreakHyphen/>
        <w:t>cell</w:t>
      </w:r>
      <w:r w:rsidRPr="00E95765">
        <w:rPr>
          <w:rStyle w:val="bibarticle"/>
        </w:rPr>
        <w:noBreakHyphen/>
        <w:t>related hematologic toxicity in r/r large B</w:t>
      </w:r>
      <w:r w:rsidRPr="00E95765">
        <w:rPr>
          <w:rStyle w:val="bibarticle"/>
        </w:rPr>
        <w:noBreakHyphen/>
        <w:t>cell lymphoma</w:t>
      </w:r>
      <w:r w:rsidRPr="00E95765">
        <w:rPr>
          <w:rFonts w:ascii="Times New Roman" w:eastAsia="Times New Roman" w:hAnsi="Times New Roman" w:cs="Times New Roman"/>
          <w:sz w:val="24"/>
          <w:szCs w:val="24"/>
        </w:rPr>
        <w:t>. </w:t>
      </w:r>
      <w:proofErr w:type="gramStart"/>
      <w:r w:rsidRPr="00E95765">
        <w:rPr>
          <w:rStyle w:val="bibjournal"/>
          <w:rFonts w:eastAsia="Times New Roman" w:cs="Times New Roman"/>
          <w:szCs w:val="24"/>
        </w:rPr>
        <w:t>Blood</w:t>
      </w:r>
      <w:r w:rsidRPr="00E95765">
        <w:rPr>
          <w:rFonts w:ascii="Times New Roman" w:eastAsia="Times New Roman" w:hAnsi="Times New Roman" w:cs="Times New Roman"/>
          <w:sz w:val="24"/>
          <w:szCs w:val="24"/>
        </w:rPr>
        <w:t>.</w:t>
      </w:r>
      <w:proofErr w:type="gramEnd"/>
      <w:r w:rsidRPr="00E95765">
        <w:rPr>
          <w:rFonts w:ascii="Times New Roman" w:eastAsia="Times New Roman" w:hAnsi="Times New Roman" w:cs="Times New Roman"/>
          <w:sz w:val="24"/>
          <w:szCs w:val="24"/>
        </w:rPr>
        <w:t xml:space="preserve"> </w:t>
      </w:r>
      <w:r w:rsidRPr="00E95765">
        <w:rPr>
          <w:rStyle w:val="bibyear"/>
          <w:rFonts w:eastAsia="Times New Roman" w:cs="Times New Roman"/>
          <w:szCs w:val="24"/>
        </w:rPr>
        <w:t>2021</w:t>
      </w:r>
      <w:proofErr w:type="gramStart"/>
      <w:r w:rsidRPr="00E95765">
        <w:rPr>
          <w:rFonts w:ascii="Times New Roman" w:eastAsia="Times New Roman" w:hAnsi="Times New Roman" w:cs="Times New Roman"/>
          <w:sz w:val="24"/>
          <w:szCs w:val="24"/>
        </w:rPr>
        <w:t>;</w:t>
      </w:r>
      <w:r w:rsidRPr="00E95765">
        <w:rPr>
          <w:rStyle w:val="bibvolume"/>
          <w:rFonts w:eastAsia="Times New Roman" w:cs="Times New Roman"/>
          <w:szCs w:val="24"/>
        </w:rPr>
        <w:t>138</w:t>
      </w:r>
      <w:r w:rsidRPr="00E95765">
        <w:rPr>
          <w:rFonts w:ascii="Times New Roman" w:eastAsia="Times New Roman" w:hAnsi="Times New Roman" w:cs="Times New Roman"/>
          <w:sz w:val="24"/>
          <w:szCs w:val="24"/>
        </w:rPr>
        <w:t>:</w:t>
      </w:r>
      <w:r w:rsidRPr="00E95765">
        <w:rPr>
          <w:rStyle w:val="bibfpage"/>
          <w:rFonts w:eastAsia="Times New Roman" w:cs="Times New Roman"/>
          <w:szCs w:val="24"/>
        </w:rPr>
        <w:t>2499</w:t>
      </w:r>
      <w:proofErr w:type="gramEnd"/>
      <w:r w:rsidRPr="00E95765">
        <w:rPr>
          <w:rFonts w:ascii="Times New Roman" w:eastAsia="Times New Roman" w:hAnsi="Times New Roman" w:cs="Times New Roman"/>
          <w:sz w:val="24"/>
          <w:szCs w:val="24"/>
        </w:rPr>
        <w:noBreakHyphen/>
      </w:r>
      <w:r w:rsidRPr="00E95765">
        <w:rPr>
          <w:rStyle w:val="bibfpage"/>
          <w:rFonts w:eastAsia="Times New Roman" w:cs="Times New Roman"/>
          <w:szCs w:val="24"/>
        </w:rPr>
        <w:t>2513</w:t>
      </w:r>
      <w:r w:rsidRPr="00E95765">
        <w:rPr>
          <w:rFonts w:ascii="Times New Roman" w:eastAsia="Times New Roman" w:hAnsi="Times New Roman" w:cs="Times New Roman"/>
          <w:sz w:val="24"/>
          <w:szCs w:val="24"/>
        </w:rPr>
        <w:t>.</w:t>
      </w:r>
    </w:p>
    <w:p w:rsidR="00D80BD4" w:rsidRPr="00E95765" w:rsidRDefault="00C40BF9">
      <w:pPr>
        <w:pStyle w:val="SR"/>
        <w:tabs>
          <w:tab w:val="left" w:pos="720"/>
        </w:tabs>
        <w:spacing w:before="100" w:beforeAutospacing="1" w:after="100" w:afterAutospacing="1" w:line="480" w:lineRule="auto"/>
        <w:ind w:left="720" w:hanging="360"/>
        <w:rPr>
          <w:rFonts w:ascii="Times New Roman" w:eastAsia="Times New Roman" w:hAnsi="Times New Roman" w:cs="Times New Roman"/>
          <w:sz w:val="24"/>
          <w:szCs w:val="24"/>
        </w:rPr>
      </w:pPr>
      <w:r w:rsidRPr="00E95765">
        <w:rPr>
          <w:rStyle w:val="bibnumber"/>
        </w:rPr>
        <w:lastRenderedPageBreak/>
        <w:t>10</w:t>
      </w:r>
      <w:r w:rsidRPr="00E95765">
        <w:t>.</w:t>
      </w:r>
      <w:r w:rsidRPr="00E95765">
        <w:rPr>
          <w:rFonts w:ascii="Times New Roman" w:eastAsia="Times New Roman" w:hAnsi="Times New Roman" w:cs="Times New Roman"/>
          <w:sz w:val="20"/>
          <w:szCs w:val="24"/>
        </w:rPr>
        <w:tab/>
      </w:r>
      <w:proofErr w:type="spellStart"/>
      <w:r w:rsidRPr="00E95765">
        <w:rPr>
          <w:rStyle w:val="bibsurname"/>
          <w:rFonts w:eastAsia="Times New Roman" w:cs="Times New Roman"/>
          <w:szCs w:val="24"/>
        </w:rPr>
        <w:t>Sarnaik</w:t>
      </w:r>
      <w:proofErr w:type="spellEnd"/>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AA</w:t>
      </w:r>
      <w:r w:rsidRPr="00E95765">
        <w:rPr>
          <w:rFonts w:ascii="Times New Roman" w:eastAsia="Times New Roman" w:hAnsi="Times New Roman" w:cs="Times New Roman"/>
          <w:sz w:val="24"/>
          <w:szCs w:val="24"/>
        </w:rPr>
        <w:t xml:space="preserve">, </w:t>
      </w:r>
      <w:r w:rsidRPr="00E95765">
        <w:rPr>
          <w:rStyle w:val="bibetal"/>
          <w:rFonts w:eastAsia="Times New Roman" w:cs="Times New Roman"/>
          <w:szCs w:val="24"/>
        </w:rPr>
        <w:t>et al</w:t>
      </w:r>
      <w:r w:rsidRPr="00E95765">
        <w:rPr>
          <w:rFonts w:ascii="Times New Roman" w:eastAsia="Times New Roman" w:hAnsi="Times New Roman" w:cs="Times New Roman"/>
          <w:sz w:val="24"/>
          <w:szCs w:val="24"/>
        </w:rPr>
        <w:t xml:space="preserve">. </w:t>
      </w:r>
      <w:proofErr w:type="spellStart"/>
      <w:r w:rsidRPr="00E95765">
        <w:rPr>
          <w:rStyle w:val="bibarticle"/>
        </w:rPr>
        <w:t>Lifileucel</w:t>
      </w:r>
      <w:proofErr w:type="spellEnd"/>
      <w:r w:rsidRPr="00E95765">
        <w:rPr>
          <w:rStyle w:val="bibarticle"/>
        </w:rPr>
        <w:t>, a tumor</w:t>
      </w:r>
      <w:r w:rsidRPr="00E95765">
        <w:rPr>
          <w:rStyle w:val="bibarticle"/>
        </w:rPr>
        <w:noBreakHyphen/>
        <w:t>infiltrating lymphocyte therapy, in metastatic melanoma</w:t>
      </w:r>
      <w:r w:rsidRPr="00E95765">
        <w:rPr>
          <w:rFonts w:ascii="Times New Roman" w:eastAsia="Times New Roman" w:hAnsi="Times New Roman" w:cs="Times New Roman"/>
          <w:sz w:val="24"/>
          <w:szCs w:val="24"/>
        </w:rPr>
        <w:t>. </w:t>
      </w:r>
      <w:proofErr w:type="gramStart"/>
      <w:r w:rsidRPr="00E95765">
        <w:rPr>
          <w:rStyle w:val="bibjournal"/>
          <w:rFonts w:eastAsia="Times New Roman" w:cs="Times New Roman"/>
          <w:szCs w:val="24"/>
        </w:rPr>
        <w:t xml:space="preserve">J Clin </w:t>
      </w:r>
      <w:proofErr w:type="spellStart"/>
      <w:r w:rsidRPr="00E95765">
        <w:rPr>
          <w:rStyle w:val="bibjournal"/>
          <w:rFonts w:eastAsia="Times New Roman" w:cs="Times New Roman"/>
          <w:szCs w:val="24"/>
        </w:rPr>
        <w:t>Oncol</w:t>
      </w:r>
      <w:proofErr w:type="spellEnd"/>
      <w:r w:rsidRPr="00E95765">
        <w:rPr>
          <w:rFonts w:ascii="Times New Roman" w:eastAsia="Times New Roman" w:hAnsi="Times New Roman" w:cs="Times New Roman"/>
          <w:sz w:val="24"/>
          <w:szCs w:val="24"/>
        </w:rPr>
        <w:t>.</w:t>
      </w:r>
      <w:proofErr w:type="gramEnd"/>
      <w:r w:rsidRPr="00E95765">
        <w:rPr>
          <w:rFonts w:ascii="Times New Roman" w:eastAsia="Times New Roman" w:hAnsi="Times New Roman" w:cs="Times New Roman"/>
          <w:sz w:val="24"/>
          <w:szCs w:val="24"/>
        </w:rPr>
        <w:t xml:space="preserve"> </w:t>
      </w:r>
      <w:r w:rsidRPr="00E95765">
        <w:rPr>
          <w:rStyle w:val="bibyear"/>
          <w:rFonts w:eastAsia="Times New Roman" w:cs="Times New Roman"/>
          <w:szCs w:val="24"/>
        </w:rPr>
        <w:t>2021</w:t>
      </w:r>
      <w:proofErr w:type="gramStart"/>
      <w:r w:rsidRPr="00E95765">
        <w:rPr>
          <w:rFonts w:ascii="Times New Roman" w:eastAsia="Times New Roman" w:hAnsi="Times New Roman" w:cs="Times New Roman"/>
          <w:sz w:val="24"/>
          <w:szCs w:val="24"/>
        </w:rPr>
        <w:t>;</w:t>
      </w:r>
      <w:r w:rsidRPr="00E95765">
        <w:rPr>
          <w:rStyle w:val="bibvolume"/>
          <w:rFonts w:eastAsia="Times New Roman" w:cs="Times New Roman"/>
          <w:szCs w:val="24"/>
        </w:rPr>
        <w:t>39</w:t>
      </w:r>
      <w:r w:rsidRPr="00E95765">
        <w:rPr>
          <w:rFonts w:ascii="Times New Roman" w:eastAsia="Times New Roman" w:hAnsi="Times New Roman" w:cs="Times New Roman"/>
          <w:sz w:val="24"/>
          <w:szCs w:val="24"/>
        </w:rPr>
        <w:t>:</w:t>
      </w:r>
      <w:r w:rsidRPr="00E95765">
        <w:rPr>
          <w:rStyle w:val="bibfpage"/>
          <w:rFonts w:eastAsia="Times New Roman" w:cs="Times New Roman"/>
          <w:szCs w:val="24"/>
        </w:rPr>
        <w:t>2656</w:t>
      </w:r>
      <w:proofErr w:type="gramEnd"/>
      <w:r w:rsidRPr="00E95765">
        <w:rPr>
          <w:rFonts w:ascii="Times New Roman" w:eastAsia="Times New Roman" w:hAnsi="Times New Roman" w:cs="Times New Roman"/>
          <w:sz w:val="24"/>
          <w:szCs w:val="24"/>
        </w:rPr>
        <w:noBreakHyphen/>
      </w:r>
      <w:r w:rsidRPr="00E95765">
        <w:rPr>
          <w:rStyle w:val="bibfpage"/>
          <w:rFonts w:eastAsia="Times New Roman" w:cs="Times New Roman"/>
          <w:szCs w:val="24"/>
        </w:rPr>
        <w:t>2666</w:t>
      </w:r>
      <w:r w:rsidRPr="00E95765">
        <w:rPr>
          <w:rFonts w:ascii="Times New Roman" w:eastAsia="Times New Roman" w:hAnsi="Times New Roman" w:cs="Times New Roman"/>
          <w:sz w:val="24"/>
          <w:szCs w:val="24"/>
        </w:rPr>
        <w:t>.</w:t>
      </w:r>
    </w:p>
    <w:p w:rsidR="00D80BD4" w:rsidRPr="00E95765" w:rsidRDefault="00C40BF9">
      <w:pPr>
        <w:pStyle w:val="SR"/>
        <w:tabs>
          <w:tab w:val="left" w:pos="720"/>
        </w:tabs>
        <w:spacing w:before="100" w:beforeAutospacing="1" w:after="100" w:afterAutospacing="1" w:line="480" w:lineRule="auto"/>
        <w:ind w:left="720" w:hanging="360"/>
        <w:rPr>
          <w:rFonts w:ascii="Times New Roman" w:eastAsia="Times New Roman" w:hAnsi="Times New Roman" w:cs="Times New Roman"/>
          <w:sz w:val="24"/>
          <w:szCs w:val="24"/>
        </w:rPr>
      </w:pPr>
      <w:r w:rsidRPr="00E95765">
        <w:rPr>
          <w:rStyle w:val="bibnumber"/>
        </w:rPr>
        <w:t>11</w:t>
      </w:r>
      <w:r w:rsidRPr="00E95765">
        <w:t>.</w:t>
      </w:r>
      <w:r w:rsidRPr="00E95765">
        <w:rPr>
          <w:rFonts w:ascii="Times New Roman" w:eastAsia="Times New Roman" w:hAnsi="Times New Roman" w:cs="Times New Roman"/>
          <w:sz w:val="20"/>
          <w:szCs w:val="24"/>
        </w:rPr>
        <w:tab/>
      </w:r>
      <w:proofErr w:type="spellStart"/>
      <w:r w:rsidRPr="00E95765">
        <w:rPr>
          <w:rStyle w:val="bibsurname"/>
          <w:rFonts w:eastAsia="Times New Roman" w:cs="Times New Roman"/>
          <w:szCs w:val="24"/>
        </w:rPr>
        <w:t>Sorror</w:t>
      </w:r>
      <w:proofErr w:type="spellEnd"/>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ML</w:t>
      </w:r>
      <w:r w:rsidRPr="00E95765">
        <w:rPr>
          <w:rFonts w:ascii="Times New Roman" w:eastAsia="Times New Roman" w:hAnsi="Times New Roman" w:cs="Times New Roman"/>
          <w:sz w:val="24"/>
          <w:szCs w:val="24"/>
        </w:rPr>
        <w:t xml:space="preserve">, </w:t>
      </w:r>
      <w:r w:rsidRPr="00E95765">
        <w:rPr>
          <w:rStyle w:val="bibetal"/>
          <w:rFonts w:eastAsia="Times New Roman" w:cs="Times New Roman"/>
          <w:szCs w:val="24"/>
        </w:rPr>
        <w:t>et al</w:t>
      </w:r>
      <w:r w:rsidRPr="00E95765">
        <w:rPr>
          <w:rFonts w:ascii="Times New Roman" w:eastAsia="Times New Roman" w:hAnsi="Times New Roman" w:cs="Times New Roman"/>
          <w:sz w:val="24"/>
          <w:szCs w:val="24"/>
        </w:rPr>
        <w:t xml:space="preserve">. </w:t>
      </w:r>
      <w:r w:rsidRPr="00E95765">
        <w:rPr>
          <w:rStyle w:val="bibarticle"/>
          <w:rFonts w:eastAsia="Times New Roman" w:cs="Times New Roman"/>
          <w:szCs w:val="24"/>
        </w:rPr>
        <w:t>Hematopoietic cell transplantation comorbidity index and risk assessment in older patients</w:t>
      </w:r>
      <w:r w:rsidRPr="00E95765">
        <w:rPr>
          <w:rFonts w:ascii="Times New Roman" w:eastAsia="Times New Roman" w:hAnsi="Times New Roman" w:cs="Times New Roman"/>
          <w:sz w:val="24"/>
          <w:szCs w:val="24"/>
        </w:rPr>
        <w:t>. </w:t>
      </w:r>
      <w:proofErr w:type="gramStart"/>
      <w:r w:rsidRPr="00E95765">
        <w:rPr>
          <w:rStyle w:val="bibjournal"/>
          <w:rFonts w:eastAsia="Times New Roman" w:cs="Times New Roman"/>
          <w:szCs w:val="24"/>
        </w:rPr>
        <w:t>Blood</w:t>
      </w:r>
      <w:r w:rsidRPr="00E95765">
        <w:rPr>
          <w:rFonts w:ascii="Times New Roman" w:eastAsia="Times New Roman" w:hAnsi="Times New Roman" w:cs="Times New Roman"/>
          <w:sz w:val="24"/>
          <w:szCs w:val="24"/>
        </w:rPr>
        <w:t>.</w:t>
      </w:r>
      <w:proofErr w:type="gramEnd"/>
      <w:r w:rsidRPr="00E95765">
        <w:rPr>
          <w:rFonts w:ascii="Times New Roman" w:eastAsia="Times New Roman" w:hAnsi="Times New Roman" w:cs="Times New Roman"/>
          <w:sz w:val="24"/>
          <w:szCs w:val="24"/>
        </w:rPr>
        <w:t xml:space="preserve"> </w:t>
      </w:r>
      <w:r w:rsidRPr="00E95765">
        <w:rPr>
          <w:rStyle w:val="bibyear"/>
          <w:rFonts w:eastAsia="Times New Roman" w:cs="Times New Roman"/>
          <w:szCs w:val="24"/>
        </w:rPr>
        <w:t>2014</w:t>
      </w:r>
      <w:proofErr w:type="gramStart"/>
      <w:r w:rsidRPr="00E95765">
        <w:rPr>
          <w:rFonts w:ascii="Times New Roman" w:eastAsia="Times New Roman" w:hAnsi="Times New Roman" w:cs="Times New Roman"/>
          <w:sz w:val="24"/>
          <w:szCs w:val="24"/>
        </w:rPr>
        <w:t>;</w:t>
      </w:r>
      <w:r w:rsidRPr="00E95765">
        <w:rPr>
          <w:rStyle w:val="bibvolume"/>
          <w:rFonts w:eastAsia="Times New Roman" w:cs="Times New Roman"/>
          <w:szCs w:val="24"/>
        </w:rPr>
        <w:t>123</w:t>
      </w:r>
      <w:r w:rsidRPr="00E95765">
        <w:rPr>
          <w:rFonts w:ascii="Times New Roman" w:eastAsia="Times New Roman" w:hAnsi="Times New Roman" w:cs="Times New Roman"/>
          <w:sz w:val="24"/>
          <w:szCs w:val="24"/>
        </w:rPr>
        <w:t>:</w:t>
      </w:r>
      <w:r w:rsidRPr="00E95765">
        <w:rPr>
          <w:rStyle w:val="bibfpage"/>
          <w:rFonts w:eastAsia="Times New Roman" w:cs="Times New Roman"/>
          <w:szCs w:val="24"/>
        </w:rPr>
        <w:t>3873</w:t>
      </w:r>
      <w:proofErr w:type="gramEnd"/>
      <w:r w:rsidRPr="00E95765">
        <w:rPr>
          <w:rFonts w:ascii="Times New Roman" w:eastAsia="Times New Roman" w:hAnsi="Times New Roman" w:cs="Times New Roman"/>
          <w:sz w:val="24"/>
          <w:szCs w:val="24"/>
        </w:rPr>
        <w:noBreakHyphen/>
      </w:r>
      <w:r w:rsidRPr="00E95765">
        <w:rPr>
          <w:rStyle w:val="bibfpage"/>
          <w:rFonts w:eastAsia="Times New Roman" w:cs="Times New Roman"/>
          <w:szCs w:val="24"/>
        </w:rPr>
        <w:t>3880</w:t>
      </w:r>
      <w:r w:rsidRPr="00E95765">
        <w:rPr>
          <w:rFonts w:ascii="Times New Roman" w:eastAsia="Times New Roman" w:hAnsi="Times New Roman" w:cs="Times New Roman"/>
          <w:sz w:val="24"/>
          <w:szCs w:val="24"/>
        </w:rPr>
        <w:t>.</w:t>
      </w:r>
    </w:p>
    <w:p w:rsidR="00D80BD4" w:rsidRPr="00E95765" w:rsidRDefault="00C40BF9">
      <w:pPr>
        <w:pStyle w:val="SR"/>
        <w:tabs>
          <w:tab w:val="left" w:pos="720"/>
        </w:tabs>
        <w:spacing w:before="100" w:beforeAutospacing="1" w:after="100" w:afterAutospacing="1" w:line="480" w:lineRule="auto"/>
        <w:ind w:left="720" w:hanging="360"/>
        <w:rPr>
          <w:rFonts w:ascii="Times New Roman" w:eastAsia="Times New Roman" w:hAnsi="Times New Roman" w:cs="Times New Roman"/>
          <w:sz w:val="24"/>
          <w:szCs w:val="24"/>
        </w:rPr>
      </w:pPr>
      <w:r w:rsidRPr="00E95765">
        <w:rPr>
          <w:rStyle w:val="bibnumber"/>
        </w:rPr>
        <w:t>12</w:t>
      </w:r>
      <w:r w:rsidRPr="00E95765">
        <w:t>.</w:t>
      </w:r>
      <w:r w:rsidRPr="00E95765">
        <w:rPr>
          <w:rFonts w:ascii="Times New Roman" w:eastAsia="Times New Roman" w:hAnsi="Times New Roman" w:cs="Times New Roman"/>
          <w:sz w:val="20"/>
          <w:szCs w:val="24"/>
        </w:rPr>
        <w:tab/>
      </w:r>
      <w:proofErr w:type="spellStart"/>
      <w:r w:rsidRPr="00E95765">
        <w:rPr>
          <w:rStyle w:val="bibsurname"/>
          <w:rFonts w:eastAsia="Times New Roman" w:cs="Times New Roman"/>
          <w:szCs w:val="24"/>
        </w:rPr>
        <w:t>Tyagarajan</w:t>
      </w:r>
      <w:proofErr w:type="spellEnd"/>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S</w:t>
      </w:r>
      <w:r w:rsidRPr="00E95765">
        <w:rPr>
          <w:rFonts w:ascii="Times New Roman" w:eastAsia="Times New Roman" w:hAnsi="Times New Roman" w:cs="Times New Roman"/>
          <w:sz w:val="24"/>
          <w:szCs w:val="24"/>
        </w:rPr>
        <w:t xml:space="preserve">, </w:t>
      </w:r>
      <w:r w:rsidRPr="00E95765">
        <w:rPr>
          <w:rStyle w:val="bibetal"/>
          <w:rFonts w:eastAsia="Times New Roman" w:cs="Times New Roman"/>
          <w:szCs w:val="24"/>
        </w:rPr>
        <w:t>et al</w:t>
      </w:r>
      <w:r w:rsidRPr="00E95765">
        <w:rPr>
          <w:rFonts w:ascii="Times New Roman" w:eastAsia="Times New Roman" w:hAnsi="Times New Roman" w:cs="Times New Roman"/>
          <w:sz w:val="24"/>
          <w:szCs w:val="24"/>
        </w:rPr>
        <w:t xml:space="preserve">. </w:t>
      </w:r>
      <w:r w:rsidRPr="00E95765">
        <w:rPr>
          <w:rStyle w:val="bibarticle"/>
        </w:rPr>
        <w:t>Optimizing CAR T</w:t>
      </w:r>
      <w:r w:rsidRPr="00E95765">
        <w:rPr>
          <w:rStyle w:val="bibarticle"/>
        </w:rPr>
        <w:noBreakHyphen/>
        <w:t>cell manufacturing processes during pivotal clinical trials</w:t>
      </w:r>
      <w:r w:rsidRPr="00E95765">
        <w:rPr>
          <w:rFonts w:ascii="Times New Roman" w:eastAsia="Times New Roman" w:hAnsi="Times New Roman" w:cs="Times New Roman"/>
          <w:sz w:val="24"/>
          <w:szCs w:val="24"/>
        </w:rPr>
        <w:t>. </w:t>
      </w:r>
      <w:r w:rsidRPr="00E95765">
        <w:rPr>
          <w:rStyle w:val="bibjournal"/>
        </w:rPr>
        <w:t xml:space="preserve">Mol </w:t>
      </w:r>
      <w:proofErr w:type="spellStart"/>
      <w:r w:rsidRPr="00E95765">
        <w:rPr>
          <w:rStyle w:val="bibjournal"/>
        </w:rPr>
        <w:t>Ther</w:t>
      </w:r>
      <w:proofErr w:type="spellEnd"/>
      <w:r w:rsidRPr="00E95765">
        <w:rPr>
          <w:rStyle w:val="bibjournal"/>
        </w:rPr>
        <w:t xml:space="preserve"> Methods Clin Dev</w:t>
      </w:r>
      <w:r w:rsidRPr="00E95765">
        <w:rPr>
          <w:rFonts w:ascii="Times New Roman" w:eastAsia="Times New Roman" w:hAnsi="Times New Roman" w:cs="Times New Roman"/>
          <w:sz w:val="24"/>
          <w:szCs w:val="24"/>
        </w:rPr>
        <w:t xml:space="preserve">. </w:t>
      </w:r>
      <w:r w:rsidRPr="00E95765">
        <w:rPr>
          <w:rStyle w:val="bibyear"/>
          <w:rFonts w:eastAsia="Times New Roman" w:cs="Times New Roman"/>
          <w:szCs w:val="24"/>
        </w:rPr>
        <w:t>2020</w:t>
      </w:r>
      <w:proofErr w:type="gramStart"/>
      <w:r w:rsidRPr="00E95765">
        <w:rPr>
          <w:rFonts w:ascii="Times New Roman" w:eastAsia="Times New Roman" w:hAnsi="Times New Roman" w:cs="Times New Roman"/>
          <w:sz w:val="24"/>
          <w:szCs w:val="24"/>
        </w:rPr>
        <w:t>;</w:t>
      </w:r>
      <w:r w:rsidRPr="00E95765">
        <w:rPr>
          <w:rStyle w:val="bibvolume"/>
          <w:rFonts w:eastAsia="Times New Roman" w:cs="Times New Roman"/>
          <w:szCs w:val="24"/>
        </w:rPr>
        <w:t>16</w:t>
      </w:r>
      <w:r w:rsidRPr="00E95765">
        <w:rPr>
          <w:rFonts w:ascii="Times New Roman" w:eastAsia="Times New Roman" w:hAnsi="Times New Roman" w:cs="Times New Roman"/>
          <w:sz w:val="24"/>
          <w:szCs w:val="24"/>
        </w:rPr>
        <w:t>:</w:t>
      </w:r>
      <w:r w:rsidRPr="00E95765">
        <w:rPr>
          <w:rStyle w:val="bibfpage"/>
          <w:rFonts w:eastAsia="Times New Roman" w:cs="Times New Roman"/>
          <w:szCs w:val="24"/>
        </w:rPr>
        <w:t>136</w:t>
      </w:r>
      <w:proofErr w:type="gramEnd"/>
      <w:r w:rsidRPr="00E95765">
        <w:rPr>
          <w:rFonts w:ascii="Times New Roman" w:eastAsia="Times New Roman" w:hAnsi="Times New Roman" w:cs="Times New Roman"/>
          <w:sz w:val="24"/>
          <w:szCs w:val="24"/>
        </w:rPr>
        <w:noBreakHyphen/>
      </w:r>
      <w:r w:rsidRPr="00E95765">
        <w:rPr>
          <w:rStyle w:val="bibfpage"/>
          <w:rFonts w:eastAsia="Times New Roman" w:cs="Times New Roman"/>
          <w:szCs w:val="24"/>
        </w:rPr>
        <w:t>144</w:t>
      </w:r>
      <w:r w:rsidRPr="00E95765">
        <w:rPr>
          <w:rFonts w:ascii="Times New Roman" w:eastAsia="Times New Roman" w:hAnsi="Times New Roman" w:cs="Times New Roman"/>
          <w:sz w:val="24"/>
          <w:szCs w:val="24"/>
        </w:rPr>
        <w:t>.</w:t>
      </w:r>
    </w:p>
    <w:p w:rsidR="00D80BD4" w:rsidRPr="00E95765" w:rsidRDefault="00C40BF9">
      <w:pPr>
        <w:pStyle w:val="SR"/>
        <w:tabs>
          <w:tab w:val="left" w:pos="720"/>
        </w:tabs>
        <w:spacing w:before="100" w:beforeAutospacing="1" w:after="100" w:afterAutospacing="1" w:line="480" w:lineRule="auto"/>
        <w:ind w:left="720" w:hanging="360"/>
        <w:rPr>
          <w:rFonts w:ascii="Times New Roman" w:eastAsia="Times New Roman" w:hAnsi="Times New Roman" w:cs="Times New Roman"/>
          <w:sz w:val="24"/>
          <w:szCs w:val="24"/>
        </w:rPr>
      </w:pPr>
      <w:r w:rsidRPr="00E95765">
        <w:rPr>
          <w:rStyle w:val="bibnumber"/>
        </w:rPr>
        <w:t>13</w:t>
      </w:r>
      <w:r w:rsidRPr="00E95765">
        <w:t>.</w:t>
      </w:r>
      <w:r w:rsidRPr="00E95765">
        <w:rPr>
          <w:rFonts w:ascii="Times New Roman" w:eastAsia="Times New Roman" w:hAnsi="Times New Roman" w:cs="Times New Roman"/>
          <w:sz w:val="20"/>
          <w:szCs w:val="24"/>
        </w:rPr>
        <w:tab/>
      </w:r>
      <w:r w:rsidRPr="00E95765">
        <w:rPr>
          <w:rStyle w:val="bibsurname"/>
          <w:rFonts w:eastAsia="Times New Roman" w:cs="Times New Roman"/>
          <w:szCs w:val="24"/>
        </w:rPr>
        <w:t>Warner</w:t>
      </w:r>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AB</w:t>
      </w:r>
      <w:r w:rsidRPr="00E95765">
        <w:rPr>
          <w:rFonts w:ascii="Times New Roman" w:eastAsia="Times New Roman" w:hAnsi="Times New Roman" w:cs="Times New Roman"/>
          <w:sz w:val="24"/>
          <w:szCs w:val="24"/>
        </w:rPr>
        <w:t xml:space="preserve">, </w:t>
      </w:r>
      <w:r w:rsidRPr="00E95765">
        <w:rPr>
          <w:rStyle w:val="bibetal"/>
          <w:rFonts w:eastAsia="Times New Roman" w:cs="Times New Roman"/>
          <w:szCs w:val="24"/>
        </w:rPr>
        <w:t>et al</w:t>
      </w:r>
      <w:r w:rsidRPr="00E95765">
        <w:rPr>
          <w:rFonts w:ascii="Times New Roman" w:eastAsia="Times New Roman" w:hAnsi="Times New Roman" w:cs="Times New Roman"/>
          <w:sz w:val="24"/>
          <w:szCs w:val="24"/>
        </w:rPr>
        <w:t xml:space="preserve">. </w:t>
      </w:r>
      <w:r w:rsidRPr="00E95765">
        <w:rPr>
          <w:rStyle w:val="bibarticle"/>
          <w:rFonts w:eastAsia="Times New Roman" w:cs="Times New Roman"/>
          <w:szCs w:val="24"/>
        </w:rPr>
        <w:t>Expert consensus guidelines on TIL therapy: Management and best practices</w:t>
      </w:r>
      <w:r w:rsidRPr="00E95765">
        <w:t>. </w:t>
      </w:r>
      <w:proofErr w:type="gramStart"/>
      <w:r w:rsidRPr="00E95765">
        <w:rPr>
          <w:rStyle w:val="bibjournal"/>
        </w:rPr>
        <w:t xml:space="preserve">J </w:t>
      </w:r>
      <w:proofErr w:type="spellStart"/>
      <w:r w:rsidRPr="00E95765">
        <w:rPr>
          <w:rStyle w:val="bibjournal"/>
        </w:rPr>
        <w:t>Immunother</w:t>
      </w:r>
      <w:proofErr w:type="spellEnd"/>
      <w:r w:rsidRPr="00E95765">
        <w:rPr>
          <w:rStyle w:val="bibjournal"/>
        </w:rPr>
        <w:t xml:space="preserve"> Cancer</w:t>
      </w:r>
      <w:r w:rsidRPr="00E95765">
        <w:rPr>
          <w:rFonts w:ascii="Times New Roman" w:eastAsia="Times New Roman" w:hAnsi="Times New Roman" w:cs="Times New Roman"/>
          <w:sz w:val="24"/>
          <w:szCs w:val="24"/>
        </w:rPr>
        <w:t>.</w:t>
      </w:r>
      <w:proofErr w:type="gramEnd"/>
      <w:r w:rsidRPr="00E95765">
        <w:rPr>
          <w:rFonts w:ascii="Times New Roman" w:eastAsia="Times New Roman" w:hAnsi="Times New Roman" w:cs="Times New Roman"/>
          <w:sz w:val="24"/>
          <w:szCs w:val="24"/>
        </w:rPr>
        <w:t xml:space="preserve"> </w:t>
      </w:r>
      <w:r w:rsidRPr="00E95765">
        <w:rPr>
          <w:rStyle w:val="bibyear"/>
          <w:rFonts w:eastAsia="Times New Roman" w:cs="Times New Roman"/>
          <w:szCs w:val="24"/>
        </w:rPr>
        <w:t>2024</w:t>
      </w:r>
      <w:proofErr w:type="gramStart"/>
      <w:r w:rsidRPr="00E95765">
        <w:rPr>
          <w:rFonts w:ascii="Times New Roman" w:eastAsia="Times New Roman" w:hAnsi="Times New Roman" w:cs="Times New Roman"/>
          <w:sz w:val="24"/>
          <w:szCs w:val="24"/>
        </w:rPr>
        <w:t>;</w:t>
      </w:r>
      <w:r w:rsidRPr="00E95765">
        <w:rPr>
          <w:rStyle w:val="bibvolume"/>
          <w:rFonts w:eastAsia="Times New Roman" w:cs="Times New Roman"/>
          <w:szCs w:val="24"/>
        </w:rPr>
        <w:t>12</w:t>
      </w:r>
      <w:r w:rsidRPr="00E95765">
        <w:rPr>
          <w:rFonts w:ascii="Times New Roman" w:eastAsia="Times New Roman" w:hAnsi="Times New Roman" w:cs="Times New Roman"/>
          <w:sz w:val="24"/>
          <w:szCs w:val="24"/>
        </w:rPr>
        <w:t>:</w:t>
      </w:r>
      <w:r w:rsidRPr="00E95765">
        <w:rPr>
          <w:rStyle w:val="bibfpage"/>
          <w:rFonts w:eastAsia="Times New Roman" w:cs="Times New Roman"/>
          <w:szCs w:val="24"/>
        </w:rPr>
        <w:t>e008735</w:t>
      </w:r>
      <w:proofErr w:type="gramEnd"/>
      <w:r w:rsidRPr="00E95765">
        <w:rPr>
          <w:rFonts w:ascii="Times New Roman" w:eastAsia="Times New Roman" w:hAnsi="Times New Roman" w:cs="Times New Roman"/>
          <w:sz w:val="24"/>
          <w:szCs w:val="24"/>
        </w:rPr>
        <w:t>.</w:t>
      </w:r>
    </w:p>
    <w:p w:rsidR="00D80BD4" w:rsidRPr="00E95765" w:rsidRDefault="00C40BF9">
      <w:pPr>
        <w:pStyle w:val="SR"/>
        <w:tabs>
          <w:tab w:val="left" w:pos="720"/>
        </w:tabs>
        <w:spacing w:before="100" w:beforeAutospacing="1" w:after="100" w:afterAutospacing="1" w:line="480" w:lineRule="auto"/>
        <w:ind w:left="720" w:hanging="360"/>
        <w:rPr>
          <w:rFonts w:ascii="Times New Roman" w:eastAsia="Times New Roman" w:hAnsi="Times New Roman" w:cs="Times New Roman"/>
          <w:sz w:val="24"/>
          <w:szCs w:val="24"/>
        </w:rPr>
      </w:pPr>
      <w:r w:rsidRPr="00E95765">
        <w:rPr>
          <w:rStyle w:val="bibnumber"/>
        </w:rPr>
        <w:t>14</w:t>
      </w:r>
      <w:r w:rsidRPr="00E95765">
        <w:t>.</w:t>
      </w:r>
      <w:r w:rsidRPr="00E95765">
        <w:rPr>
          <w:rFonts w:ascii="Times New Roman" w:eastAsia="Times New Roman" w:hAnsi="Times New Roman" w:cs="Times New Roman"/>
          <w:sz w:val="20"/>
          <w:szCs w:val="24"/>
        </w:rPr>
        <w:tab/>
      </w:r>
      <w:proofErr w:type="spellStart"/>
      <w:r w:rsidRPr="00E95765">
        <w:rPr>
          <w:rStyle w:val="bibsurname"/>
          <w:rFonts w:eastAsia="Times New Roman" w:cs="Times New Roman"/>
          <w:szCs w:val="24"/>
        </w:rPr>
        <w:t>Yakoub</w:t>
      </w:r>
      <w:proofErr w:type="spellEnd"/>
      <w:r w:rsidRPr="00E95765">
        <w:rPr>
          <w:rStyle w:val="bibsurname"/>
        </w:rPr>
        <w:noBreakHyphen/>
      </w:r>
      <w:r w:rsidRPr="00E95765">
        <w:rPr>
          <w:rStyle w:val="bibsurname"/>
          <w:rFonts w:eastAsia="Times New Roman" w:cs="Times New Roman"/>
          <w:szCs w:val="24"/>
        </w:rPr>
        <w:t>Agha</w:t>
      </w:r>
      <w:r w:rsidRPr="00E95765">
        <w:rPr>
          <w:rFonts w:ascii="Times New Roman" w:eastAsia="Times New Roman" w:hAnsi="Times New Roman" w:cs="Times New Roman"/>
          <w:sz w:val="24"/>
          <w:szCs w:val="24"/>
        </w:rPr>
        <w:t xml:space="preserve"> </w:t>
      </w:r>
      <w:r w:rsidRPr="00E95765">
        <w:rPr>
          <w:rStyle w:val="bibfname"/>
          <w:rFonts w:eastAsia="Times New Roman" w:cs="Times New Roman"/>
          <w:szCs w:val="24"/>
        </w:rPr>
        <w:t>I</w:t>
      </w:r>
      <w:r w:rsidRPr="00E95765">
        <w:rPr>
          <w:rFonts w:ascii="Times New Roman" w:eastAsia="Times New Roman" w:hAnsi="Times New Roman" w:cs="Times New Roman"/>
          <w:sz w:val="24"/>
          <w:szCs w:val="24"/>
        </w:rPr>
        <w:t xml:space="preserve">, </w:t>
      </w:r>
      <w:r w:rsidRPr="00E95765">
        <w:rPr>
          <w:rStyle w:val="bibetal"/>
          <w:rFonts w:eastAsia="Times New Roman" w:cs="Times New Roman"/>
          <w:szCs w:val="24"/>
        </w:rPr>
        <w:t>et al</w:t>
      </w:r>
      <w:r w:rsidRPr="00E95765">
        <w:rPr>
          <w:rFonts w:ascii="Times New Roman" w:eastAsia="Times New Roman" w:hAnsi="Times New Roman" w:cs="Times New Roman"/>
          <w:sz w:val="24"/>
          <w:szCs w:val="24"/>
        </w:rPr>
        <w:t xml:space="preserve">. </w:t>
      </w:r>
      <w:r w:rsidRPr="00E95765">
        <w:rPr>
          <w:rStyle w:val="bibarticle"/>
        </w:rPr>
        <w:t>Management of adults and children receiving CAR T</w:t>
      </w:r>
      <w:r w:rsidRPr="00E95765">
        <w:rPr>
          <w:rStyle w:val="bibarticle"/>
        </w:rPr>
        <w:noBreakHyphen/>
        <w:t>cell therapy: EBMT recommendations</w:t>
      </w:r>
      <w:r w:rsidRPr="00E95765">
        <w:rPr>
          <w:rFonts w:ascii="Times New Roman" w:eastAsia="Times New Roman" w:hAnsi="Times New Roman" w:cs="Times New Roman"/>
          <w:sz w:val="24"/>
          <w:szCs w:val="24"/>
        </w:rPr>
        <w:t>. </w:t>
      </w:r>
      <w:proofErr w:type="spellStart"/>
      <w:proofErr w:type="gramStart"/>
      <w:r w:rsidRPr="00E95765">
        <w:rPr>
          <w:rStyle w:val="bibjournal"/>
          <w:rFonts w:eastAsia="Times New Roman" w:cs="Times New Roman"/>
          <w:szCs w:val="24"/>
        </w:rPr>
        <w:t>Haematologica</w:t>
      </w:r>
      <w:proofErr w:type="spellEnd"/>
      <w:r w:rsidRPr="00E95765">
        <w:rPr>
          <w:rFonts w:ascii="Times New Roman" w:eastAsia="Times New Roman" w:hAnsi="Times New Roman" w:cs="Times New Roman"/>
          <w:sz w:val="24"/>
          <w:szCs w:val="24"/>
        </w:rPr>
        <w:t>.</w:t>
      </w:r>
      <w:proofErr w:type="gramEnd"/>
      <w:r w:rsidRPr="00E95765">
        <w:rPr>
          <w:rFonts w:ascii="Times New Roman" w:eastAsia="Times New Roman" w:hAnsi="Times New Roman" w:cs="Times New Roman"/>
          <w:sz w:val="24"/>
          <w:szCs w:val="24"/>
        </w:rPr>
        <w:t xml:space="preserve"> </w:t>
      </w:r>
      <w:r w:rsidRPr="00E95765">
        <w:rPr>
          <w:rStyle w:val="bibyear"/>
          <w:rFonts w:eastAsia="Times New Roman" w:cs="Times New Roman"/>
          <w:szCs w:val="24"/>
        </w:rPr>
        <w:t>2020</w:t>
      </w:r>
      <w:proofErr w:type="gramStart"/>
      <w:r w:rsidRPr="00E95765">
        <w:rPr>
          <w:rFonts w:ascii="Times New Roman" w:eastAsia="Times New Roman" w:hAnsi="Times New Roman" w:cs="Times New Roman"/>
          <w:sz w:val="24"/>
          <w:szCs w:val="24"/>
        </w:rPr>
        <w:t>;</w:t>
      </w:r>
      <w:r w:rsidRPr="00E95765">
        <w:rPr>
          <w:rStyle w:val="bibvolume"/>
          <w:rFonts w:eastAsia="Times New Roman" w:cs="Times New Roman"/>
          <w:szCs w:val="24"/>
        </w:rPr>
        <w:t>105</w:t>
      </w:r>
      <w:r w:rsidRPr="00E95765">
        <w:rPr>
          <w:rFonts w:ascii="Times New Roman" w:eastAsia="Times New Roman" w:hAnsi="Times New Roman" w:cs="Times New Roman"/>
          <w:sz w:val="24"/>
          <w:szCs w:val="24"/>
        </w:rPr>
        <w:t>:</w:t>
      </w:r>
      <w:r w:rsidRPr="00E95765">
        <w:rPr>
          <w:rStyle w:val="bibfpage"/>
          <w:rFonts w:eastAsia="Times New Roman" w:cs="Times New Roman"/>
          <w:szCs w:val="24"/>
        </w:rPr>
        <w:t>297</w:t>
      </w:r>
      <w:proofErr w:type="gramEnd"/>
      <w:r w:rsidRPr="00E95765">
        <w:rPr>
          <w:rFonts w:ascii="Times New Roman" w:eastAsia="Times New Roman" w:hAnsi="Times New Roman" w:cs="Times New Roman"/>
          <w:sz w:val="24"/>
          <w:szCs w:val="24"/>
        </w:rPr>
        <w:noBreakHyphen/>
      </w:r>
      <w:r w:rsidRPr="00E95765">
        <w:rPr>
          <w:rStyle w:val="bibfpage"/>
          <w:rFonts w:eastAsia="Times New Roman" w:cs="Times New Roman"/>
          <w:szCs w:val="24"/>
        </w:rPr>
        <w:t>316</w:t>
      </w:r>
      <w:r w:rsidRPr="00E95765">
        <w:rPr>
          <w:rFonts w:ascii="Times New Roman" w:eastAsia="Times New Roman" w:hAnsi="Times New Roman" w:cs="Times New Roman"/>
          <w:sz w:val="24"/>
          <w:szCs w:val="24"/>
        </w:rPr>
        <w:t>.</w:t>
      </w:r>
    </w:p>
    <w:p w:rsidR="00D80BD4" w:rsidRPr="00E95765" w:rsidRDefault="00C40BF9">
      <w:pPr>
        <w:rPr>
          <w:sz w:val="24"/>
          <w:szCs w:val="24"/>
        </w:rPr>
      </w:pPr>
      <w:r w:rsidRPr="00E95765">
        <w:rPr>
          <w:sz w:val="24"/>
          <w:szCs w:val="24"/>
        </w:rPr>
        <w:br w:type="page"/>
      </w:r>
    </w:p>
    <w:p w:rsidR="00D80BD4" w:rsidRPr="00E95765" w:rsidRDefault="00C40BF9" w:rsidP="006D0014">
      <w:pPr>
        <w:pStyle w:val="PMI"/>
      </w:pPr>
      <w:r w:rsidRPr="00E95765">
        <w:lastRenderedPageBreak/>
        <w:t>&lt;Figure&gt;</w:t>
      </w:r>
    </w:p>
    <w:p w:rsidR="00D80BD4" w:rsidRPr="00E95765" w:rsidRDefault="00C40BF9" w:rsidP="006D0014">
      <w:pPr>
        <w:pStyle w:val="FIG-LEG"/>
      </w:pPr>
      <w:r w:rsidRPr="00E95765">
        <w:rPr>
          <w:rStyle w:val="Tag"/>
          <w:rFonts w:ascii="Times New Roman" w:eastAsia="Times New Roman" w:hAnsi="Times New Roman" w:cs="Times New Roman"/>
          <w:b/>
          <w:bCs/>
          <w:sz w:val="24"/>
          <w:szCs w:val="24"/>
        </w:rPr>
        <w:t>&lt;DFIG5.1&gt;</w:t>
      </w:r>
      <w:bookmarkStart w:id="2" w:name="bm_fig_caption_Figure_5_1"/>
      <w:sdt>
        <w:sdtPr>
          <w:rPr>
            <w:rStyle w:val="Tag"/>
            <w:rFonts w:ascii="Times New Roman" w:eastAsia="Times New Roman" w:hAnsi="Times New Roman" w:cs="Times New Roman"/>
            <w:b/>
            <w:bCs/>
            <w:sz w:val="24"/>
            <w:szCs w:val="24"/>
          </w:rPr>
          <w:alias w:val="Figure Caption"/>
          <w:tag w:val="fig_caption"/>
          <w:id w:val="1179004418"/>
          <w:placeholder>
            <w:docPart w:val="DefaultPlaceholder_1082065158"/>
          </w:placeholder>
        </w:sdtPr>
        <w:sdtEndPr>
          <w:rPr>
            <w:rStyle w:val="FIG-NUM"/>
          </w:rPr>
        </w:sdtEndPr>
        <w:sdtContent>
          <w:r w:rsidRPr="00E95765">
            <w:rPr>
              <w:rStyle w:val="FIG-NUM"/>
              <w:rFonts w:ascii="Times New Roman" w:eastAsia="Times New Roman" w:hAnsi="Times New Roman" w:cs="Times New Roman"/>
              <w:b/>
              <w:bCs/>
              <w:sz w:val="24"/>
              <w:szCs w:val="24"/>
            </w:rPr>
            <w:t>Figure 5.1</w:t>
          </w:r>
          <w:bookmarkEnd w:id="2"/>
        </w:sdtContent>
      </w:sdt>
      <w:r w:rsidRPr="00E95765">
        <w:rPr>
          <w:rStyle w:val="FIG-NUM"/>
          <w:rFonts w:ascii="Times New Roman" w:eastAsia="Times New Roman" w:hAnsi="Times New Roman" w:cs="Times New Roman"/>
          <w:b/>
          <w:bCs/>
          <w:sz w:val="24"/>
          <w:szCs w:val="24"/>
        </w:rPr>
        <w:t>:</w:t>
      </w:r>
      <w:r w:rsidRPr="00E95765">
        <w:rPr>
          <w:rFonts w:ascii="Times New Roman" w:eastAsia="Times New Roman" w:hAnsi="Times New Roman" w:cs="Times New Roman"/>
          <w:b/>
          <w:bCs/>
          <w:sz w:val="24"/>
          <w:szCs w:val="24"/>
        </w:rPr>
        <w:t xml:space="preserve"> Cellular Therapy Timeline</w:t>
      </w:r>
    </w:p>
    <w:p w:rsidR="00D80BD4" w:rsidRPr="00E95765" w:rsidRDefault="00C40BF9" w:rsidP="006D0014">
      <w:pPr>
        <w:pStyle w:val="FIG-LEG"/>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Consideration of cellular therapy requires complex coordination between patient, disease centers, manufacturing labs, cell therapy clinical team (outpatient and inpatient), and study sponsor (for clinical trial patients). Timeline illustrates key stages of patient evaluation and treatment for cellular immunotherapies, including collection,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and infusion with special note of ensuring active eligibility assessments at critical time points including baseline screening, pre-cellular procurement, pre-</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and prior to cellular therapy administration. LD</w:t>
      </w:r>
      <w:r w:rsidRPr="00E95765">
        <w:rPr>
          <w:rFonts w:eastAsia="Times New Roman" w:cs="Times New Roman"/>
        </w:rPr>
        <w:t>=</w:t>
      </w:r>
      <w:r w:rsidRPr="00E95765">
        <w:rPr>
          <w:rFonts w:ascii="Times New Roman" w:eastAsia="Times New Roman" w:hAnsi="Times New Roman" w:cs="Times New Roman"/>
          <w:sz w:val="24"/>
          <w:szCs w:val="24"/>
        </w:rPr>
        <w:t xml:space="preserve">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xml:space="preserve">; IEC </w:t>
      </w:r>
      <w:r w:rsidRPr="00E95765">
        <w:rPr>
          <w:rFonts w:eastAsia="Times New Roman" w:cs="Times New Roman"/>
        </w:rPr>
        <w:t>=</w:t>
      </w:r>
      <w:r w:rsidRPr="00E95765">
        <w:rPr>
          <w:rFonts w:ascii="Times New Roman" w:eastAsia="Times New Roman" w:hAnsi="Times New Roman" w:cs="Times New Roman"/>
          <w:sz w:val="24"/>
          <w:szCs w:val="24"/>
        </w:rPr>
        <w:t xml:space="preserve"> Immune Effector Cell</w:t>
      </w:r>
    </w:p>
    <w:p w:rsidR="00D80BD4" w:rsidRPr="00E95765" w:rsidRDefault="00C40BF9">
      <w:pPr>
        <w:spacing w:before="100" w:beforeAutospacing="1" w:after="100" w:afterAutospacing="1" w:line="480" w:lineRule="auto"/>
        <w:rPr>
          <w:sz w:val="24"/>
          <w:szCs w:val="24"/>
          <w:u w:val="single"/>
        </w:rPr>
      </w:pPr>
      <w:r w:rsidRPr="00E95765">
        <w:rPr>
          <w:sz w:val="24"/>
          <w:szCs w:val="24"/>
          <w:u w:val="single"/>
        </w:rPr>
        <w:br w:type="page"/>
      </w:r>
    </w:p>
    <w:p w:rsidR="00D80BD4" w:rsidRPr="00E95765" w:rsidRDefault="00C40BF9" w:rsidP="00996B16">
      <w:pPr>
        <w:pStyle w:val="PMI"/>
      </w:pPr>
      <w:r w:rsidRPr="00E95765">
        <w:rPr>
          <w:rFonts w:ascii="Times New Roman" w:eastAsia="Times New Roman" w:hAnsi="Times New Roman" w:cs="Times New Roman"/>
          <w:b/>
          <w:bCs/>
          <w:sz w:val="24"/>
          <w:szCs w:val="24"/>
        </w:rPr>
        <w:lastRenderedPageBreak/>
        <w:t>&lt;TABLES&gt;</w:t>
      </w:r>
    </w:p>
    <w:p w:rsidR="00D80BD4" w:rsidRPr="00E95765" w:rsidRDefault="00E95765" w:rsidP="00996B16">
      <w:pPr>
        <w:pStyle w:val="T1"/>
        <w:rPr>
          <w:highlight w:val="yellow"/>
        </w:rPr>
      </w:pPr>
      <w:r w:rsidRPr="00E95765">
        <w:rPr>
          <w:rStyle w:val="Tag"/>
          <w:rFonts w:ascii="Times New Roman" w:eastAsia="Times New Roman" w:hAnsi="Times New Roman" w:cs="Times New Roman"/>
          <w:b/>
          <w:bCs/>
          <w:sz w:val="24"/>
          <w:szCs w:val="24"/>
          <w:highlight w:val="yellow"/>
        </w:rPr>
        <w:t>&lt;</w:t>
      </w:r>
      <w:r w:rsidR="00C40BF9" w:rsidRPr="00E95765">
        <w:rPr>
          <w:rStyle w:val="Tag"/>
          <w:rFonts w:ascii="Times New Roman" w:eastAsia="Times New Roman" w:hAnsi="Times New Roman" w:cs="Times New Roman"/>
          <w:b/>
          <w:bCs/>
          <w:sz w:val="24"/>
          <w:szCs w:val="24"/>
          <w:highlight w:val="yellow"/>
        </w:rPr>
        <w:t>TAB5</w:t>
      </w:r>
      <w:r w:rsidRPr="00E95765">
        <w:rPr>
          <w:rStyle w:val="Tag"/>
          <w:rFonts w:ascii="Times New Roman" w:eastAsia="Times New Roman" w:hAnsi="Times New Roman" w:cs="Times New Roman"/>
          <w:b/>
          <w:bCs/>
          <w:sz w:val="24"/>
          <w:szCs w:val="24"/>
          <w:highlight w:val="yellow"/>
        </w:rPr>
        <w:t>.1&gt;</w:t>
      </w:r>
      <w:r w:rsidR="00C40BF9" w:rsidRPr="00E95765">
        <w:rPr>
          <w:rStyle w:val="TN"/>
          <w:rFonts w:ascii="Times New Roman" w:eastAsia="Times New Roman" w:hAnsi="Times New Roman" w:cs="Times New Roman"/>
          <w:b/>
          <w:bCs/>
          <w:sz w:val="24"/>
          <w:szCs w:val="24"/>
          <w:highlight w:val="yellow"/>
        </w:rPr>
        <w:t>Table</w:t>
      </w:r>
      <w:r w:rsidRPr="00E95765">
        <w:rPr>
          <w:rStyle w:val="TN"/>
          <w:rFonts w:ascii="Times New Roman" w:eastAsia="Times New Roman" w:hAnsi="Times New Roman" w:cs="Times New Roman"/>
          <w:b/>
          <w:bCs/>
          <w:sz w:val="24"/>
          <w:szCs w:val="24"/>
          <w:highlight w:val="yellow"/>
        </w:rPr>
        <w:t xml:space="preserve"> </w:t>
      </w:r>
      <w:r w:rsidRPr="00E95765">
        <w:rPr>
          <w:rStyle w:val="TN"/>
          <w:rFonts w:ascii="Times New Roman" w:eastAsia="Times New Roman" w:hAnsi="Times New Roman" w:cs="Times New Roman"/>
          <w:b/>
          <w:bCs/>
          <w:sz w:val="24"/>
          <w:szCs w:val="24"/>
          <w:highlight w:val="green"/>
        </w:rPr>
        <w:t>5.1:</w:t>
      </w:r>
      <w:r w:rsidRPr="00E95765">
        <w:rPr>
          <w:rFonts w:ascii="Times New Roman" w:eastAsia="Times New Roman" w:hAnsi="Times New Roman" w:cs="Times New Roman"/>
          <w:b/>
          <w:bCs/>
          <w:sz w:val="24"/>
          <w:szCs w:val="24"/>
          <w:highlight w:val="yellow"/>
        </w:rPr>
        <w:t xml:space="preserve"> </w:t>
      </w:r>
      <w:r w:rsidR="00C40BF9" w:rsidRPr="00E95765">
        <w:rPr>
          <w:rFonts w:ascii="Times New Roman" w:eastAsia="Times New Roman" w:hAnsi="Times New Roman" w:cs="Times New Roman"/>
          <w:b/>
          <w:bCs/>
          <w:sz w:val="24"/>
          <w:szCs w:val="24"/>
          <w:highlight w:val="yellow"/>
        </w:rPr>
        <w:t xml:space="preserve">Informed Consent Components </w:t>
      </w:r>
      <w:proofErr w:type="gramStart"/>
      <w:r w:rsidRPr="00E95765">
        <w:rPr>
          <w:rFonts w:ascii="Times New Roman" w:eastAsia="Times New Roman" w:hAnsi="Times New Roman" w:cs="Times New Roman"/>
          <w:b/>
          <w:bCs/>
          <w:sz w:val="24"/>
          <w:szCs w:val="24"/>
          <w:highlight w:val="green"/>
        </w:rPr>
        <w:t>For</w:t>
      </w:r>
      <w:proofErr w:type="gramEnd"/>
      <w:r w:rsidRPr="00E95765">
        <w:rPr>
          <w:rFonts w:ascii="Times New Roman" w:eastAsia="Times New Roman" w:hAnsi="Times New Roman" w:cs="Times New Roman"/>
          <w:b/>
          <w:bCs/>
          <w:sz w:val="24"/>
          <w:szCs w:val="24"/>
          <w:highlight w:val="yellow"/>
        </w:rPr>
        <w:t xml:space="preserve"> </w:t>
      </w:r>
      <w:r w:rsidR="00C40BF9" w:rsidRPr="00E95765">
        <w:rPr>
          <w:rFonts w:ascii="Times New Roman" w:eastAsia="Times New Roman" w:hAnsi="Times New Roman" w:cs="Times New Roman"/>
          <w:b/>
          <w:bCs/>
          <w:sz w:val="24"/>
          <w:szCs w:val="24"/>
          <w:highlight w:val="yellow"/>
        </w:rPr>
        <w:t>Cellular Therapies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3400"/>
        <w:gridCol w:w="3769"/>
      </w:tblGrid>
      <w:tr w:rsidR="00D80BD4" w:rsidRPr="00E95765">
        <w:trPr>
          <w:tblHeader/>
          <w:tblCellSpacing w:w="15" w:type="dxa"/>
        </w:trPr>
        <w:tc>
          <w:tcPr>
            <w:tcW w:w="0" w:type="auto"/>
            <w:vAlign w:val="center"/>
            <w:hideMark/>
          </w:tcPr>
          <w:p w:rsidR="00D80BD4" w:rsidRPr="00E95765" w:rsidRDefault="00C40BF9">
            <w:pPr>
              <w:pStyle w:val="T2"/>
              <w:spacing w:after="0" w:line="480" w:lineRule="auto"/>
              <w:jc w:val="center"/>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Component</w:t>
            </w:r>
          </w:p>
        </w:tc>
        <w:tc>
          <w:tcPr>
            <w:tcW w:w="0" w:type="auto"/>
            <w:vAlign w:val="center"/>
            <w:hideMark/>
          </w:tcPr>
          <w:p w:rsidR="00D80BD4" w:rsidRPr="00E95765" w:rsidRDefault="00C40BF9">
            <w:pPr>
              <w:pStyle w:val="T2"/>
              <w:spacing w:after="0" w:line="480" w:lineRule="auto"/>
              <w:jc w:val="center"/>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Description</w:t>
            </w:r>
          </w:p>
        </w:tc>
        <w:tc>
          <w:tcPr>
            <w:tcW w:w="0" w:type="auto"/>
            <w:vAlign w:val="center"/>
            <w:hideMark/>
          </w:tcPr>
          <w:p w:rsidR="00D80BD4" w:rsidRPr="00E95765" w:rsidRDefault="00C40BF9">
            <w:pPr>
              <w:pStyle w:val="T2"/>
              <w:spacing w:after="0" w:line="480" w:lineRule="auto"/>
              <w:jc w:val="center"/>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Collective Clinical Risks</w:t>
            </w:r>
          </w:p>
        </w:tc>
      </w:tr>
      <w:tr w:rsidR="00D80BD4" w:rsidRPr="00E95765">
        <w:trPr>
          <w:tblCellSpacing w:w="15" w:type="dxa"/>
        </w:trPr>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Procedures</w:t>
            </w:r>
          </w:p>
        </w:tc>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Biopsies, PICC/CVC placement, </w:t>
            </w:r>
            <w:proofErr w:type="spellStart"/>
            <w:r w:rsidRPr="00E95765">
              <w:rPr>
                <w:rFonts w:ascii="Times New Roman" w:eastAsia="Times New Roman" w:hAnsi="Times New Roman" w:cs="Times New Roman"/>
                <w:sz w:val="24"/>
                <w:szCs w:val="24"/>
              </w:rPr>
              <w:t>leukapheresis</w:t>
            </w:r>
            <w:proofErr w:type="spellEnd"/>
            <w:r w:rsidRPr="00E95765">
              <w:rPr>
                <w:rFonts w:ascii="Times New Roman" w:eastAsia="Times New Roman" w:hAnsi="Times New Roman" w:cs="Times New Roman"/>
                <w:sz w:val="24"/>
                <w:szCs w:val="24"/>
              </w:rPr>
              <w:t>, TIL harvesting (varies by therapy type)</w:t>
            </w:r>
          </w:p>
        </w:tc>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Potential for bleeding, clotting, infections, vessel, nerve, or anatomical damage, poor wound healing, surgical scarring</w:t>
            </w:r>
          </w:p>
        </w:tc>
      </w:tr>
      <w:tr w:rsidR="00D80BD4" w:rsidRPr="00E95765">
        <w:trPr>
          <w:tblCellSpacing w:w="15" w:type="dxa"/>
        </w:trPr>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Therapy &amp; Target-associated</w:t>
            </w:r>
          </w:p>
        </w:tc>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cell therapy-related, adjuvant cytokine-based (high-dose I</w:t>
            </w:r>
            <w:r w:rsidRPr="00E95765">
              <w:rPr>
                <w:rFonts w:ascii="Times New Roman" w:eastAsia="Times New Roman" w:hAnsi="Times New Roman" w:cs="Times New Roman"/>
                <w:sz w:val="24"/>
                <w:szCs w:val="24"/>
                <w:highlight w:val="green"/>
              </w:rPr>
              <w:t>L-</w:t>
            </w:r>
            <w:r w:rsidRPr="00E95765">
              <w:rPr>
                <w:rFonts w:ascii="Times New Roman" w:eastAsia="Times New Roman" w:hAnsi="Times New Roman" w:cs="Times New Roman"/>
                <w:sz w:val="24"/>
                <w:szCs w:val="24"/>
              </w:rPr>
              <w:t>2)</w:t>
            </w:r>
          </w:p>
        </w:tc>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proofErr w:type="spellStart"/>
            <w:r w:rsidRPr="00E95765">
              <w:rPr>
                <w:rFonts w:ascii="Times New Roman" w:eastAsia="Times New Roman" w:hAnsi="Times New Roman" w:cs="Times New Roman"/>
                <w:sz w:val="24"/>
                <w:szCs w:val="24"/>
              </w:rPr>
              <w:t>Cytopenias</w:t>
            </w:r>
            <w:proofErr w:type="spellEnd"/>
            <w:r w:rsidRPr="00E95765">
              <w:rPr>
                <w:rFonts w:ascii="Times New Roman" w:eastAsia="Times New Roman" w:hAnsi="Times New Roman" w:cs="Times New Roman"/>
                <w:sz w:val="24"/>
                <w:szCs w:val="24"/>
              </w:rPr>
              <w:t xml:space="preserve"> requiring transfusion support, infectious risks, bleeding; severe </w:t>
            </w:r>
            <w:proofErr w:type="spellStart"/>
            <w:r w:rsidRPr="00E95765">
              <w:rPr>
                <w:rFonts w:ascii="Times New Roman" w:eastAsia="Times New Roman" w:hAnsi="Times New Roman" w:cs="Times New Roman"/>
                <w:sz w:val="24"/>
                <w:szCs w:val="24"/>
              </w:rPr>
              <w:t>multiorgan</w:t>
            </w:r>
            <w:proofErr w:type="spellEnd"/>
            <w:r w:rsidRPr="00E95765">
              <w:rPr>
                <w:rFonts w:ascii="Times New Roman" w:eastAsia="Times New Roman" w:hAnsi="Times New Roman" w:cs="Times New Roman"/>
                <w:sz w:val="24"/>
                <w:szCs w:val="24"/>
              </w:rPr>
              <w:t xml:space="preserve"> dysfunction from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/CRS, ICANS, HLH, potential for o</w:t>
            </w:r>
            <w:r w:rsidRPr="00E95765">
              <w:rPr>
                <w:rFonts w:ascii="Times New Roman" w:eastAsia="Times New Roman" w:hAnsi="Times New Roman" w:cs="Times New Roman"/>
                <w:sz w:val="24"/>
                <w:szCs w:val="24"/>
                <w:highlight w:val="green"/>
              </w:rPr>
              <w:t>n-</w:t>
            </w:r>
            <w:r w:rsidRPr="00E95765">
              <w:rPr>
                <w:rFonts w:ascii="Times New Roman" w:eastAsia="Times New Roman" w:hAnsi="Times New Roman" w:cs="Times New Roman"/>
                <w:sz w:val="24"/>
                <w:szCs w:val="24"/>
              </w:rPr>
              <w:t>target/off-tumor effects, ICU requirements, fatality</w:t>
            </w:r>
          </w:p>
        </w:tc>
      </w:tr>
      <w:tr w:rsidR="00D80BD4" w:rsidRPr="00E95765">
        <w:trPr>
          <w:tblCellSpacing w:w="15" w:type="dxa"/>
        </w:trPr>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Logistics/Quality of Life</w:t>
            </w:r>
          </w:p>
        </w:tc>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Lodging requirements (within 1–2 hours of treatment center for 2-4 weeks), 24/7 caregiver support, protracted hospitalization needs, restriction on activity (e.g., driving restrictions due to ICANS), frequent clinic visits</w:t>
            </w:r>
          </w:p>
        </w:tc>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May impose psychosocial challenges, financial toxicity, social fatigue, compromise goals of care</w:t>
            </w:r>
          </w:p>
        </w:tc>
      </w:tr>
      <w:tr w:rsidR="00D80BD4" w:rsidRPr="00E95765">
        <w:trPr>
          <w:tblCellSpacing w:w="15" w:type="dxa"/>
        </w:trPr>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Manufacturing Risks</w:t>
            </w:r>
          </w:p>
        </w:tc>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Manufacturing delays, manufacturing failure, suboptimal cell therapy product</w:t>
            </w:r>
          </w:p>
        </w:tc>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Potential for disease progression while awaiting product and/or fatality due to therapeutic delay</w:t>
            </w:r>
          </w:p>
        </w:tc>
      </w:tr>
      <w:tr w:rsidR="00D80BD4" w:rsidRPr="00E95765">
        <w:trPr>
          <w:tblCellSpacing w:w="15" w:type="dxa"/>
        </w:trPr>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lastRenderedPageBreak/>
              <w:t>Outcome Risks</w:t>
            </w:r>
          </w:p>
        </w:tc>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Ineligibility from therapy, treatment failure, debilitating toxicities</w:t>
            </w:r>
          </w:p>
        </w:tc>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May shorten survival due to disease progression or treatment complications</w:t>
            </w:r>
          </w:p>
        </w:tc>
      </w:tr>
      <w:tr w:rsidR="00D80BD4" w:rsidRPr="00E95765">
        <w:trPr>
          <w:tblCellSpacing w:w="15" w:type="dxa"/>
        </w:trPr>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Long-Term Risk</w:t>
            </w:r>
          </w:p>
        </w:tc>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Potential for </w:t>
            </w:r>
            <w:proofErr w:type="spellStart"/>
            <w:r w:rsidRPr="00E95765">
              <w:rPr>
                <w:rFonts w:ascii="Times New Roman" w:eastAsia="Times New Roman" w:hAnsi="Times New Roman" w:cs="Times New Roman"/>
                <w:sz w:val="24"/>
                <w:szCs w:val="24"/>
              </w:rPr>
              <w:t>genotoxicity</w:t>
            </w:r>
            <w:proofErr w:type="spellEnd"/>
          </w:p>
        </w:tc>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Rare risk requiring close follow-up</w:t>
            </w:r>
          </w:p>
        </w:tc>
      </w:tr>
      <w:tr w:rsidR="00D80BD4" w:rsidRPr="00E95765">
        <w:trPr>
          <w:tblCellSpacing w:w="15" w:type="dxa"/>
        </w:trPr>
        <w:tc>
          <w:tcPr>
            <w:tcW w:w="0" w:type="auto"/>
            <w:vAlign w:val="center"/>
            <w:hideMark/>
          </w:tcPr>
          <w:p w:rsidR="00D80BD4" w:rsidRPr="00E95765" w:rsidRDefault="00C40BF9">
            <w:pPr>
              <w:pStyle w:val="T"/>
              <w:spacing w:after="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i/>
                <w:iCs/>
                <w:sz w:val="24"/>
                <w:szCs w:val="24"/>
              </w:rPr>
              <w:t>Risks are general and vary by therapy type.</w:t>
            </w:r>
          </w:p>
        </w:tc>
        <w:tc>
          <w:tcPr>
            <w:tcW w:w="0" w:type="auto"/>
            <w:vAlign w:val="center"/>
            <w:hideMark/>
          </w:tcPr>
          <w:p w:rsidR="00D80BD4" w:rsidRPr="00E95765" w:rsidRDefault="00D80BD4">
            <w:pPr>
              <w:pStyle w:val="T"/>
              <w:spacing w:after="0" w:line="480" w:lineRule="auto"/>
              <w:rPr>
                <w:rFonts w:ascii="Times New Roman" w:eastAsia="Times New Roman" w:hAnsi="Times New Roman" w:cs="Times New Roman"/>
                <w:sz w:val="24"/>
                <w:szCs w:val="24"/>
              </w:rPr>
            </w:pPr>
          </w:p>
        </w:tc>
        <w:tc>
          <w:tcPr>
            <w:tcW w:w="0" w:type="auto"/>
            <w:vAlign w:val="center"/>
            <w:hideMark/>
          </w:tcPr>
          <w:p w:rsidR="00D80BD4" w:rsidRPr="00E95765" w:rsidRDefault="00D80BD4">
            <w:pPr>
              <w:pStyle w:val="T"/>
              <w:spacing w:after="0" w:line="480" w:lineRule="auto"/>
              <w:rPr>
                <w:rFonts w:ascii="Times New Roman" w:eastAsia="Times New Roman" w:hAnsi="Times New Roman" w:cs="Times New Roman"/>
                <w:sz w:val="24"/>
                <w:szCs w:val="24"/>
              </w:rPr>
            </w:pPr>
          </w:p>
        </w:tc>
      </w:tr>
    </w:tbl>
    <w:p w:rsidR="00D80BD4" w:rsidRPr="00E95765" w:rsidRDefault="00C40BF9" w:rsidP="00C10167">
      <w:pPr>
        <w:pStyle w:val="PMI"/>
      </w:pPr>
      <w:r w:rsidRPr="00E95765">
        <w:rPr>
          <w:rStyle w:val="Tag"/>
          <w:rFonts w:ascii="Times New Roman" w:hAnsi="Times New Roman" w:cs="Times New Roman"/>
          <w:sz w:val="24"/>
          <w:szCs w:val="24"/>
        </w:rPr>
        <w:t>&lt;/</w:t>
      </w:r>
      <w:bookmarkStart w:id="3" w:name="bm_tab_cite_TAB5_1"/>
      <w:sdt>
        <w:sdtPr>
          <w:rPr>
            <w:rStyle w:val="Tag"/>
            <w:rFonts w:ascii="Times New Roman" w:hAnsi="Times New Roman" w:cs="Times New Roman"/>
            <w:sz w:val="24"/>
            <w:szCs w:val="24"/>
          </w:rPr>
          <w:alias w:val="Table Citation"/>
          <w:tag w:val="tab_cite"/>
          <w:id w:val="2024124602"/>
          <w:placeholder>
            <w:docPart w:val="DefaultPlaceholder_1082065158"/>
          </w:placeholder>
        </w:sdtPr>
        <w:sdtEndPr>
          <w:rPr>
            <w:rStyle w:val="Tag"/>
          </w:rPr>
        </w:sdtEndPr>
        <w:sdtContent>
          <w:r w:rsidRPr="00E95765">
            <w:rPr>
              <w:rStyle w:val="Tag"/>
              <w:rFonts w:ascii="Times New Roman" w:hAnsi="Times New Roman" w:cs="Times New Roman"/>
              <w:sz w:val="24"/>
              <w:szCs w:val="24"/>
            </w:rPr>
            <w:t>TAB5.1</w:t>
          </w:r>
          <w:bookmarkEnd w:id="3"/>
        </w:sdtContent>
      </w:sdt>
      <w:r w:rsidRPr="00E95765">
        <w:rPr>
          <w:rStyle w:val="Tag"/>
          <w:rFonts w:ascii="Times New Roman" w:hAnsi="Times New Roman" w:cs="Times New Roman"/>
          <w:sz w:val="24"/>
          <w:szCs w:val="24"/>
        </w:rPr>
        <w:t>&gt;</w:t>
      </w:r>
    </w:p>
    <w:p w:rsidR="00D80BD4" w:rsidRPr="00E95765" w:rsidRDefault="00C40BF9">
      <w:pPr>
        <w:rPr>
          <w:sz w:val="24"/>
          <w:szCs w:val="24"/>
        </w:rPr>
      </w:pPr>
      <w:r w:rsidRPr="00E95765">
        <w:rPr>
          <w:sz w:val="24"/>
          <w:szCs w:val="24"/>
        </w:rPr>
        <w:br w:type="page"/>
      </w:r>
    </w:p>
    <w:p w:rsidR="00D80BD4" w:rsidRPr="00E95765" w:rsidRDefault="00E95765" w:rsidP="00996B16">
      <w:pPr>
        <w:pStyle w:val="T1"/>
        <w:rPr>
          <w:rFonts w:ascii="Times New Roman" w:eastAsia="Times New Roman" w:hAnsi="Times New Roman" w:cs="Times New Roman"/>
          <w:b/>
          <w:bCs/>
          <w:sz w:val="24"/>
          <w:szCs w:val="24"/>
          <w:highlight w:val="yellow"/>
        </w:rPr>
      </w:pPr>
      <w:r w:rsidRPr="00E95765">
        <w:rPr>
          <w:rStyle w:val="Tag"/>
          <w:rFonts w:ascii="Times New Roman" w:eastAsia="Times New Roman" w:hAnsi="Times New Roman" w:cs="Times New Roman"/>
          <w:b/>
          <w:bCs/>
          <w:sz w:val="24"/>
          <w:szCs w:val="24"/>
          <w:highlight w:val="yellow"/>
        </w:rPr>
        <w:lastRenderedPageBreak/>
        <w:t>&lt;</w:t>
      </w:r>
      <w:r w:rsidR="00C40BF9" w:rsidRPr="00E95765">
        <w:rPr>
          <w:rStyle w:val="Tag"/>
          <w:rFonts w:ascii="Times New Roman" w:eastAsia="Times New Roman" w:hAnsi="Times New Roman" w:cs="Times New Roman"/>
          <w:b/>
          <w:bCs/>
          <w:sz w:val="24"/>
          <w:szCs w:val="24"/>
          <w:highlight w:val="yellow"/>
        </w:rPr>
        <w:t>TAB5</w:t>
      </w:r>
      <w:r w:rsidRPr="00E95765">
        <w:rPr>
          <w:rStyle w:val="Tag"/>
          <w:rFonts w:ascii="Times New Roman" w:eastAsia="Times New Roman" w:hAnsi="Times New Roman" w:cs="Times New Roman"/>
          <w:b/>
          <w:bCs/>
          <w:sz w:val="24"/>
          <w:szCs w:val="24"/>
          <w:highlight w:val="yellow"/>
        </w:rPr>
        <w:t>.2&gt;</w:t>
      </w:r>
      <w:r w:rsidR="00C40BF9" w:rsidRPr="00E95765">
        <w:rPr>
          <w:rStyle w:val="TN"/>
          <w:rFonts w:ascii="Times New Roman" w:eastAsia="Times New Roman" w:hAnsi="Times New Roman" w:cs="Times New Roman"/>
          <w:b/>
          <w:bCs/>
          <w:sz w:val="24"/>
          <w:szCs w:val="24"/>
          <w:highlight w:val="yellow"/>
        </w:rPr>
        <w:t>Table</w:t>
      </w:r>
      <w:r w:rsidRPr="00E95765">
        <w:rPr>
          <w:rStyle w:val="TN"/>
          <w:rFonts w:ascii="Times New Roman" w:eastAsia="Times New Roman" w:hAnsi="Times New Roman" w:cs="Times New Roman"/>
          <w:b/>
          <w:bCs/>
          <w:sz w:val="24"/>
          <w:szCs w:val="24"/>
          <w:highlight w:val="yellow"/>
        </w:rPr>
        <w:t xml:space="preserve"> </w:t>
      </w:r>
      <w:r w:rsidRPr="00E95765">
        <w:rPr>
          <w:rStyle w:val="TN"/>
          <w:rFonts w:ascii="Times New Roman" w:eastAsia="Times New Roman" w:hAnsi="Times New Roman" w:cs="Times New Roman"/>
          <w:b/>
          <w:bCs/>
          <w:sz w:val="24"/>
          <w:szCs w:val="24"/>
          <w:highlight w:val="green"/>
        </w:rPr>
        <w:t>5.2:</w:t>
      </w:r>
      <w:r w:rsidRPr="00E95765">
        <w:rPr>
          <w:rFonts w:ascii="Times New Roman" w:eastAsia="Times New Roman" w:hAnsi="Times New Roman" w:cs="Times New Roman"/>
          <w:b/>
          <w:bCs/>
          <w:sz w:val="24"/>
          <w:szCs w:val="24"/>
          <w:highlight w:val="yellow"/>
        </w:rPr>
        <w:t xml:space="preserve"> </w:t>
      </w:r>
      <w:r w:rsidR="00C40BF9" w:rsidRPr="00E95765">
        <w:rPr>
          <w:rFonts w:ascii="Times New Roman" w:eastAsia="Times New Roman" w:hAnsi="Times New Roman" w:cs="Times New Roman"/>
          <w:b/>
          <w:bCs/>
          <w:sz w:val="24"/>
          <w:szCs w:val="24"/>
          <w:highlight w:val="yellow"/>
        </w:rPr>
        <w:t xml:space="preserve">Principles </w:t>
      </w:r>
      <w:proofErr w:type="gramStart"/>
      <w:r w:rsidRPr="00E95765">
        <w:rPr>
          <w:rFonts w:ascii="Times New Roman" w:eastAsia="Times New Roman" w:hAnsi="Times New Roman" w:cs="Times New Roman"/>
          <w:b/>
          <w:bCs/>
          <w:sz w:val="24"/>
          <w:szCs w:val="24"/>
          <w:highlight w:val="green"/>
        </w:rPr>
        <w:t>Of</w:t>
      </w:r>
      <w:proofErr w:type="gramEnd"/>
      <w:r w:rsidRPr="00E95765">
        <w:rPr>
          <w:rFonts w:ascii="Times New Roman" w:eastAsia="Times New Roman" w:hAnsi="Times New Roman" w:cs="Times New Roman"/>
          <w:b/>
          <w:bCs/>
          <w:sz w:val="24"/>
          <w:szCs w:val="24"/>
          <w:highlight w:val="yellow"/>
        </w:rPr>
        <w:t xml:space="preserve"> </w:t>
      </w:r>
      <w:r w:rsidR="00C40BF9" w:rsidRPr="00E95765">
        <w:rPr>
          <w:rFonts w:ascii="Times New Roman" w:eastAsia="Times New Roman" w:hAnsi="Times New Roman" w:cs="Times New Roman"/>
          <w:b/>
          <w:bCs/>
          <w:sz w:val="24"/>
          <w:szCs w:val="24"/>
          <w:highlight w:val="yellow"/>
        </w:rPr>
        <w:t>Cellular Immunotherapy Selection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2212"/>
        <w:gridCol w:w="1971"/>
        <w:gridCol w:w="3111"/>
      </w:tblGrid>
      <w:tr w:rsidR="00D80BD4" w:rsidRPr="00E95765">
        <w:trPr>
          <w:tblHeader/>
          <w:tblCellSpacing w:w="15" w:type="dxa"/>
        </w:trPr>
        <w:tc>
          <w:tcPr>
            <w:tcW w:w="0" w:type="auto"/>
            <w:vAlign w:val="center"/>
            <w:hideMark/>
          </w:tcPr>
          <w:p w:rsidR="00D80BD4" w:rsidRPr="00E95765" w:rsidRDefault="00C40BF9">
            <w:pPr>
              <w:pStyle w:val="T2"/>
              <w:spacing w:before="100" w:beforeAutospacing="1" w:after="100" w:afterAutospacing="1"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Principle</w:t>
            </w:r>
          </w:p>
        </w:tc>
        <w:tc>
          <w:tcPr>
            <w:tcW w:w="0" w:type="auto"/>
            <w:vAlign w:val="center"/>
            <w:hideMark/>
          </w:tcPr>
          <w:p w:rsidR="00D80BD4" w:rsidRPr="00E95765" w:rsidRDefault="00C40BF9">
            <w:pPr>
              <w:pStyle w:val="T2"/>
              <w:spacing w:before="100" w:beforeAutospacing="1" w:after="100" w:afterAutospacing="1"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Key Factors</w:t>
            </w:r>
          </w:p>
        </w:tc>
        <w:tc>
          <w:tcPr>
            <w:tcW w:w="0" w:type="auto"/>
            <w:vAlign w:val="center"/>
            <w:hideMark/>
          </w:tcPr>
          <w:p w:rsidR="00D80BD4" w:rsidRPr="00E95765" w:rsidRDefault="00C40BF9">
            <w:pPr>
              <w:pStyle w:val="T2"/>
              <w:spacing w:before="100" w:beforeAutospacing="1" w:after="100" w:afterAutospacing="1"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Therapy Options</w:t>
            </w:r>
          </w:p>
        </w:tc>
        <w:tc>
          <w:tcPr>
            <w:tcW w:w="0" w:type="auto"/>
            <w:vAlign w:val="center"/>
            <w:hideMark/>
          </w:tcPr>
          <w:p w:rsidR="00D80BD4" w:rsidRPr="00E95765" w:rsidRDefault="00C40BF9">
            <w:pPr>
              <w:pStyle w:val="T2"/>
              <w:spacing w:before="100" w:beforeAutospacing="1" w:after="100" w:afterAutospacing="1"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Key Considerations</w:t>
            </w:r>
          </w:p>
        </w:tc>
      </w:tr>
      <w:tr w:rsidR="00D80BD4" w:rsidRPr="00E95765">
        <w:trPr>
          <w:tblCellSpacing w:w="15" w:type="dxa"/>
        </w:trPr>
        <w:tc>
          <w:tcPr>
            <w:tcW w:w="0" w:type="auto"/>
            <w:vAlign w:val="center"/>
            <w:hideMark/>
          </w:tcPr>
          <w:p w:rsidR="00D80BD4" w:rsidRPr="00E95765" w:rsidRDefault="00C40BF9">
            <w:pPr>
              <w:pStyle w:val="T"/>
              <w:spacing w:before="100" w:beforeAutospacing="1" w:after="100" w:afterAutospacing="1"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Patient Fitness &amp; Comorbidities</w:t>
            </w:r>
          </w:p>
        </w:tc>
        <w:tc>
          <w:tcPr>
            <w:tcW w:w="0" w:type="auto"/>
            <w:vAlign w:val="center"/>
            <w:hideMark/>
          </w:tcPr>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Frailty (e.g., age &gt;70, </w:t>
            </w:r>
            <w:proofErr w:type="spellStart"/>
            <w:r w:rsidRPr="00E95765">
              <w:rPr>
                <w:rFonts w:ascii="Times New Roman" w:eastAsia="Times New Roman" w:hAnsi="Times New Roman" w:cs="Times New Roman"/>
                <w:sz w:val="24"/>
                <w:szCs w:val="24"/>
              </w:rPr>
              <w:t>sarcopenia</w:t>
            </w:r>
            <w:proofErr w:type="spellEnd"/>
            <w:r w:rsidRPr="00E95765">
              <w:rPr>
                <w:rFonts w:ascii="Times New Roman" w:eastAsia="Times New Roman" w:hAnsi="Times New Roman" w:cs="Times New Roman"/>
                <w:sz w:val="24"/>
                <w:szCs w:val="24"/>
              </w:rPr>
              <w:t>, cognitive impairment)</w:t>
            </w:r>
          </w:p>
        </w:tc>
        <w:tc>
          <w:tcPr>
            <w:tcW w:w="0" w:type="auto"/>
            <w:vAlign w:val="center"/>
            <w:hideMark/>
          </w:tcPr>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 </w:t>
            </w:r>
            <w:proofErr w:type="spellStart"/>
            <w:r w:rsidRPr="00E95765">
              <w:rPr>
                <w:rFonts w:ascii="Times New Roman" w:eastAsia="Times New Roman" w:hAnsi="Times New Roman" w:cs="Times New Roman"/>
                <w:sz w:val="24"/>
                <w:szCs w:val="24"/>
              </w:rPr>
              <w:t>BiTEs</w:t>
            </w:r>
            <w:proofErr w:type="spellEnd"/>
          </w:p>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- 4-1BB CAR T</w:t>
            </w:r>
          </w:p>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CD28 CAR T (less preferred)</w:t>
            </w:r>
          </w:p>
        </w:tc>
        <w:tc>
          <w:tcPr>
            <w:tcW w:w="0" w:type="auto"/>
            <w:vAlign w:val="center"/>
            <w:hideMark/>
          </w:tcPr>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 </w:t>
            </w:r>
            <w:proofErr w:type="spellStart"/>
            <w:r w:rsidRPr="00E95765">
              <w:rPr>
                <w:rFonts w:ascii="Times New Roman" w:eastAsia="Times New Roman" w:hAnsi="Times New Roman" w:cs="Times New Roman"/>
                <w:sz w:val="24"/>
                <w:szCs w:val="24"/>
              </w:rPr>
              <w:t>BiTEs</w:t>
            </w:r>
            <w:proofErr w:type="spellEnd"/>
            <w:r w:rsidRPr="00E95765">
              <w:rPr>
                <w:rFonts w:ascii="Times New Roman" w:eastAsia="Times New Roman" w:hAnsi="Times New Roman" w:cs="Times New Roman"/>
                <w:sz w:val="24"/>
                <w:szCs w:val="24"/>
              </w:rPr>
              <w:t xml:space="preserve"> preferred for milder toxicity</w:t>
            </w:r>
          </w:p>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- 4-1BB CAR T for reduced CRS risk - Less intensive </w:t>
            </w:r>
            <w:proofErr w:type="spellStart"/>
            <w:r w:rsidRPr="00E95765">
              <w:rPr>
                <w:rFonts w:ascii="Times New Roman" w:eastAsia="Times New Roman" w:hAnsi="Times New Roman" w:cs="Times New Roman"/>
                <w:sz w:val="24"/>
                <w:szCs w:val="24"/>
              </w:rPr>
              <w:t>lymphodepletion</w:t>
            </w:r>
            <w:proofErr w:type="spellEnd"/>
            <w:r w:rsidRPr="00E95765">
              <w:rPr>
                <w:rFonts w:ascii="Times New Roman" w:eastAsia="Times New Roman" w:hAnsi="Times New Roman" w:cs="Times New Roman"/>
                <w:sz w:val="24"/>
                <w:szCs w:val="24"/>
              </w:rPr>
              <w:t xml:space="preserve"> - Multidisciplinary frailty assessment</w:t>
            </w:r>
          </w:p>
        </w:tc>
      </w:tr>
      <w:tr w:rsidR="00D80BD4" w:rsidRPr="00E95765">
        <w:trPr>
          <w:tblCellSpacing w:w="15" w:type="dxa"/>
        </w:trPr>
        <w:tc>
          <w:tcPr>
            <w:tcW w:w="0" w:type="auto"/>
            <w:vAlign w:val="center"/>
            <w:hideMark/>
          </w:tcPr>
          <w:p w:rsidR="00D80BD4" w:rsidRPr="00E95765" w:rsidRDefault="00C40BF9">
            <w:pPr>
              <w:pStyle w:val="T"/>
              <w:spacing w:before="100" w:beforeAutospacing="1" w:after="100" w:afterAutospacing="1"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Disease Urgency</w:t>
            </w:r>
          </w:p>
        </w:tc>
        <w:tc>
          <w:tcPr>
            <w:tcW w:w="0" w:type="auto"/>
            <w:vAlign w:val="center"/>
            <w:hideMark/>
          </w:tcPr>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High tumor burden, rapid progression</w:t>
            </w:r>
          </w:p>
        </w:tc>
        <w:tc>
          <w:tcPr>
            <w:tcW w:w="0" w:type="auto"/>
            <w:vAlign w:val="center"/>
            <w:hideMark/>
          </w:tcPr>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 </w:t>
            </w:r>
            <w:proofErr w:type="spellStart"/>
            <w:r w:rsidRPr="00E95765">
              <w:rPr>
                <w:rFonts w:ascii="Times New Roman" w:eastAsia="Times New Roman" w:hAnsi="Times New Roman" w:cs="Times New Roman"/>
                <w:sz w:val="24"/>
                <w:szCs w:val="24"/>
              </w:rPr>
              <w:t>BiTEs</w:t>
            </w:r>
            <w:proofErr w:type="spellEnd"/>
          </w:p>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Allogeneic therapies</w:t>
            </w:r>
          </w:p>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CD28 CAR T (fast expansion)</w:t>
            </w:r>
          </w:p>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Autologous CAR T (short manufacturing)</w:t>
            </w:r>
          </w:p>
        </w:tc>
        <w:tc>
          <w:tcPr>
            <w:tcW w:w="0" w:type="auto"/>
            <w:vAlign w:val="center"/>
            <w:hideMark/>
          </w:tcPr>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"Off-the-shelf" for urgent cases</w:t>
            </w:r>
          </w:p>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 Bridging strategies (see Chapter </w:t>
            </w:r>
            <w:r w:rsidRPr="00E95765">
              <w:rPr>
                <w:rFonts w:ascii="Times New Roman" w:eastAsia="Times New Roman" w:hAnsi="Times New Roman" w:cs="Times New Roman"/>
                <w:sz w:val="24"/>
                <w:szCs w:val="24"/>
                <w:highlight w:val="green"/>
              </w:rPr>
              <w:t xml:space="preserve">7) </w:t>
            </w:r>
            <w:r w:rsidRPr="00E95765">
              <w:rPr>
                <w:rFonts w:ascii="Times New Roman" w:eastAsia="Times New Roman" w:hAnsi="Times New Roman" w:cs="Times New Roman"/>
                <w:sz w:val="24"/>
                <w:szCs w:val="24"/>
              </w:rPr>
              <w:t xml:space="preserve">- Prioritize </w:t>
            </w:r>
            <w:proofErr w:type="spellStart"/>
            <w:r w:rsidRPr="00E95765">
              <w:rPr>
                <w:rFonts w:ascii="Times New Roman" w:eastAsia="Times New Roman" w:hAnsi="Times New Roman" w:cs="Times New Roman"/>
                <w:sz w:val="24"/>
                <w:szCs w:val="24"/>
              </w:rPr>
              <w:t>BiTEs</w:t>
            </w:r>
            <w:proofErr w:type="spellEnd"/>
            <w:r w:rsidRPr="00E95765">
              <w:rPr>
                <w:rFonts w:ascii="Times New Roman" w:eastAsia="Times New Roman" w:hAnsi="Times New Roman" w:cs="Times New Roman"/>
                <w:sz w:val="24"/>
                <w:szCs w:val="24"/>
              </w:rPr>
              <w:t>/allogeneic with limited bridging options</w:t>
            </w:r>
          </w:p>
        </w:tc>
      </w:tr>
      <w:tr w:rsidR="00D80BD4" w:rsidRPr="00E95765">
        <w:trPr>
          <w:tblCellSpacing w:w="15" w:type="dxa"/>
        </w:trPr>
        <w:tc>
          <w:tcPr>
            <w:tcW w:w="0" w:type="auto"/>
            <w:vAlign w:val="center"/>
            <w:hideMark/>
          </w:tcPr>
          <w:p w:rsidR="00D80BD4" w:rsidRPr="00E95765" w:rsidRDefault="00C40BF9">
            <w:pPr>
              <w:pStyle w:val="T"/>
              <w:spacing w:before="100" w:beforeAutospacing="1" w:after="100" w:afterAutospacing="1"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Logistics</w:t>
            </w:r>
          </w:p>
        </w:tc>
        <w:tc>
          <w:tcPr>
            <w:tcW w:w="0" w:type="auto"/>
            <w:vAlign w:val="center"/>
            <w:hideMark/>
          </w:tcPr>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Administration setting, caregiver support, proximity to center</w:t>
            </w:r>
          </w:p>
        </w:tc>
        <w:tc>
          <w:tcPr>
            <w:tcW w:w="0" w:type="auto"/>
            <w:vAlign w:val="center"/>
            <w:hideMark/>
          </w:tcPr>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Any therapy (adjusted by feasibility)</w:t>
            </w:r>
          </w:p>
        </w:tc>
        <w:tc>
          <w:tcPr>
            <w:tcW w:w="0" w:type="auto"/>
            <w:vAlign w:val="center"/>
            <w:hideMark/>
          </w:tcPr>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Ensure access to care</w:t>
            </w:r>
          </w:p>
          <w:p w:rsidR="00D80BD4" w:rsidRPr="00E95765" w:rsidRDefault="00C40BF9">
            <w:pPr>
              <w:pStyle w:val="T"/>
              <w:spacing w:before="100" w:beforeAutospacing="1" w:after="100" w:afterAutospacing="1"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Adjust based on caregiver availability and center distance</w:t>
            </w:r>
          </w:p>
        </w:tc>
      </w:tr>
    </w:tbl>
    <w:p w:rsidR="00D80BD4" w:rsidRPr="00E95765" w:rsidRDefault="00C40BF9" w:rsidP="00C10167">
      <w:pPr>
        <w:pStyle w:val="TFN"/>
      </w:pPr>
      <w:r w:rsidRPr="00E95765">
        <w:rPr>
          <w:rFonts w:ascii="Times New Roman" w:eastAsia="Times New Roman" w:hAnsi="Times New Roman" w:cs="Times New Roman"/>
          <w:i/>
          <w:iCs/>
          <w:sz w:val="24"/>
          <w:szCs w:val="24"/>
        </w:rPr>
        <w:lastRenderedPageBreak/>
        <w:t>Clinical decision pathways for selecting cellular immunotherapies should integrate disease indications, kinetics, patient frailty, and treatment logistics. Rapid disease progression prompts consideration of bridging therapies and rapi</w:t>
      </w:r>
      <w:r w:rsidRPr="00E95765">
        <w:rPr>
          <w:rFonts w:ascii="Times New Roman" w:eastAsia="Times New Roman" w:hAnsi="Times New Roman" w:cs="Times New Roman"/>
          <w:i/>
          <w:iCs/>
          <w:sz w:val="24"/>
          <w:szCs w:val="24"/>
          <w:highlight w:val="green"/>
        </w:rPr>
        <w:t>d-</w:t>
      </w:r>
      <w:r w:rsidRPr="00E95765">
        <w:rPr>
          <w:rFonts w:ascii="Times New Roman" w:eastAsia="Times New Roman" w:hAnsi="Times New Roman" w:cs="Times New Roman"/>
          <w:i/>
          <w:iCs/>
          <w:sz w:val="24"/>
          <w:szCs w:val="24"/>
        </w:rPr>
        <w:t xml:space="preserve">expansion or off-the-shelf products. Frailty status influences CAR T cell </w:t>
      </w:r>
      <w:proofErr w:type="spellStart"/>
      <w:r w:rsidRPr="00E95765">
        <w:rPr>
          <w:rFonts w:ascii="Times New Roman" w:eastAsia="Times New Roman" w:hAnsi="Times New Roman" w:cs="Times New Roman"/>
          <w:i/>
          <w:iCs/>
          <w:sz w:val="24"/>
          <w:szCs w:val="24"/>
        </w:rPr>
        <w:t>costimulatory</w:t>
      </w:r>
      <w:proofErr w:type="spellEnd"/>
      <w:r w:rsidRPr="00E95765">
        <w:rPr>
          <w:rFonts w:ascii="Times New Roman" w:eastAsia="Times New Roman" w:hAnsi="Times New Roman" w:cs="Times New Roman"/>
          <w:i/>
          <w:iCs/>
          <w:sz w:val="24"/>
          <w:szCs w:val="24"/>
        </w:rPr>
        <w:t xml:space="preserve"> domain selection and choice of alternative cellular therapies. Patient logistics and preferences—including treatment frequency and proximity to treatment centers—are paramount in final therapy decisions. All therapeutic selection should weigh available efficacy data and sequencing.</w:t>
      </w:r>
      <w:r w:rsidRPr="00E95765">
        <w:rPr>
          <w:rFonts w:ascii="Times New Roman" w:eastAsia="Times New Roman" w:hAnsi="Times New Roman" w:cs="Times New Roman"/>
          <w:sz w:val="24"/>
          <w:szCs w:val="24"/>
        </w:rPr>
        <w:t xml:space="preserve">  </w:t>
      </w:r>
    </w:p>
    <w:p w:rsidR="00D80BD4" w:rsidRPr="00E95765" w:rsidRDefault="00C40BF9" w:rsidP="00C10167">
      <w:pPr>
        <w:pStyle w:val="PMI"/>
      </w:pPr>
      <w:r w:rsidRPr="00E95765">
        <w:rPr>
          <w:rStyle w:val="Tag"/>
          <w:rFonts w:ascii="Times New Roman" w:eastAsia="Times New Roman" w:hAnsi="Times New Roman" w:cs="Times New Roman"/>
          <w:sz w:val="24"/>
          <w:szCs w:val="24"/>
        </w:rPr>
        <w:t>&lt;/</w:t>
      </w:r>
      <w:bookmarkStart w:id="4" w:name="bm_tab_cite_TAB5_2"/>
      <w:sdt>
        <w:sdtPr>
          <w:rPr>
            <w:rStyle w:val="Tag"/>
            <w:rFonts w:ascii="Times New Roman" w:eastAsia="Times New Roman" w:hAnsi="Times New Roman" w:cs="Times New Roman"/>
            <w:sz w:val="24"/>
            <w:szCs w:val="24"/>
          </w:rPr>
          <w:alias w:val="Table Citation"/>
          <w:tag w:val="tab_cite"/>
          <w:id w:val="-596790137"/>
          <w:placeholder>
            <w:docPart w:val="DefaultPlaceholder_1082065158"/>
          </w:placeholder>
        </w:sdtPr>
        <w:sdtEndPr>
          <w:rPr>
            <w:rStyle w:val="Tag"/>
          </w:rPr>
        </w:sdtEndPr>
        <w:sdtContent>
          <w:r w:rsidRPr="00E95765">
            <w:rPr>
              <w:rStyle w:val="Tag"/>
              <w:rFonts w:ascii="Times New Roman" w:eastAsia="Times New Roman" w:hAnsi="Times New Roman" w:cs="Times New Roman"/>
              <w:sz w:val="24"/>
              <w:szCs w:val="24"/>
            </w:rPr>
            <w:t>TAB5.2</w:t>
          </w:r>
          <w:bookmarkEnd w:id="4"/>
        </w:sdtContent>
      </w:sdt>
      <w:r w:rsidRPr="00E95765">
        <w:rPr>
          <w:rStyle w:val="Tag"/>
          <w:rFonts w:ascii="Times New Roman" w:eastAsia="Times New Roman" w:hAnsi="Times New Roman" w:cs="Times New Roman"/>
          <w:sz w:val="24"/>
          <w:szCs w:val="24"/>
        </w:rPr>
        <w:t>&gt;</w:t>
      </w:r>
    </w:p>
    <w:p w:rsidR="00D80BD4" w:rsidRPr="00E95765" w:rsidRDefault="00C40BF9">
      <w:pPr>
        <w:rPr>
          <w:sz w:val="24"/>
          <w:szCs w:val="24"/>
        </w:rPr>
      </w:pPr>
      <w:r w:rsidRPr="00E95765">
        <w:rPr>
          <w:sz w:val="24"/>
          <w:szCs w:val="24"/>
        </w:rPr>
        <w:br w:type="page"/>
      </w:r>
    </w:p>
    <w:p w:rsidR="00D80BD4" w:rsidRPr="00E95765" w:rsidRDefault="00E95765" w:rsidP="00996B16">
      <w:pPr>
        <w:pStyle w:val="T1"/>
        <w:rPr>
          <w:rFonts w:ascii="Times New Roman" w:eastAsia="Times New Roman" w:hAnsi="Times New Roman" w:cs="Times New Roman"/>
          <w:b/>
          <w:bCs/>
          <w:spacing w:val="1"/>
          <w:sz w:val="24"/>
          <w:szCs w:val="24"/>
          <w:highlight w:val="yellow"/>
        </w:rPr>
      </w:pPr>
      <w:r w:rsidRPr="00E95765">
        <w:rPr>
          <w:rStyle w:val="Tag"/>
          <w:rFonts w:ascii="Times New Roman" w:eastAsia="Times New Roman" w:hAnsi="Times New Roman" w:cs="Times New Roman"/>
          <w:b/>
          <w:bCs/>
          <w:sz w:val="24"/>
          <w:szCs w:val="24"/>
          <w:highlight w:val="yellow"/>
        </w:rPr>
        <w:lastRenderedPageBreak/>
        <w:t>&lt;</w:t>
      </w:r>
      <w:r w:rsidR="00C40BF9" w:rsidRPr="00E95765">
        <w:rPr>
          <w:rStyle w:val="Tag"/>
          <w:rFonts w:ascii="Times New Roman" w:eastAsia="Times New Roman" w:hAnsi="Times New Roman" w:cs="Times New Roman"/>
          <w:b/>
          <w:bCs/>
          <w:sz w:val="24"/>
          <w:szCs w:val="24"/>
          <w:highlight w:val="yellow"/>
        </w:rPr>
        <w:t>TAB</w:t>
      </w:r>
      <w:r w:rsidR="00C40BF9" w:rsidRPr="00E95765">
        <w:rPr>
          <w:rStyle w:val="Tag"/>
          <w:rFonts w:ascii="Times New Roman" w:eastAsia="Times New Roman" w:hAnsi="Times New Roman" w:cs="Times New Roman"/>
          <w:b/>
          <w:bCs/>
          <w:sz w:val="24"/>
          <w:szCs w:val="24"/>
          <w:highlight w:val="green"/>
        </w:rPr>
        <w:t>5</w:t>
      </w:r>
      <w:r w:rsidRPr="00E95765">
        <w:rPr>
          <w:rStyle w:val="Tag"/>
          <w:rFonts w:ascii="Times New Roman" w:eastAsia="Times New Roman" w:hAnsi="Times New Roman" w:cs="Times New Roman"/>
          <w:b/>
          <w:bCs/>
          <w:sz w:val="24"/>
          <w:szCs w:val="24"/>
          <w:highlight w:val="green"/>
        </w:rPr>
        <w:t>.3</w:t>
      </w:r>
      <w:r w:rsidRPr="00E95765">
        <w:rPr>
          <w:rStyle w:val="Tag"/>
          <w:rFonts w:ascii="Times New Roman" w:eastAsia="Times New Roman" w:hAnsi="Times New Roman" w:cs="Times New Roman"/>
          <w:b/>
          <w:bCs/>
          <w:sz w:val="24"/>
          <w:szCs w:val="24"/>
          <w:highlight w:val="yellow"/>
        </w:rPr>
        <w:t>&gt;</w:t>
      </w:r>
      <w:r w:rsidR="00C40BF9" w:rsidRPr="00E95765">
        <w:rPr>
          <w:rStyle w:val="TN"/>
          <w:rFonts w:ascii="Times New Roman" w:eastAsia="Times New Roman" w:hAnsi="Times New Roman" w:cs="Times New Roman"/>
          <w:b/>
          <w:bCs/>
          <w:sz w:val="24"/>
          <w:szCs w:val="24"/>
          <w:highlight w:val="yellow"/>
        </w:rPr>
        <w:t>Table</w:t>
      </w:r>
      <w:r w:rsidRPr="00E95765">
        <w:rPr>
          <w:rStyle w:val="TN"/>
          <w:rFonts w:ascii="Times New Roman" w:eastAsia="Times New Roman" w:hAnsi="Times New Roman" w:cs="Times New Roman"/>
          <w:b/>
          <w:bCs/>
          <w:sz w:val="24"/>
          <w:szCs w:val="24"/>
          <w:highlight w:val="yellow"/>
        </w:rPr>
        <w:t xml:space="preserve"> </w:t>
      </w:r>
      <w:r w:rsidRPr="00E95765">
        <w:rPr>
          <w:rStyle w:val="TN"/>
          <w:rFonts w:ascii="Times New Roman" w:eastAsia="Times New Roman" w:hAnsi="Times New Roman" w:cs="Times New Roman"/>
          <w:b/>
          <w:bCs/>
          <w:sz w:val="24"/>
          <w:szCs w:val="24"/>
          <w:highlight w:val="green"/>
        </w:rPr>
        <w:t>5.3</w:t>
      </w:r>
      <w:r w:rsidRPr="00E95765">
        <w:rPr>
          <w:rStyle w:val="TN"/>
          <w:rFonts w:ascii="Times New Roman" w:eastAsia="Times New Roman" w:hAnsi="Times New Roman" w:cs="Times New Roman"/>
          <w:sz w:val="24"/>
          <w:szCs w:val="24"/>
          <w:highlight w:val="yellow"/>
        </w:rPr>
        <w:t xml:space="preserve"> </w:t>
      </w:r>
      <w:r w:rsidRPr="00E95765">
        <w:rPr>
          <w:rStyle w:val="TN"/>
          <w:rFonts w:ascii="Times New Roman" w:eastAsia="Times New Roman" w:hAnsi="Times New Roman" w:cs="Times New Roman"/>
          <w:sz w:val="24"/>
          <w:szCs w:val="24"/>
          <w:highlight w:val="green"/>
        </w:rPr>
        <w:t>-</w:t>
      </w:r>
      <w:r w:rsidRPr="00E95765">
        <w:rPr>
          <w:rFonts w:ascii="Times New Roman" w:eastAsia="Times New Roman" w:hAnsi="Times New Roman" w:cs="Times New Roman"/>
          <w:sz w:val="24"/>
          <w:szCs w:val="24"/>
          <w:highlight w:val="yellow"/>
        </w:rPr>
        <w:t xml:space="preserve"> </w:t>
      </w:r>
      <w:r w:rsidR="00C40BF9" w:rsidRPr="00E95765">
        <w:rPr>
          <w:rFonts w:eastAsia="Times New Roman" w:cs="Times New Roman"/>
          <w:b/>
          <w:bCs/>
          <w:spacing w:val="1"/>
          <w:szCs w:val="24"/>
          <w:highlight w:val="green"/>
        </w:rPr>
        <w:t>Risk</w:t>
      </w:r>
      <w:r w:rsidR="00C40BF9" w:rsidRPr="00E95765">
        <w:rPr>
          <w:rFonts w:eastAsia="Times New Roman" w:cs="Times New Roman"/>
          <w:b/>
          <w:bCs/>
          <w:spacing w:val="1"/>
          <w:szCs w:val="24"/>
          <w:highlight w:val="yellow"/>
        </w:rPr>
        <w:t xml:space="preserve"> Stratification Indices </w:t>
      </w:r>
      <w:proofErr w:type="gramStart"/>
      <w:r w:rsidRPr="00E95765">
        <w:rPr>
          <w:rFonts w:eastAsia="Times New Roman" w:cs="Times New Roman"/>
          <w:b/>
          <w:bCs/>
          <w:spacing w:val="1"/>
          <w:szCs w:val="24"/>
          <w:highlight w:val="green"/>
        </w:rPr>
        <w:t>In</w:t>
      </w:r>
      <w:proofErr w:type="gramEnd"/>
      <w:r w:rsidRPr="00E95765">
        <w:rPr>
          <w:rFonts w:eastAsia="Times New Roman" w:cs="Times New Roman"/>
          <w:b/>
          <w:bCs/>
          <w:spacing w:val="1"/>
          <w:szCs w:val="24"/>
          <w:highlight w:val="yellow"/>
        </w:rPr>
        <w:t xml:space="preserve"> </w:t>
      </w:r>
      <w:r w:rsidR="00C40BF9" w:rsidRPr="00E95765">
        <w:rPr>
          <w:rFonts w:eastAsia="Times New Roman" w:cs="Times New Roman"/>
          <w:b/>
          <w:bCs/>
          <w:spacing w:val="1"/>
          <w:szCs w:val="24"/>
          <w:highlight w:val="yellow"/>
        </w:rPr>
        <w:t>Cellular Therapy</w:t>
      </w:r>
    </w:p>
    <w:tbl>
      <w:tblPr>
        <w:tblW w:w="8631"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6"/>
        <w:gridCol w:w="2099"/>
        <w:gridCol w:w="2300"/>
        <w:gridCol w:w="2246"/>
      </w:tblGrid>
      <w:tr w:rsidR="00D80BD4" w:rsidRPr="00E9576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D80BD4" w:rsidRPr="00E95765" w:rsidRDefault="00C40BF9">
            <w:pPr>
              <w:pStyle w:val="T2"/>
              <w:spacing w:before="240" w:after="240"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INDEX</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D80BD4" w:rsidRPr="00E95765" w:rsidRDefault="00C40BF9">
            <w:pPr>
              <w:pStyle w:val="T2"/>
              <w:spacing w:before="240" w:after="240"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CORE INPUTS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D80BD4" w:rsidRPr="00E95765" w:rsidRDefault="00C40BF9">
            <w:pPr>
              <w:pStyle w:val="T2"/>
              <w:spacing w:before="240" w:after="240"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CLINICAL UTILITY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D80BD4" w:rsidRPr="00E95765" w:rsidRDefault="00C40BF9">
            <w:pPr>
              <w:pStyle w:val="T2"/>
              <w:spacing w:before="240" w:after="240"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VALIDATED IN</w:t>
            </w:r>
          </w:p>
        </w:tc>
      </w:tr>
      <w:tr w:rsidR="00D80BD4" w:rsidRPr="00E9576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CAR HEMATOTOX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ANC, platelets, hemoglobin, CRP, ferritin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Predict </w:t>
            </w:r>
            <w:proofErr w:type="spellStart"/>
            <w:r w:rsidRPr="00E95765">
              <w:rPr>
                <w:rFonts w:ascii="Times New Roman" w:eastAsia="Times New Roman" w:hAnsi="Times New Roman" w:cs="Times New Roman"/>
                <w:sz w:val="24"/>
                <w:szCs w:val="24"/>
              </w:rPr>
              <w:t>cytopenias</w:t>
            </w:r>
            <w:proofErr w:type="spellEnd"/>
            <w:r w:rsidRPr="00E95765">
              <w:rPr>
                <w:rFonts w:ascii="Times New Roman" w:eastAsia="Times New Roman" w:hAnsi="Times New Roman" w:cs="Times New Roman"/>
                <w:sz w:val="24"/>
                <w:szCs w:val="24"/>
              </w:rPr>
              <w:t>, CRS/ICANS, survival in CAR-T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DLBCL, B-ALL (ALL variant), MM (under study)</w:t>
            </w:r>
          </w:p>
        </w:tc>
      </w:tr>
      <w:tr w:rsidR="00D80BD4" w:rsidRPr="00E9576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HCT – CI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Cardiac, pulmonary, hepatic, diabetes, malignancy scores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Predict NRM and OS post </w:t>
            </w:r>
            <w:proofErr w:type="spellStart"/>
            <w:r w:rsidRPr="00E95765">
              <w:rPr>
                <w:rFonts w:ascii="Times New Roman" w:eastAsia="Times New Roman" w:hAnsi="Times New Roman" w:cs="Times New Roman"/>
                <w:sz w:val="24"/>
                <w:szCs w:val="24"/>
              </w:rPr>
              <w:t>all</w:t>
            </w:r>
            <w:r w:rsidRPr="00E95765">
              <w:rPr>
                <w:rFonts w:ascii="Times New Roman" w:eastAsia="Times New Roman" w:hAnsi="Times New Roman" w:cs="Times New Roman"/>
                <w:sz w:val="24"/>
                <w:szCs w:val="24"/>
                <w:highlight w:val="green"/>
              </w:rPr>
              <w:t>o</w:t>
            </w:r>
            <w:proofErr w:type="spellEnd"/>
            <w:r w:rsidRPr="00E95765">
              <w:rPr>
                <w:rFonts w:ascii="Times New Roman" w:eastAsia="Times New Roman" w:hAnsi="Times New Roman" w:cs="Times New Roman"/>
                <w:sz w:val="24"/>
                <w:szCs w:val="24"/>
                <w:highlight w:val="green"/>
              </w:rPr>
              <w:t>-</w:t>
            </w:r>
            <w:r w:rsidRPr="00E95765">
              <w:rPr>
                <w:rFonts w:ascii="Times New Roman" w:eastAsia="Times New Roman" w:hAnsi="Times New Roman" w:cs="Times New Roman"/>
                <w:sz w:val="24"/>
                <w:szCs w:val="24"/>
              </w:rPr>
              <w:t>HSCT and CAR-T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proofErr w:type="spellStart"/>
            <w:r w:rsidRPr="00E95765">
              <w:rPr>
                <w:rFonts w:ascii="Times New Roman" w:eastAsia="Times New Roman" w:hAnsi="Times New Roman" w:cs="Times New Roman"/>
                <w:sz w:val="24"/>
                <w:szCs w:val="24"/>
              </w:rPr>
              <w:t>All</w:t>
            </w:r>
            <w:r w:rsidRPr="00E95765">
              <w:rPr>
                <w:rFonts w:ascii="Times New Roman" w:eastAsia="Times New Roman" w:hAnsi="Times New Roman" w:cs="Times New Roman"/>
                <w:sz w:val="24"/>
                <w:szCs w:val="24"/>
                <w:highlight w:val="green"/>
              </w:rPr>
              <w:t>o</w:t>
            </w:r>
            <w:proofErr w:type="spellEnd"/>
            <w:r w:rsidRPr="00E95765">
              <w:rPr>
                <w:rFonts w:ascii="Times New Roman" w:eastAsia="Times New Roman" w:hAnsi="Times New Roman" w:cs="Times New Roman"/>
                <w:sz w:val="24"/>
                <w:szCs w:val="24"/>
                <w:highlight w:val="green"/>
              </w:rPr>
              <w:t>-</w:t>
            </w:r>
            <w:r w:rsidRPr="00E95765">
              <w:rPr>
                <w:rFonts w:ascii="Times New Roman" w:eastAsia="Times New Roman" w:hAnsi="Times New Roman" w:cs="Times New Roman"/>
                <w:sz w:val="24"/>
                <w:szCs w:val="24"/>
              </w:rPr>
              <w:t>HSCT (original), CAR-T (DLBCL, ALL, MM)</w:t>
            </w:r>
          </w:p>
        </w:tc>
      </w:tr>
      <w:tr w:rsidR="00D80BD4" w:rsidRPr="00E9576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b/>
                <w:bCs/>
                <w:sz w:val="24"/>
                <w:szCs w:val="24"/>
              </w:rPr>
            </w:pPr>
            <w:r w:rsidRPr="00E95765">
              <w:rPr>
                <w:rFonts w:ascii="Times New Roman" w:eastAsia="Times New Roman" w:hAnsi="Times New Roman" w:cs="Times New Roman"/>
                <w:b/>
                <w:bCs/>
                <w:sz w:val="24"/>
                <w:szCs w:val="24"/>
              </w:rPr>
              <w:t>CIR</w:t>
            </w:r>
            <w:r w:rsidRPr="00E95765">
              <w:rPr>
                <w:rFonts w:ascii="Times New Roman" w:eastAsia="Times New Roman" w:hAnsi="Times New Roman" w:cs="Times New Roman"/>
                <w:b/>
                <w:bCs/>
                <w:sz w:val="24"/>
                <w:szCs w:val="24"/>
                <w:highlight w:val="green"/>
              </w:rPr>
              <w:t>S-</w:t>
            </w:r>
            <w:r w:rsidRPr="00E95765">
              <w:rPr>
                <w:rFonts w:ascii="Times New Roman" w:eastAsia="Times New Roman" w:hAnsi="Times New Roman" w:cs="Times New Roman"/>
                <w:b/>
                <w:bCs/>
                <w:sz w:val="24"/>
                <w:szCs w:val="24"/>
              </w:rPr>
              <w:t>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14–18 organ system comorbidities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Assess frailty and predict survival/toxicity in CAR-T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DLBCL, MM (validated 2025); TIL/</w:t>
            </w:r>
            <w:proofErr w:type="spellStart"/>
            <w:r w:rsidRPr="00E95765">
              <w:rPr>
                <w:rFonts w:ascii="Times New Roman" w:eastAsia="Times New Roman" w:hAnsi="Times New Roman" w:cs="Times New Roman"/>
                <w:sz w:val="24"/>
                <w:szCs w:val="24"/>
              </w:rPr>
              <w:t>BiTE</w:t>
            </w:r>
            <w:proofErr w:type="spellEnd"/>
            <w:r w:rsidRPr="00E95765">
              <w:rPr>
                <w:rFonts w:ascii="Times New Roman" w:eastAsia="Times New Roman" w:hAnsi="Times New Roman" w:cs="Times New Roman"/>
                <w:sz w:val="24"/>
                <w:szCs w:val="24"/>
              </w:rPr>
              <w:t xml:space="preserve"> studies ongoing</w:t>
            </w:r>
          </w:p>
        </w:tc>
      </w:tr>
      <w:tr w:rsidR="00D80BD4" w:rsidRPr="00E9576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b/>
                <w:bCs/>
                <w:sz w:val="24"/>
                <w:szCs w:val="24"/>
              </w:rPr>
              <w:t>EASIX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(LDH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 xml:space="preserve"> </w:t>
            </w:r>
            <w:proofErr w:type="spellStart"/>
            <w:r w:rsidRPr="00E95765">
              <w:rPr>
                <w:rFonts w:ascii="Times New Roman" w:eastAsia="Times New Roman" w:hAnsi="Times New Roman" w:cs="Times New Roman"/>
                <w:sz w:val="24"/>
                <w:szCs w:val="24"/>
              </w:rPr>
              <w:t>creatinin</w:t>
            </w:r>
            <w:r w:rsidRPr="00E95765">
              <w:rPr>
                <w:rFonts w:ascii="Times New Roman" w:eastAsia="Times New Roman" w:hAnsi="Times New Roman" w:cs="Times New Roman"/>
                <w:sz w:val="24"/>
                <w:szCs w:val="24"/>
                <w:highlight w:val="green"/>
              </w:rPr>
              <w:t>e</w:t>
            </w:r>
            <w:proofErr w:type="spellEnd"/>
            <w:r w:rsidRPr="00E95765">
              <w:rPr>
                <w:rFonts w:ascii="Times New Roman" w:eastAsia="Times New Roman" w:hAnsi="Times New Roman" w:cs="Times New Roman"/>
                <w:sz w:val="24"/>
                <w:szCs w:val="24"/>
                <w:highlight w:val="green"/>
              </w:rPr>
              <w:t xml:space="preserve">) </w:t>
            </w:r>
            <w:r w:rsidR="00E95765" w:rsidRPr="00E95765">
              <w:rPr>
                <w:rFonts w:eastAsia="Times New Roman" w:cs="Times New Roman"/>
                <w:highlight w:val="green"/>
              </w:rPr>
              <w:t>÷</w:t>
            </w:r>
            <w:r w:rsidRPr="00E95765">
              <w:rPr>
                <w:rFonts w:ascii="Times New Roman" w:eastAsia="Times New Roman" w:hAnsi="Times New Roman" w:cs="Times New Roman"/>
                <w:sz w:val="24"/>
                <w:szCs w:val="24"/>
              </w:rPr>
              <w:t xml:space="preserve"> platelets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Predict endothelial dysfunction, NRM, infections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proofErr w:type="spellStart"/>
            <w:r w:rsidRPr="00E95765">
              <w:rPr>
                <w:rFonts w:ascii="Times New Roman" w:eastAsia="Times New Roman" w:hAnsi="Times New Roman" w:cs="Times New Roman"/>
                <w:sz w:val="24"/>
                <w:szCs w:val="24"/>
              </w:rPr>
              <w:t>All</w:t>
            </w:r>
            <w:r w:rsidRPr="00E95765">
              <w:rPr>
                <w:rFonts w:ascii="Times New Roman" w:eastAsia="Times New Roman" w:hAnsi="Times New Roman" w:cs="Times New Roman"/>
                <w:sz w:val="24"/>
                <w:szCs w:val="24"/>
                <w:highlight w:val="green"/>
              </w:rPr>
              <w:t>o</w:t>
            </w:r>
            <w:proofErr w:type="spellEnd"/>
            <w:r w:rsidRPr="00E95765">
              <w:rPr>
                <w:rFonts w:ascii="Times New Roman" w:eastAsia="Times New Roman" w:hAnsi="Times New Roman" w:cs="Times New Roman"/>
                <w:sz w:val="24"/>
                <w:szCs w:val="24"/>
                <w:highlight w:val="green"/>
              </w:rPr>
              <w:t>-</w:t>
            </w:r>
            <w:r w:rsidRPr="00E95765">
              <w:rPr>
                <w:rFonts w:ascii="Times New Roman" w:eastAsia="Times New Roman" w:hAnsi="Times New Roman" w:cs="Times New Roman"/>
                <w:sz w:val="24"/>
                <w:szCs w:val="24"/>
              </w:rPr>
              <w:t xml:space="preserve">HSCT, CAR-T (DLBCL, MM); trials in TCR T, </w:t>
            </w:r>
            <w:proofErr w:type="spellStart"/>
            <w:r w:rsidRPr="00E95765">
              <w:rPr>
                <w:rFonts w:ascii="Times New Roman" w:eastAsia="Times New Roman" w:hAnsi="Times New Roman" w:cs="Times New Roman"/>
                <w:sz w:val="24"/>
                <w:szCs w:val="24"/>
              </w:rPr>
              <w:lastRenderedPageBreak/>
              <w:t>BiTE</w:t>
            </w:r>
            <w:proofErr w:type="spellEnd"/>
          </w:p>
        </w:tc>
      </w:tr>
      <w:tr w:rsidR="00D80BD4" w:rsidRPr="00E9576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b/>
                <w:bCs/>
                <w:sz w:val="24"/>
                <w:szCs w:val="24"/>
              </w:rPr>
              <w:lastRenderedPageBreak/>
              <w:t>IMWG Frailty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Age, ECOG or ADL, </w:t>
            </w:r>
            <w:proofErr w:type="spellStart"/>
            <w:r w:rsidRPr="00E95765">
              <w:rPr>
                <w:rFonts w:ascii="Times New Roman" w:eastAsia="Times New Roman" w:hAnsi="Times New Roman" w:cs="Times New Roman"/>
                <w:sz w:val="24"/>
                <w:szCs w:val="24"/>
              </w:rPr>
              <w:t>Charlson</w:t>
            </w:r>
            <w:proofErr w:type="spellEnd"/>
            <w:r w:rsidRPr="00E95765">
              <w:rPr>
                <w:rFonts w:ascii="Times New Roman" w:eastAsia="Times New Roman" w:hAnsi="Times New Roman" w:cs="Times New Roman"/>
                <w:sz w:val="24"/>
                <w:szCs w:val="24"/>
              </w:rPr>
              <w:t xml:space="preserve"> Comorbidity Index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Predict survival and toxicity in MM CAR-T/</w:t>
            </w:r>
            <w:proofErr w:type="spellStart"/>
            <w:r w:rsidRPr="00E95765">
              <w:rPr>
                <w:rFonts w:ascii="Times New Roman" w:eastAsia="Times New Roman" w:hAnsi="Times New Roman" w:cs="Times New Roman"/>
                <w:sz w:val="24"/>
                <w:szCs w:val="24"/>
              </w:rPr>
              <w:t>bispecifics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
              <w:spacing w:before="240" w:after="240" w:line="480" w:lineRule="auto"/>
              <w:rPr>
                <w:rFonts w:ascii="Times New Roman" w:eastAsia="Times New Roman" w:hAnsi="Times New Roman" w:cs="Times New Roman"/>
                <w:sz w:val="24"/>
                <w:szCs w:val="24"/>
              </w:rPr>
            </w:pPr>
            <w:r w:rsidRPr="00E95765">
              <w:rPr>
                <w:rFonts w:ascii="Times New Roman" w:eastAsia="Times New Roman" w:hAnsi="Times New Roman" w:cs="Times New Roman"/>
                <w:sz w:val="24"/>
                <w:szCs w:val="24"/>
              </w:rPr>
              <w:t xml:space="preserve">MM clinical trials (CAR-T and </w:t>
            </w:r>
            <w:proofErr w:type="spellStart"/>
            <w:r w:rsidRPr="00E95765">
              <w:rPr>
                <w:rFonts w:ascii="Times New Roman" w:eastAsia="Times New Roman" w:hAnsi="Times New Roman" w:cs="Times New Roman"/>
                <w:sz w:val="24"/>
                <w:szCs w:val="24"/>
              </w:rPr>
              <w:t>bispecific</w:t>
            </w:r>
            <w:proofErr w:type="spellEnd"/>
            <w:r w:rsidRPr="00E95765">
              <w:rPr>
                <w:rFonts w:ascii="Times New Roman" w:eastAsia="Times New Roman" w:hAnsi="Times New Roman" w:cs="Times New Roman"/>
                <w:sz w:val="24"/>
                <w:szCs w:val="24"/>
              </w:rPr>
              <w:t xml:space="preserve"> antibodies)</w:t>
            </w:r>
          </w:p>
        </w:tc>
      </w:tr>
    </w:tbl>
    <w:p w:rsidR="00D80BD4" w:rsidRPr="00E95765" w:rsidRDefault="00C40BF9" w:rsidP="00C10167">
      <w:pPr>
        <w:pStyle w:val="PMI"/>
      </w:pPr>
      <w:r w:rsidRPr="00E95765">
        <w:rPr>
          <w:rStyle w:val="Tag"/>
          <w:rFonts w:ascii="Times New Roman" w:hAnsi="Times New Roman" w:cs="Times New Roman"/>
          <w:sz w:val="24"/>
          <w:szCs w:val="24"/>
        </w:rPr>
        <w:t>&lt;/</w:t>
      </w:r>
      <w:bookmarkStart w:id="5" w:name="bm_tab_cite_TAB5_3"/>
      <w:sdt>
        <w:sdtPr>
          <w:rPr>
            <w:rStyle w:val="Tag"/>
            <w:rFonts w:ascii="Times New Roman" w:hAnsi="Times New Roman" w:cs="Times New Roman"/>
            <w:sz w:val="24"/>
            <w:szCs w:val="24"/>
          </w:rPr>
          <w:alias w:val="Table Citation"/>
          <w:tag w:val="tab_cite"/>
          <w:id w:val="-1050380272"/>
          <w:placeholder>
            <w:docPart w:val="DefaultPlaceholder_1082065158"/>
          </w:placeholder>
        </w:sdtPr>
        <w:sdtEndPr>
          <w:rPr>
            <w:rStyle w:val="Tag"/>
          </w:rPr>
        </w:sdtEndPr>
        <w:sdtContent>
          <w:r w:rsidRPr="00E95765">
            <w:rPr>
              <w:rStyle w:val="Tag"/>
              <w:rFonts w:ascii="Times New Roman" w:hAnsi="Times New Roman" w:cs="Times New Roman"/>
              <w:sz w:val="24"/>
              <w:szCs w:val="24"/>
            </w:rPr>
            <w:t>TAB5.3</w:t>
          </w:r>
          <w:bookmarkEnd w:id="5"/>
        </w:sdtContent>
      </w:sdt>
      <w:r w:rsidRPr="00E95765">
        <w:rPr>
          <w:rStyle w:val="Tag"/>
          <w:rFonts w:ascii="Times New Roman" w:hAnsi="Times New Roman" w:cs="Times New Roman"/>
          <w:sz w:val="24"/>
          <w:szCs w:val="24"/>
        </w:rPr>
        <w:t>&gt;</w:t>
      </w:r>
    </w:p>
    <w:p w:rsidR="00D80BD4" w:rsidRPr="00E95765" w:rsidRDefault="00C40BF9">
      <w:pPr>
        <w:rPr>
          <w:sz w:val="24"/>
          <w:szCs w:val="24"/>
        </w:rPr>
      </w:pPr>
      <w:r w:rsidRPr="00E95765">
        <w:rPr>
          <w:sz w:val="24"/>
          <w:szCs w:val="24"/>
        </w:rPr>
        <w:br w:type="page"/>
      </w:r>
    </w:p>
    <w:p w:rsidR="00D80BD4" w:rsidRPr="00E95765" w:rsidRDefault="00E95765" w:rsidP="00996B16">
      <w:pPr>
        <w:pStyle w:val="T1"/>
        <w:rPr>
          <w:rFonts w:ascii="Times New Roman" w:eastAsia="Times New Roman" w:hAnsi="Times New Roman" w:cs="Times New Roman"/>
          <w:b/>
          <w:bCs/>
          <w:spacing w:val="1"/>
          <w:sz w:val="24"/>
          <w:szCs w:val="24"/>
          <w:highlight w:val="yellow"/>
        </w:rPr>
      </w:pPr>
      <w:r w:rsidRPr="00E95765">
        <w:rPr>
          <w:rStyle w:val="Tag"/>
          <w:rFonts w:ascii="Times New Roman" w:eastAsia="Times New Roman" w:hAnsi="Times New Roman" w:cs="Times New Roman"/>
          <w:b/>
          <w:bCs/>
          <w:sz w:val="24"/>
          <w:szCs w:val="24"/>
          <w:highlight w:val="yellow"/>
        </w:rPr>
        <w:lastRenderedPageBreak/>
        <w:t>&lt;</w:t>
      </w:r>
      <w:r w:rsidR="00C40BF9" w:rsidRPr="00E95765">
        <w:rPr>
          <w:rStyle w:val="Tag"/>
          <w:rFonts w:ascii="Times New Roman" w:eastAsia="Times New Roman" w:hAnsi="Times New Roman" w:cs="Times New Roman"/>
          <w:b/>
          <w:bCs/>
          <w:sz w:val="24"/>
          <w:szCs w:val="24"/>
          <w:highlight w:val="yellow"/>
        </w:rPr>
        <w:t>TAB5</w:t>
      </w:r>
      <w:r w:rsidRPr="00E95765">
        <w:rPr>
          <w:rStyle w:val="Tag"/>
          <w:rFonts w:ascii="Times New Roman" w:eastAsia="Times New Roman" w:hAnsi="Times New Roman" w:cs="Times New Roman"/>
          <w:b/>
          <w:bCs/>
          <w:sz w:val="24"/>
          <w:szCs w:val="24"/>
          <w:highlight w:val="yellow"/>
        </w:rPr>
        <w:t>.4&gt;</w:t>
      </w:r>
      <w:r w:rsidR="00C40BF9" w:rsidRPr="00E95765">
        <w:rPr>
          <w:rStyle w:val="TN"/>
          <w:rFonts w:ascii="Times New Roman" w:eastAsia="Times New Roman" w:hAnsi="Times New Roman" w:cs="Times New Roman"/>
          <w:b/>
          <w:bCs/>
          <w:sz w:val="24"/>
          <w:szCs w:val="24"/>
          <w:highlight w:val="yellow"/>
        </w:rPr>
        <w:t>Table</w:t>
      </w:r>
      <w:r w:rsidRPr="00E95765">
        <w:rPr>
          <w:rStyle w:val="TN"/>
          <w:rFonts w:ascii="Times New Roman" w:eastAsia="Times New Roman" w:hAnsi="Times New Roman" w:cs="Times New Roman"/>
          <w:b/>
          <w:bCs/>
          <w:sz w:val="24"/>
          <w:szCs w:val="24"/>
          <w:highlight w:val="yellow"/>
        </w:rPr>
        <w:t xml:space="preserve"> </w:t>
      </w:r>
      <w:r w:rsidRPr="00E95765">
        <w:rPr>
          <w:rStyle w:val="TN"/>
          <w:rFonts w:ascii="Times New Roman" w:eastAsia="Times New Roman" w:hAnsi="Times New Roman" w:cs="Times New Roman"/>
          <w:b/>
          <w:bCs/>
          <w:sz w:val="24"/>
          <w:szCs w:val="24"/>
          <w:highlight w:val="green"/>
        </w:rPr>
        <w:t>5</w:t>
      </w:r>
      <w:r w:rsidRPr="00E95765">
        <w:rPr>
          <w:rStyle w:val="TN"/>
          <w:rFonts w:ascii="Times New Roman" w:eastAsia="Times New Roman" w:hAnsi="Times New Roman" w:cs="Times New Roman"/>
          <w:sz w:val="24"/>
          <w:szCs w:val="24"/>
          <w:highlight w:val="green"/>
        </w:rPr>
        <w:t>.</w:t>
      </w:r>
      <w:r w:rsidRPr="00E95765">
        <w:rPr>
          <w:rStyle w:val="TN"/>
          <w:rFonts w:ascii="Times New Roman" w:eastAsia="Times New Roman" w:hAnsi="Times New Roman" w:cs="Times New Roman"/>
          <w:b/>
          <w:bCs/>
          <w:sz w:val="24"/>
          <w:szCs w:val="24"/>
          <w:highlight w:val="green"/>
        </w:rPr>
        <w:t>4:</w:t>
      </w:r>
      <w:r w:rsidRPr="00E95765">
        <w:rPr>
          <w:rFonts w:ascii="Times New Roman" w:eastAsia="Times New Roman" w:hAnsi="Times New Roman" w:cs="Times New Roman"/>
          <w:b/>
          <w:bCs/>
          <w:sz w:val="24"/>
          <w:szCs w:val="24"/>
          <w:highlight w:val="yellow"/>
        </w:rPr>
        <w:t xml:space="preserve"> </w:t>
      </w:r>
      <w:r w:rsidR="00C40BF9" w:rsidRPr="00E95765">
        <w:rPr>
          <w:rFonts w:ascii="Times New Roman" w:eastAsia="Times New Roman" w:hAnsi="Times New Roman" w:cs="Times New Roman"/>
          <w:b/>
          <w:bCs/>
          <w:sz w:val="24"/>
          <w:szCs w:val="24"/>
          <w:highlight w:val="yellow"/>
        </w:rPr>
        <w:t xml:space="preserve">Recommended Washout Periods </w:t>
      </w:r>
      <w:proofErr w:type="gramStart"/>
      <w:r w:rsidRPr="00E95765">
        <w:rPr>
          <w:rFonts w:ascii="Times New Roman" w:eastAsia="Times New Roman" w:hAnsi="Times New Roman" w:cs="Times New Roman"/>
          <w:b/>
          <w:bCs/>
          <w:sz w:val="24"/>
          <w:szCs w:val="24"/>
          <w:highlight w:val="green"/>
        </w:rPr>
        <w:t>For</w:t>
      </w:r>
      <w:proofErr w:type="gramEnd"/>
      <w:r w:rsidRPr="00E95765">
        <w:rPr>
          <w:rFonts w:ascii="Times New Roman" w:eastAsia="Times New Roman" w:hAnsi="Times New Roman" w:cs="Times New Roman"/>
          <w:b/>
          <w:bCs/>
          <w:sz w:val="24"/>
          <w:szCs w:val="24"/>
          <w:highlight w:val="yellow"/>
        </w:rPr>
        <w:t xml:space="preserve"> </w:t>
      </w:r>
      <w:proofErr w:type="spellStart"/>
      <w:r w:rsidR="00C40BF9" w:rsidRPr="00E95765">
        <w:rPr>
          <w:rFonts w:ascii="Times New Roman" w:eastAsia="Times New Roman" w:hAnsi="Times New Roman" w:cs="Times New Roman"/>
          <w:b/>
          <w:bCs/>
          <w:sz w:val="24"/>
          <w:szCs w:val="24"/>
          <w:highlight w:val="yellow"/>
        </w:rPr>
        <w:t>Lymphotoxic</w:t>
      </w:r>
      <w:proofErr w:type="spellEnd"/>
      <w:r w:rsidR="00C40BF9" w:rsidRPr="00E95765">
        <w:rPr>
          <w:rFonts w:ascii="Times New Roman" w:eastAsia="Times New Roman" w:hAnsi="Times New Roman" w:cs="Times New Roman"/>
          <w:b/>
          <w:bCs/>
          <w:sz w:val="24"/>
          <w:szCs w:val="24"/>
          <w:highlight w:val="yellow"/>
        </w:rPr>
        <w:t xml:space="preserve"> Drugs Prior </w:t>
      </w:r>
      <w:r w:rsidRPr="00E95765">
        <w:rPr>
          <w:rFonts w:ascii="Times New Roman" w:eastAsia="Times New Roman" w:hAnsi="Times New Roman" w:cs="Times New Roman"/>
          <w:b/>
          <w:bCs/>
          <w:sz w:val="24"/>
          <w:szCs w:val="24"/>
          <w:highlight w:val="green"/>
        </w:rPr>
        <w:t>To</w:t>
      </w:r>
      <w:r w:rsidRPr="00E95765">
        <w:rPr>
          <w:rFonts w:ascii="Times New Roman" w:eastAsia="Times New Roman" w:hAnsi="Times New Roman" w:cs="Times New Roman"/>
          <w:b/>
          <w:bCs/>
          <w:sz w:val="24"/>
          <w:szCs w:val="24"/>
          <w:highlight w:val="yellow"/>
        </w:rPr>
        <w:t xml:space="preserve"> </w:t>
      </w:r>
      <w:proofErr w:type="spellStart"/>
      <w:r w:rsidR="00C40BF9" w:rsidRPr="00E95765">
        <w:rPr>
          <w:rFonts w:ascii="Times New Roman" w:eastAsia="Times New Roman" w:hAnsi="Times New Roman" w:cs="Times New Roman"/>
          <w:b/>
          <w:bCs/>
          <w:sz w:val="24"/>
          <w:szCs w:val="24"/>
          <w:highlight w:val="yellow"/>
        </w:rPr>
        <w:t>Leukapheresis</w:t>
      </w:r>
      <w:proofErr w:type="spellEnd"/>
    </w:p>
    <w:tbl>
      <w:tblPr>
        <w:tblW w:w="9512"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06"/>
        <w:gridCol w:w="2332"/>
        <w:gridCol w:w="3574"/>
      </w:tblGrid>
      <w:tr w:rsidR="00D80BD4" w:rsidRPr="00E95765">
        <w:trPr>
          <w:trHeight w:val="737"/>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D80BD4" w:rsidRPr="00E95765" w:rsidRDefault="00C40BF9">
            <w:pPr>
              <w:pStyle w:val="T20"/>
              <w:spacing w:line="480" w:lineRule="auto"/>
              <w:rPr>
                <w:b/>
                <w:bCs/>
              </w:rPr>
            </w:pPr>
            <w:r w:rsidRPr="00E95765">
              <w:rPr>
                <w:b/>
                <w:bCs/>
              </w:rPr>
              <w:t>Drug/Class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D80BD4" w:rsidRPr="00E95765" w:rsidRDefault="00C40BF9">
            <w:pPr>
              <w:pStyle w:val="T20"/>
              <w:spacing w:line="480" w:lineRule="auto"/>
              <w:rPr>
                <w:b/>
                <w:bCs/>
              </w:rPr>
            </w:pPr>
            <w:r w:rsidRPr="00E95765">
              <w:rPr>
                <w:b/>
                <w:bCs/>
              </w:rPr>
              <w:t>Suggested Washout Period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D80BD4" w:rsidRPr="00E95765" w:rsidRDefault="00C40BF9">
            <w:pPr>
              <w:pStyle w:val="T20"/>
              <w:spacing w:line="480" w:lineRule="auto"/>
              <w:rPr>
                <w:b/>
                <w:bCs/>
              </w:rPr>
            </w:pPr>
            <w:r w:rsidRPr="00E95765">
              <w:rPr>
                <w:b/>
                <w:bCs/>
              </w:rPr>
              <w:t>Notes</w:t>
            </w:r>
          </w:p>
        </w:tc>
      </w:tr>
      <w:tr w:rsidR="00D80BD4" w:rsidRPr="00E95765">
        <w:trPr>
          <w:trHeight w:val="74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0"/>
              <w:spacing w:line="480" w:lineRule="auto"/>
            </w:pPr>
            <w:r w:rsidRPr="00E95765">
              <w:t>Corticosteroids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E95765">
            <w:pPr>
              <w:pStyle w:val="T0"/>
              <w:spacing w:line="480" w:lineRule="auto"/>
            </w:pPr>
            <w:r w:rsidRPr="00E95765">
              <w:rPr>
                <w:highlight w:val="green"/>
              </w:rPr>
              <w:t>≥</w:t>
            </w:r>
            <w:r w:rsidR="00C40BF9" w:rsidRPr="00E95765">
              <w:t xml:space="preserve"> 7 days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0"/>
              <w:spacing w:line="480" w:lineRule="auto"/>
            </w:pPr>
            <w:r w:rsidRPr="00E95765">
              <w:t>Avoid systemic steroids to preserve T cell viability</w:t>
            </w:r>
          </w:p>
        </w:tc>
      </w:tr>
      <w:tr w:rsidR="00D80BD4" w:rsidRPr="00E95765">
        <w:trPr>
          <w:trHeight w:val="74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0"/>
              <w:spacing w:line="480" w:lineRule="auto"/>
            </w:pPr>
            <w:proofErr w:type="spellStart"/>
            <w:r w:rsidRPr="00E95765">
              <w:t>Fludarabine</w:t>
            </w:r>
            <w:proofErr w:type="spellEnd"/>
            <w:r w:rsidRPr="00E95765">
              <w:t xml:space="preserve">, </w:t>
            </w:r>
            <w:proofErr w:type="spellStart"/>
            <w:r w:rsidRPr="00E95765">
              <w:t>Bendamustine</w:t>
            </w:r>
            <w:proofErr w:type="spellEnd"/>
            <w:r w:rsidRPr="00E95765">
              <w:t xml:space="preserve">, </w:t>
            </w:r>
            <w:proofErr w:type="spellStart"/>
            <w:r w:rsidRPr="00E95765">
              <w:t>Clofarabine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E95765">
            <w:pPr>
              <w:pStyle w:val="T0"/>
              <w:spacing w:line="480" w:lineRule="auto"/>
            </w:pPr>
            <w:r w:rsidRPr="00E95765">
              <w:rPr>
                <w:highlight w:val="green"/>
              </w:rPr>
              <w:t>≥</w:t>
            </w:r>
            <w:r w:rsidR="00C40BF9" w:rsidRPr="00E95765">
              <w:t xml:space="preserve"> 8–12 weeks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0"/>
              <w:spacing w:line="480" w:lineRule="auto"/>
            </w:pPr>
            <w:r w:rsidRPr="00E95765">
              <w:t xml:space="preserve">Long-lasting </w:t>
            </w:r>
            <w:proofErr w:type="spellStart"/>
            <w:r w:rsidRPr="00E95765">
              <w:t>lymphotoxic</w:t>
            </w:r>
            <w:proofErr w:type="spellEnd"/>
            <w:r w:rsidRPr="00E95765">
              <w:t xml:space="preserve"> effects</w:t>
            </w:r>
          </w:p>
        </w:tc>
      </w:tr>
      <w:tr w:rsidR="00D80BD4" w:rsidRPr="00E95765">
        <w:trPr>
          <w:trHeight w:val="74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0"/>
              <w:spacing w:line="480" w:lineRule="auto"/>
            </w:pPr>
            <w:proofErr w:type="spellStart"/>
            <w:r w:rsidRPr="00E95765">
              <w:t>Alemtuzumab</w:t>
            </w:r>
            <w:proofErr w:type="spellEnd"/>
            <w:r w:rsidRPr="00E95765">
              <w:t xml:space="preserve"> (Anti-CD52 monoclonal antibody)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E95765">
            <w:pPr>
              <w:pStyle w:val="T0"/>
              <w:spacing w:line="480" w:lineRule="auto"/>
            </w:pPr>
            <w:r w:rsidRPr="00E95765">
              <w:rPr>
                <w:highlight w:val="green"/>
              </w:rPr>
              <w:t>≥</w:t>
            </w:r>
            <w:r w:rsidR="00C40BF9" w:rsidRPr="00E95765">
              <w:t xml:space="preserve"> 6 months (typically 6+ months)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0"/>
              <w:spacing w:line="480" w:lineRule="auto"/>
            </w:pPr>
            <w:r w:rsidRPr="00E95765">
              <w:t>Prolonged deep lymphocyte depletion</w:t>
            </w:r>
            <w:bookmarkStart w:id="6" w:name="_GoBack"/>
            <w:bookmarkEnd w:id="6"/>
          </w:p>
        </w:tc>
      </w:tr>
      <w:tr w:rsidR="00D80BD4" w:rsidRPr="00E95765">
        <w:trPr>
          <w:trHeight w:val="73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0"/>
              <w:spacing w:line="480" w:lineRule="auto"/>
            </w:pPr>
            <w:r w:rsidRPr="00E95765">
              <w:t xml:space="preserve">Other </w:t>
            </w:r>
            <w:proofErr w:type="spellStart"/>
            <w:r w:rsidRPr="00E95765">
              <w:t>Immunosuppressants</w:t>
            </w:r>
            <w:proofErr w:type="spellEnd"/>
            <w:r w:rsidRPr="00E95765">
              <w:t xml:space="preserve"> (e.g., anti-CD38 Abs)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0"/>
              <w:spacing w:line="480" w:lineRule="auto"/>
            </w:pPr>
            <w:r w:rsidRPr="00E95765">
              <w:t>Variable, 2–8+ weeks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D80BD4" w:rsidRPr="00E95765" w:rsidRDefault="00C40BF9">
            <w:pPr>
              <w:pStyle w:val="T0"/>
              <w:spacing w:line="480" w:lineRule="auto"/>
            </w:pPr>
            <w:r w:rsidRPr="00E95765">
              <w:t>Based on individual drug pharmacodynamics</w:t>
            </w:r>
          </w:p>
        </w:tc>
      </w:tr>
    </w:tbl>
    <w:p w:rsidR="00D80BD4" w:rsidRPr="00E95765" w:rsidRDefault="00C40BF9" w:rsidP="00C10167">
      <w:pPr>
        <w:pStyle w:val="PMI"/>
      </w:pPr>
      <w:r w:rsidRPr="00E95765">
        <w:rPr>
          <w:rStyle w:val="Tag"/>
          <w:rFonts w:ascii="Times New Roman" w:eastAsia="Times New Roman" w:hAnsi="Times New Roman" w:cs="Times New Roman"/>
          <w:sz w:val="24"/>
          <w:szCs w:val="24"/>
        </w:rPr>
        <w:t>&lt;/</w:t>
      </w:r>
      <w:bookmarkStart w:id="7" w:name="bm_tab_cite_TAB5_4"/>
      <w:sdt>
        <w:sdtPr>
          <w:rPr>
            <w:rStyle w:val="Tag"/>
            <w:rFonts w:ascii="Times New Roman" w:eastAsia="Times New Roman" w:hAnsi="Times New Roman" w:cs="Times New Roman"/>
            <w:sz w:val="24"/>
            <w:szCs w:val="24"/>
          </w:rPr>
          <w:alias w:val="Table Citation"/>
          <w:tag w:val="tab_cite"/>
          <w:id w:val="909960957"/>
          <w:placeholder>
            <w:docPart w:val="DefaultPlaceholder_1082065158"/>
          </w:placeholder>
        </w:sdtPr>
        <w:sdtEndPr>
          <w:rPr>
            <w:rStyle w:val="Tag"/>
          </w:rPr>
        </w:sdtEndPr>
        <w:sdtContent>
          <w:r w:rsidRPr="00E95765">
            <w:rPr>
              <w:rStyle w:val="Tag"/>
              <w:rFonts w:ascii="Times New Roman" w:eastAsia="Times New Roman" w:hAnsi="Times New Roman" w:cs="Times New Roman"/>
              <w:sz w:val="24"/>
              <w:szCs w:val="24"/>
            </w:rPr>
            <w:t>TAB5.4</w:t>
          </w:r>
          <w:bookmarkEnd w:id="7"/>
        </w:sdtContent>
      </w:sdt>
      <w:r w:rsidRPr="00E95765">
        <w:rPr>
          <w:rStyle w:val="Tag"/>
          <w:rFonts w:ascii="Times New Roman" w:eastAsia="Times New Roman" w:hAnsi="Times New Roman" w:cs="Times New Roman"/>
          <w:sz w:val="24"/>
          <w:szCs w:val="24"/>
        </w:rPr>
        <w:t>&gt;</w:t>
      </w:r>
    </w:p>
    <w:p w:rsidR="00C10167" w:rsidRPr="00E95765" w:rsidRDefault="00C10167" w:rsidP="00C10167">
      <w:pPr>
        <w:pStyle w:val="PMI"/>
      </w:pPr>
    </w:p>
    <w:sectPr w:rsidR="00C10167" w:rsidRPr="00E957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00000001" w:usb1="5000607B"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E4604"/>
    <w:multiLevelType w:val="multilevel"/>
    <w:tmpl w:val="B938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A67F4F"/>
    <w:multiLevelType w:val="multilevel"/>
    <w:tmpl w:val="7D4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C5284D"/>
    <w:multiLevelType w:val="multilevel"/>
    <w:tmpl w:val="B3B81E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0602BE"/>
    <w:multiLevelType w:val="multilevel"/>
    <w:tmpl w:val="C00C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5F6081B"/>
    <w:multiLevelType w:val="hybridMultilevel"/>
    <w:tmpl w:val="60609B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9EB5534"/>
    <w:multiLevelType w:val="multilevel"/>
    <w:tmpl w:val="ECB8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01530A"/>
    <w:multiLevelType w:val="hybridMultilevel"/>
    <w:tmpl w:val="CAB8B2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39D554AE"/>
    <w:multiLevelType w:val="multilevel"/>
    <w:tmpl w:val="AE66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6414DD"/>
    <w:multiLevelType w:val="multilevel"/>
    <w:tmpl w:val="1300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7C1B00"/>
    <w:multiLevelType w:val="multilevel"/>
    <w:tmpl w:val="08C6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1914CD"/>
    <w:multiLevelType w:val="multilevel"/>
    <w:tmpl w:val="4806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6A4BC8"/>
    <w:multiLevelType w:val="multilevel"/>
    <w:tmpl w:val="F04A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0"/>
  </w:num>
  <w:num w:numId="4">
    <w:abstractNumId w:val="5"/>
  </w:num>
  <w:num w:numId="5">
    <w:abstractNumId w:val="8"/>
  </w:num>
  <w:num w:numId="6">
    <w:abstractNumId w:val="10"/>
  </w:num>
  <w:num w:numId="7">
    <w:abstractNumId w:val="9"/>
  </w:num>
  <w:num w:numId="8">
    <w:abstractNumId w:val="7"/>
  </w:num>
  <w:num w:numId="9">
    <w:abstractNumId w:val="2"/>
  </w:num>
  <w:num w:numId="10">
    <w:abstractNumId w:val="3"/>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CC1"/>
    <w:rsid w:val="00024B17"/>
    <w:rsid w:val="000348B5"/>
    <w:rsid w:val="000B71DA"/>
    <w:rsid w:val="000E73DD"/>
    <w:rsid w:val="000F57FB"/>
    <w:rsid w:val="000F6933"/>
    <w:rsid w:val="0018058B"/>
    <w:rsid w:val="00185D24"/>
    <w:rsid w:val="002869BD"/>
    <w:rsid w:val="002D13B4"/>
    <w:rsid w:val="00314605"/>
    <w:rsid w:val="00470D30"/>
    <w:rsid w:val="0051434C"/>
    <w:rsid w:val="00595329"/>
    <w:rsid w:val="006453F4"/>
    <w:rsid w:val="006D0014"/>
    <w:rsid w:val="008967C0"/>
    <w:rsid w:val="00925968"/>
    <w:rsid w:val="00996B16"/>
    <w:rsid w:val="00B86F94"/>
    <w:rsid w:val="00B9448A"/>
    <w:rsid w:val="00C10167"/>
    <w:rsid w:val="00C40BF9"/>
    <w:rsid w:val="00D40955"/>
    <w:rsid w:val="00D80BD4"/>
    <w:rsid w:val="00DF7EBB"/>
    <w:rsid w:val="00E7074D"/>
    <w:rsid w:val="00E95765"/>
    <w:rsid w:val="00ED6CC1"/>
    <w:rsid w:val="00F3398F"/>
    <w:rsid w:val="00F70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39"/>
    <w:lsdException w:name="caption" w:uiPriority="35" w:qFormat="1"/>
    <w:lsdException w:name="table of figures" w:uiPriority="0"/>
    <w:lsdException w:name="annotation reference" w:uiPriority="0"/>
    <w:lsdException w:name="table of authoriti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48B5"/>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6D0014"/>
    <w:pPr>
      <w:keepNext/>
      <w:spacing w:before="240" w:after="60"/>
      <w:outlineLvl w:val="0"/>
    </w:pPr>
    <w:rPr>
      <w:rFonts w:ascii="Arial" w:hAnsi="Arial"/>
      <w:b/>
      <w:kern w:val="28"/>
      <w:sz w:val="28"/>
    </w:rPr>
  </w:style>
  <w:style w:type="paragraph" w:styleId="Heading3">
    <w:name w:val="heading 3"/>
    <w:basedOn w:val="Normal"/>
    <w:next w:val="Normal"/>
    <w:link w:val="Heading3Char"/>
    <w:qFormat/>
    <w:rsid w:val="006D0014"/>
    <w:pPr>
      <w:keepNext/>
      <w:spacing w:before="240" w:after="60"/>
      <w:outlineLvl w:val="2"/>
    </w:pPr>
    <w:rPr>
      <w:rFonts w:ascii="Arial" w:hAnsi="Arial"/>
      <w:sz w:val="24"/>
    </w:rPr>
  </w:style>
  <w:style w:type="paragraph" w:styleId="Heading5">
    <w:name w:val="heading 5"/>
    <w:basedOn w:val="Normal"/>
    <w:next w:val="Normal"/>
    <w:link w:val="Heading5Char"/>
    <w:qFormat/>
    <w:rsid w:val="006D0014"/>
    <w:pPr>
      <w:spacing w:before="240" w:after="60"/>
      <w:outlineLvl w:val="4"/>
    </w:pPr>
    <w:rPr>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Pr>
      <w:sz w:val="24"/>
      <w:szCs w:val="24"/>
    </w:rPr>
  </w:style>
  <w:style w:type="character" w:styleId="CommentReference">
    <w:name w:val="annotation reference"/>
    <w:semiHidden/>
    <w:rsid w:val="006D0014"/>
    <w:rPr>
      <w:rFonts w:ascii="Helvetica" w:hAnsi="Helvetica"/>
      <w:b/>
      <w:sz w:val="28"/>
      <w:bdr w:val="none" w:sz="0" w:space="0" w:color="auto"/>
      <w:shd w:val="clear" w:color="auto" w:fill="FFFF00"/>
    </w:rPr>
  </w:style>
  <w:style w:type="paragraph" w:styleId="CommentText">
    <w:name w:val="annotation text"/>
    <w:basedOn w:val="Normal"/>
    <w:link w:val="CommentTextChar"/>
    <w:uiPriority w:val="99"/>
    <w:semiHidden/>
    <w:unhideWhenUsed/>
    <w:rsid w:val="006D0014"/>
  </w:style>
  <w:style w:type="character" w:customStyle="1" w:styleId="CommentTextChar">
    <w:name w:val="Comment Text Char"/>
    <w:link w:val="CommentText"/>
    <w:uiPriority w:val="99"/>
    <w:semiHidden/>
    <w:rsid w:val="006D001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D0014"/>
    <w:rPr>
      <w:b/>
      <w:bCs/>
    </w:rPr>
  </w:style>
  <w:style w:type="character" w:customStyle="1" w:styleId="CommentSubjectChar">
    <w:name w:val="Comment Subject Char"/>
    <w:link w:val="CommentSubject"/>
    <w:uiPriority w:val="99"/>
    <w:semiHidden/>
    <w:rsid w:val="006D001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6D0014"/>
    <w:pPr>
      <w:widowControl w:val="0"/>
      <w:autoSpaceDE w:val="0"/>
      <w:autoSpaceDN w:val="0"/>
      <w:adjustRightInd w:val="0"/>
    </w:pPr>
    <w:rPr>
      <w:rFonts w:ascii="Tahoma" w:hAnsi="Tahoma" w:cs="Tahoma"/>
      <w:sz w:val="16"/>
      <w:szCs w:val="16"/>
    </w:rPr>
  </w:style>
  <w:style w:type="character" w:customStyle="1" w:styleId="BalloonTextChar">
    <w:name w:val="Balloon Text Char"/>
    <w:link w:val="BalloonText"/>
    <w:uiPriority w:val="99"/>
    <w:semiHidden/>
    <w:rsid w:val="006D0014"/>
    <w:rPr>
      <w:rFonts w:ascii="Tahoma" w:eastAsia="Times New Roman" w:hAnsi="Tahoma" w:cs="Tahoma"/>
      <w:sz w:val="16"/>
      <w:szCs w:val="16"/>
      <w:lang w:val="en-US"/>
    </w:rPr>
  </w:style>
  <w:style w:type="paragraph" w:styleId="Revision">
    <w:name w:val="Revision"/>
    <w:hidden/>
    <w:uiPriority w:val="99"/>
    <w:semiHidden/>
    <w:pPr>
      <w:spacing w:after="0" w:line="240" w:lineRule="auto"/>
    </w:pPr>
    <w:rPr>
      <w:lang w:val="en-US"/>
    </w:rPr>
  </w:style>
  <w:style w:type="paragraph" w:styleId="ListParagraph">
    <w:name w:val="List Paragraph"/>
    <w:basedOn w:val="Normal"/>
    <w:uiPriority w:val="34"/>
    <w:qFormat/>
    <w:rsid w:val="006D0014"/>
    <w:pPr>
      <w:ind w:left="720"/>
      <w:contextualSpacing/>
    </w:pPr>
  </w:style>
  <w:style w:type="character" w:customStyle="1" w:styleId="Tag">
    <w:name w:val="Tag"/>
  </w:style>
  <w:style w:type="paragraph" w:customStyle="1" w:styleId="CN">
    <w:name w:val="CN"/>
    <w:qFormat/>
    <w:rPr>
      <w:lang w:val="en-US"/>
    </w:rPr>
  </w:style>
  <w:style w:type="character" w:customStyle="1" w:styleId="CN0">
    <w:name w:val="CN"/>
  </w:style>
  <w:style w:type="character" w:customStyle="1" w:styleId="CW">
    <w:name w:val="CW"/>
  </w:style>
  <w:style w:type="paragraph" w:customStyle="1" w:styleId="CT">
    <w:name w:val="CT"/>
    <w:qFormat/>
    <w:rPr>
      <w:lang w:val="en-US"/>
    </w:rPr>
  </w:style>
  <w:style w:type="paragraph" w:customStyle="1" w:styleId="PMI">
    <w:name w:val="PMI"/>
    <w:basedOn w:val="TablePlaceHolder"/>
    <w:qFormat/>
    <w:rsid w:val="00B86F94"/>
    <w:pPr>
      <w:spacing w:before="100" w:beforeAutospacing="1" w:after="100" w:afterAutospacing="1" w:line="480" w:lineRule="auto"/>
      <w:contextualSpacing/>
    </w:pPr>
  </w:style>
  <w:style w:type="paragraph" w:customStyle="1" w:styleId="ChapterOpenPara">
    <w:name w:val="Chapter_Open_Para"/>
    <w:qFormat/>
    <w:rPr>
      <w:lang w:val="en-US"/>
    </w:rPr>
  </w:style>
  <w:style w:type="paragraph" w:customStyle="1" w:styleId="H1">
    <w:name w:val="H1"/>
    <w:qFormat/>
    <w:rPr>
      <w:lang w:val="en-US"/>
    </w:rPr>
  </w:style>
  <w:style w:type="character" w:customStyle="1" w:styleId="TableCitation">
    <w:name w:val="TableCitation"/>
  </w:style>
  <w:style w:type="paragraph" w:customStyle="1" w:styleId="TXT-FLUSH">
    <w:name w:val="TXT-FLUSH"/>
    <w:qFormat/>
    <w:rPr>
      <w:lang w:val="en-US"/>
    </w:rPr>
  </w:style>
  <w:style w:type="paragraph" w:customStyle="1" w:styleId="SRH1">
    <w:name w:val="SRH1"/>
    <w:basedOn w:val="REF"/>
    <w:qFormat/>
    <w:rsid w:val="00314605"/>
    <w:pPr>
      <w:spacing w:before="100" w:beforeAutospacing="1" w:after="100" w:afterAutospacing="1" w:line="480" w:lineRule="auto"/>
      <w:outlineLvl w:val="3"/>
    </w:pPr>
  </w:style>
  <w:style w:type="paragraph" w:customStyle="1" w:styleId="TablePlaceHolder">
    <w:name w:val="Table_Place_Holder"/>
    <w:qFormat/>
    <w:rPr>
      <w:lang w:val="en-US"/>
    </w:rPr>
  </w:style>
  <w:style w:type="character" w:customStyle="1" w:styleId="FigureCitation">
    <w:name w:val="FigureCitation"/>
  </w:style>
  <w:style w:type="character" w:customStyle="1" w:styleId="bibalt-year">
    <w:name w:val="bib_alt-year"/>
    <w:rsid w:val="006D0014"/>
    <w:rPr>
      <w:rFonts w:ascii="Times New Roman" w:hAnsi="Times New Roman"/>
      <w:sz w:val="24"/>
      <w:szCs w:val="24"/>
      <w:bdr w:val="none" w:sz="0" w:space="0" w:color="auto"/>
      <w:shd w:val="clear" w:color="auto" w:fill="CC99FF"/>
    </w:rPr>
  </w:style>
  <w:style w:type="paragraph" w:customStyle="1" w:styleId="TXT-FLUSH0">
    <w:name w:val="TXT-FLUSH"/>
    <w:basedOn w:val="Normal"/>
    <w:unhideWhenUsed/>
    <w:qFormat/>
    <w:rPr>
      <w:sz w:val="24"/>
      <w:szCs w:val="24"/>
    </w:rPr>
  </w:style>
  <w:style w:type="character" w:customStyle="1" w:styleId="bibbase">
    <w:name w:val="bib_base"/>
    <w:rsid w:val="006D0014"/>
    <w:rPr>
      <w:rFonts w:ascii="Times New Roman" w:hAnsi="Times New Roman"/>
      <w:sz w:val="24"/>
    </w:rPr>
  </w:style>
  <w:style w:type="paragraph" w:customStyle="1" w:styleId="FigurePlaceHolder">
    <w:name w:val="Figure_Place_Holder"/>
    <w:basedOn w:val="Normal"/>
    <w:uiPriority w:val="99"/>
    <w:unhideWhenUsed/>
    <w:rPr>
      <w:sz w:val="24"/>
      <w:szCs w:val="24"/>
    </w:rPr>
  </w:style>
  <w:style w:type="paragraph" w:customStyle="1" w:styleId="H10">
    <w:name w:val="H1"/>
    <w:basedOn w:val="Normal"/>
    <w:uiPriority w:val="99"/>
    <w:unhideWhenUsed/>
    <w:rPr>
      <w:sz w:val="24"/>
      <w:szCs w:val="24"/>
    </w:rPr>
  </w:style>
  <w:style w:type="paragraph" w:customStyle="1" w:styleId="H2">
    <w:name w:val="H2"/>
    <w:basedOn w:val="Normal"/>
    <w:uiPriority w:val="99"/>
    <w:unhideWhenUsed/>
    <w:rPr>
      <w:sz w:val="24"/>
      <w:szCs w:val="24"/>
    </w:rPr>
  </w:style>
  <w:style w:type="character" w:customStyle="1" w:styleId="bibbook">
    <w:name w:val="bib_book"/>
    <w:rsid w:val="006D0014"/>
    <w:rPr>
      <w:rFonts w:ascii="Times New Roman" w:hAnsi="Times New Roman"/>
      <w:sz w:val="24"/>
      <w:bdr w:val="none" w:sz="0" w:space="0" w:color="auto"/>
      <w:shd w:val="clear" w:color="auto" w:fill="99CCFF"/>
    </w:rPr>
  </w:style>
  <w:style w:type="character" w:customStyle="1" w:styleId="BulletManualBodyList">
    <w:name w:val="BulletManualBodyList"/>
  </w:style>
  <w:style w:type="character" w:customStyle="1" w:styleId="bibchapterno">
    <w:name w:val="bib_chapterno"/>
    <w:rsid w:val="006D0014"/>
    <w:rPr>
      <w:rFonts w:ascii="Times New Roman" w:hAnsi="Times New Roman"/>
      <w:sz w:val="24"/>
      <w:bdr w:val="none" w:sz="0" w:space="0" w:color="auto"/>
      <w:shd w:val="clear" w:color="auto" w:fill="D9D9D9"/>
    </w:rPr>
  </w:style>
  <w:style w:type="paragraph" w:customStyle="1" w:styleId="BL-FIRST">
    <w:name w:val="BL-FIRST"/>
    <w:qFormat/>
    <w:rPr>
      <w:lang w:val="en-US"/>
    </w:rPr>
  </w:style>
  <w:style w:type="paragraph" w:customStyle="1" w:styleId="BL-MID">
    <w:name w:val="BL-MID"/>
    <w:qFormat/>
    <w:rPr>
      <w:lang w:val="en-US"/>
    </w:rPr>
  </w:style>
  <w:style w:type="paragraph" w:customStyle="1" w:styleId="BL-LAST">
    <w:name w:val="BL-LAST"/>
    <w:qFormat/>
    <w:rPr>
      <w:lang w:val="en-US"/>
    </w:rPr>
  </w:style>
  <w:style w:type="paragraph" w:customStyle="1" w:styleId="H20">
    <w:name w:val="H2"/>
    <w:qFormat/>
    <w:rPr>
      <w:lang w:val="en-US"/>
    </w:rPr>
  </w:style>
  <w:style w:type="character" w:customStyle="1" w:styleId="bibchaptertitle">
    <w:name w:val="bib_chaptertitle"/>
    <w:rsid w:val="006D0014"/>
    <w:rPr>
      <w:rFonts w:ascii="Times New Roman" w:hAnsi="Times New Roman"/>
      <w:sz w:val="24"/>
      <w:bdr w:val="none" w:sz="0" w:space="0" w:color="auto"/>
      <w:shd w:val="clear" w:color="auto" w:fill="FF9D5B"/>
    </w:rPr>
  </w:style>
  <w:style w:type="character" w:customStyle="1" w:styleId="bibcomment">
    <w:name w:val="bib_comment"/>
    <w:rsid w:val="006D0014"/>
    <w:rPr>
      <w:rFonts w:ascii="Times New Roman" w:hAnsi="Times New Roman"/>
      <w:sz w:val="24"/>
    </w:rPr>
  </w:style>
  <w:style w:type="character" w:customStyle="1" w:styleId="citebib">
    <w:name w:val="cite_bib"/>
    <w:rsid w:val="006D0014"/>
    <w:rPr>
      <w:sz w:val="24"/>
      <w:bdr w:val="none" w:sz="0" w:space="0" w:color="auto"/>
      <w:shd w:val="clear" w:color="auto" w:fill="CCFFFF"/>
    </w:rPr>
  </w:style>
  <w:style w:type="paragraph" w:customStyle="1" w:styleId="REF">
    <w:name w:val="REF"/>
    <w:qFormat/>
    <w:rPr>
      <w:lang w:val="en-US"/>
    </w:rPr>
  </w:style>
  <w:style w:type="character" w:customStyle="1" w:styleId="ManualList">
    <w:name w:val="ManualList"/>
  </w:style>
  <w:style w:type="paragraph" w:customStyle="1" w:styleId="SR">
    <w:name w:val="SR"/>
    <w:qFormat/>
    <w:rPr>
      <w:lang w:val="en-US"/>
    </w:rPr>
  </w:style>
  <w:style w:type="character" w:customStyle="1" w:styleId="bibyear">
    <w:name w:val="bib_year"/>
    <w:rsid w:val="006D0014"/>
    <w:rPr>
      <w:rFonts w:ascii="Times New Roman" w:hAnsi="Times New Roman"/>
      <w:sz w:val="24"/>
      <w:bdr w:val="none" w:sz="0" w:space="0" w:color="auto"/>
      <w:shd w:val="clear" w:color="auto" w:fill="FFCCFF"/>
    </w:rPr>
  </w:style>
  <w:style w:type="character" w:customStyle="1" w:styleId="bibfname">
    <w:name w:val="bib_fname"/>
    <w:rsid w:val="006D0014"/>
    <w:rPr>
      <w:rFonts w:ascii="Times New Roman" w:hAnsi="Times New Roman"/>
      <w:sz w:val="24"/>
      <w:bdr w:val="none" w:sz="0" w:space="0" w:color="auto"/>
      <w:shd w:val="clear" w:color="auto" w:fill="FFFFCC"/>
    </w:rPr>
  </w:style>
  <w:style w:type="character" w:customStyle="1" w:styleId="bibsurname">
    <w:name w:val="bib_surname"/>
    <w:rsid w:val="006D0014"/>
    <w:rPr>
      <w:rFonts w:ascii="Times New Roman" w:hAnsi="Times New Roman"/>
      <w:sz w:val="24"/>
      <w:bdr w:val="none" w:sz="0" w:space="0" w:color="auto"/>
      <w:shd w:val="clear" w:color="auto" w:fill="CCFF99"/>
    </w:rPr>
  </w:style>
  <w:style w:type="character" w:customStyle="1" w:styleId="bibtitle">
    <w:name w:val="bib_title"/>
    <w:rsid w:val="006D0014"/>
    <w:rPr>
      <w:sz w:val="24"/>
      <w:effect w:val="none"/>
      <w:bdr w:val="none" w:sz="0" w:space="0" w:color="auto"/>
      <w:shd w:val="clear" w:color="auto" w:fill="D99594"/>
    </w:rPr>
  </w:style>
  <w:style w:type="character" w:customStyle="1" w:styleId="bibfpage">
    <w:name w:val="bib_fpage"/>
    <w:rsid w:val="006D0014"/>
    <w:rPr>
      <w:rFonts w:ascii="Times New Roman" w:hAnsi="Times New Roman"/>
      <w:sz w:val="24"/>
      <w:bdr w:val="none" w:sz="0" w:space="0" w:color="auto"/>
      <w:shd w:val="clear" w:color="auto" w:fill="E6E6E6"/>
    </w:rPr>
  </w:style>
  <w:style w:type="character" w:customStyle="1" w:styleId="bibjournal">
    <w:name w:val="bib_journal"/>
    <w:rsid w:val="006D0014"/>
    <w:rPr>
      <w:rFonts w:ascii="Times New Roman" w:hAnsi="Times New Roman"/>
      <w:sz w:val="24"/>
      <w:bdr w:val="none" w:sz="0" w:space="0" w:color="auto"/>
      <w:shd w:val="clear" w:color="auto" w:fill="F9DECF"/>
    </w:rPr>
  </w:style>
  <w:style w:type="character" w:customStyle="1" w:styleId="bibetal">
    <w:name w:val="bib_etal"/>
    <w:rsid w:val="006D0014"/>
    <w:rPr>
      <w:rFonts w:ascii="Times New Roman" w:hAnsi="Times New Roman"/>
      <w:sz w:val="24"/>
      <w:bdr w:val="none" w:sz="0" w:space="0" w:color="auto"/>
      <w:shd w:val="clear" w:color="auto" w:fill="CCFF99"/>
    </w:rPr>
  </w:style>
  <w:style w:type="character" w:customStyle="1" w:styleId="bibvolume">
    <w:name w:val="bib_volume"/>
    <w:rsid w:val="006D0014"/>
    <w:rPr>
      <w:rFonts w:ascii="Times New Roman" w:hAnsi="Times New Roman"/>
      <w:sz w:val="24"/>
      <w:bdr w:val="none" w:sz="0" w:space="0" w:color="auto"/>
      <w:shd w:val="clear" w:color="auto" w:fill="CCECFF"/>
    </w:rPr>
  </w:style>
  <w:style w:type="character" w:customStyle="1" w:styleId="bibarticle">
    <w:name w:val="bib_article"/>
    <w:rsid w:val="006D0014"/>
    <w:rPr>
      <w:rFonts w:ascii="Times New Roman" w:hAnsi="Times New Roman"/>
      <w:sz w:val="24"/>
      <w:bdr w:val="none" w:sz="0" w:space="0" w:color="auto"/>
      <w:shd w:val="clear" w:color="auto" w:fill="CCFFFF"/>
    </w:rPr>
  </w:style>
  <w:style w:type="character" w:customStyle="1" w:styleId="bibissue">
    <w:name w:val="bib_issue"/>
    <w:rsid w:val="006D0014"/>
    <w:rPr>
      <w:rFonts w:ascii="Times New Roman" w:hAnsi="Times New Roman"/>
      <w:sz w:val="24"/>
      <w:bdr w:val="none" w:sz="0" w:space="0" w:color="auto"/>
      <w:shd w:val="clear" w:color="auto" w:fill="FFFFAB"/>
    </w:rPr>
  </w:style>
  <w:style w:type="paragraph" w:customStyle="1" w:styleId="FigurePlaceHolder0">
    <w:name w:val="Figure_Place_Holder"/>
    <w:qFormat/>
    <w:rPr>
      <w:lang w:val="en-US"/>
    </w:rPr>
  </w:style>
  <w:style w:type="paragraph" w:customStyle="1" w:styleId="REF-U">
    <w:name w:val="REF-U"/>
    <w:qFormat/>
    <w:rPr>
      <w:lang w:val="en-US"/>
    </w:rPr>
  </w:style>
  <w:style w:type="character" w:customStyle="1" w:styleId="FIG-NUM">
    <w:name w:val="FIG-NUM"/>
  </w:style>
  <w:style w:type="paragraph" w:customStyle="1" w:styleId="DFIG51">
    <w:name w:val="DFIG5.1"/>
    <w:qFormat/>
    <w:rPr>
      <w:lang w:val="en-US"/>
    </w:rPr>
  </w:style>
  <w:style w:type="paragraph" w:customStyle="1" w:styleId="TXT">
    <w:name w:val="TXT"/>
    <w:qFormat/>
    <w:rPr>
      <w:lang w:val="en-US"/>
    </w:rPr>
  </w:style>
  <w:style w:type="character" w:customStyle="1" w:styleId="TN">
    <w:name w:val="TN"/>
  </w:style>
  <w:style w:type="paragraph" w:customStyle="1" w:styleId="TAB51">
    <w:name w:val="TAB5.1"/>
    <w:qFormat/>
    <w:rPr>
      <w:lang w:val="en-US"/>
    </w:rPr>
  </w:style>
  <w:style w:type="paragraph" w:customStyle="1" w:styleId="T2">
    <w:name w:val="T2"/>
    <w:qFormat/>
    <w:rPr>
      <w:lang w:val="en-US"/>
    </w:rPr>
  </w:style>
  <w:style w:type="paragraph" w:customStyle="1" w:styleId="T">
    <w:name w:val="T"/>
    <w:qFormat/>
    <w:rPr>
      <w:lang w:val="en-US"/>
    </w:rPr>
  </w:style>
  <w:style w:type="paragraph" w:customStyle="1" w:styleId="TAB52">
    <w:name w:val="TAB5.2"/>
    <w:qFormat/>
    <w:rPr>
      <w:lang w:val="en-US"/>
    </w:rPr>
  </w:style>
  <w:style w:type="paragraph" w:customStyle="1" w:styleId="TAB53">
    <w:name w:val="TAB5.3"/>
    <w:qFormat/>
    <w:rPr>
      <w:lang w:val="en-US"/>
    </w:rPr>
  </w:style>
  <w:style w:type="paragraph" w:customStyle="1" w:styleId="TAB54">
    <w:name w:val="TAB5.4"/>
    <w:qFormat/>
    <w:rPr>
      <w:lang w:val="en-US"/>
    </w:rPr>
  </w:style>
  <w:style w:type="paragraph" w:customStyle="1" w:styleId="T20">
    <w:name w:val="T2"/>
    <w:basedOn w:val="Normal"/>
    <w:uiPriority w:val="99"/>
    <w:unhideWhenUsed/>
    <w:rPr>
      <w:sz w:val="24"/>
      <w:szCs w:val="24"/>
    </w:rPr>
  </w:style>
  <w:style w:type="paragraph" w:customStyle="1" w:styleId="T0">
    <w:name w:val="T"/>
    <w:basedOn w:val="Normal"/>
    <w:uiPriority w:val="99"/>
    <w:unhideWhenUsed/>
    <w:rPr>
      <w:sz w:val="24"/>
      <w:szCs w:val="24"/>
    </w:rPr>
  </w:style>
  <w:style w:type="character" w:customStyle="1" w:styleId="bibconfacronym">
    <w:name w:val="bib_confacronym"/>
    <w:rsid w:val="006D0014"/>
    <w:rPr>
      <w:rFonts w:ascii="Times New Roman" w:hAnsi="Times New Roman"/>
      <w:sz w:val="24"/>
      <w:bdr w:val="none" w:sz="0" w:space="0" w:color="auto"/>
      <w:shd w:val="clear" w:color="auto" w:fill="FD77F3"/>
    </w:rPr>
  </w:style>
  <w:style w:type="character" w:customStyle="1" w:styleId="bibconfdate">
    <w:name w:val="bib_confdate"/>
    <w:rsid w:val="006D0014"/>
    <w:rPr>
      <w:rFonts w:ascii="Times New Roman" w:hAnsi="Times New Roman"/>
      <w:sz w:val="24"/>
      <w:bdr w:val="none" w:sz="0" w:space="0" w:color="auto"/>
      <w:shd w:val="clear" w:color="auto" w:fill="3CE0C1"/>
    </w:rPr>
  </w:style>
  <w:style w:type="character" w:customStyle="1" w:styleId="bibconference">
    <w:name w:val="bib_conference"/>
    <w:rsid w:val="006D0014"/>
    <w:rPr>
      <w:rFonts w:ascii="Times New Roman" w:hAnsi="Times New Roman"/>
      <w:sz w:val="24"/>
      <w:bdr w:val="none" w:sz="0" w:space="0" w:color="auto"/>
      <w:shd w:val="clear" w:color="auto" w:fill="9CB3FE"/>
    </w:rPr>
  </w:style>
  <w:style w:type="character" w:customStyle="1" w:styleId="bibconflocation">
    <w:name w:val="bib_conflocation"/>
    <w:rsid w:val="006D0014"/>
    <w:rPr>
      <w:rFonts w:ascii="Times New Roman" w:hAnsi="Times New Roman"/>
      <w:sz w:val="24"/>
      <w:bdr w:val="none" w:sz="0" w:space="0" w:color="auto"/>
      <w:shd w:val="clear" w:color="auto" w:fill="EC493C"/>
    </w:rPr>
  </w:style>
  <w:style w:type="character" w:customStyle="1" w:styleId="bibconfpaper">
    <w:name w:val="bib_confpaper"/>
    <w:rsid w:val="006D0014"/>
    <w:rPr>
      <w:rFonts w:ascii="Times New Roman" w:hAnsi="Times New Roman"/>
      <w:sz w:val="24"/>
      <w:bdr w:val="none" w:sz="0" w:space="0" w:color="auto"/>
      <w:shd w:val="clear" w:color="auto" w:fill="61FF65"/>
    </w:rPr>
  </w:style>
  <w:style w:type="character" w:customStyle="1" w:styleId="bibconfproceedings">
    <w:name w:val="bib_confproceedings"/>
    <w:rsid w:val="006D0014"/>
    <w:rPr>
      <w:rFonts w:ascii="Times New Roman" w:hAnsi="Times New Roman"/>
      <w:sz w:val="24"/>
      <w:bdr w:val="none" w:sz="0" w:space="0" w:color="auto"/>
      <w:shd w:val="clear" w:color="auto" w:fill="FDBA35"/>
    </w:rPr>
  </w:style>
  <w:style w:type="character" w:customStyle="1" w:styleId="bibday">
    <w:name w:val="bib_day"/>
    <w:rsid w:val="006D0014"/>
    <w:rPr>
      <w:rFonts w:ascii="Times New Roman" w:hAnsi="Times New Roman"/>
      <w:sz w:val="24"/>
      <w:bdr w:val="none" w:sz="0" w:space="0" w:color="auto"/>
      <w:shd w:val="clear" w:color="auto" w:fill="FFFF66"/>
    </w:rPr>
  </w:style>
  <w:style w:type="character" w:customStyle="1" w:styleId="bibdeg">
    <w:name w:val="bib_deg"/>
    <w:rsid w:val="006D0014"/>
    <w:rPr>
      <w:rFonts w:ascii="Times New Roman" w:hAnsi="Times New Roman"/>
      <w:sz w:val="24"/>
    </w:rPr>
  </w:style>
  <w:style w:type="character" w:customStyle="1" w:styleId="bibdoi">
    <w:name w:val="bib_doi"/>
    <w:rsid w:val="006D0014"/>
    <w:rPr>
      <w:rFonts w:ascii="Times New Roman" w:hAnsi="Times New Roman"/>
      <w:sz w:val="24"/>
      <w:bdr w:val="none" w:sz="0" w:space="0" w:color="auto"/>
      <w:shd w:val="clear" w:color="auto" w:fill="CCFFCC"/>
    </w:rPr>
  </w:style>
  <w:style w:type="character" w:customStyle="1" w:styleId="bibed-etal">
    <w:name w:val="bib_ed-etal"/>
    <w:rsid w:val="006D0014"/>
    <w:rPr>
      <w:rFonts w:ascii="Times New Roman" w:hAnsi="Times New Roman"/>
      <w:sz w:val="24"/>
      <w:bdr w:val="none" w:sz="0" w:space="0" w:color="auto"/>
      <w:shd w:val="clear" w:color="auto" w:fill="00F4EE"/>
    </w:rPr>
  </w:style>
  <w:style w:type="character" w:customStyle="1" w:styleId="bibed-fname">
    <w:name w:val="bib_ed-fname"/>
    <w:rsid w:val="006D0014"/>
    <w:rPr>
      <w:rFonts w:ascii="Times New Roman" w:hAnsi="Times New Roman"/>
      <w:sz w:val="24"/>
      <w:bdr w:val="none" w:sz="0" w:space="0" w:color="auto"/>
      <w:shd w:val="clear" w:color="auto" w:fill="FFFFB7"/>
    </w:rPr>
  </w:style>
  <w:style w:type="character" w:customStyle="1" w:styleId="bibeditionno">
    <w:name w:val="bib_editionno"/>
    <w:rsid w:val="006D0014"/>
    <w:rPr>
      <w:rFonts w:ascii="Times New Roman" w:hAnsi="Times New Roman"/>
      <w:sz w:val="24"/>
      <w:bdr w:val="none" w:sz="0" w:space="0" w:color="auto"/>
      <w:shd w:val="clear" w:color="auto" w:fill="FFCC00"/>
    </w:rPr>
  </w:style>
  <w:style w:type="character" w:customStyle="1" w:styleId="bibed-organization">
    <w:name w:val="bib_ed-organization"/>
    <w:rsid w:val="006D0014"/>
    <w:rPr>
      <w:rFonts w:ascii="Times New Roman" w:hAnsi="Times New Roman"/>
      <w:sz w:val="24"/>
      <w:bdr w:val="none" w:sz="0" w:space="0" w:color="auto"/>
      <w:shd w:val="clear" w:color="auto" w:fill="FCAAC3"/>
    </w:rPr>
  </w:style>
  <w:style w:type="character" w:customStyle="1" w:styleId="bibed-suffix">
    <w:name w:val="bib_ed-suffix"/>
    <w:rsid w:val="006D0014"/>
    <w:rPr>
      <w:rFonts w:ascii="Times New Roman" w:hAnsi="Times New Roman"/>
      <w:sz w:val="24"/>
      <w:bdr w:val="none" w:sz="0" w:space="0" w:color="auto"/>
      <w:shd w:val="clear" w:color="auto" w:fill="CCFFCC"/>
    </w:rPr>
  </w:style>
  <w:style w:type="character" w:customStyle="1" w:styleId="bibed-surname">
    <w:name w:val="bib_ed-surname"/>
    <w:rsid w:val="006D0014"/>
    <w:rPr>
      <w:rFonts w:ascii="Times New Roman" w:hAnsi="Times New Roman"/>
      <w:sz w:val="24"/>
      <w:bdr w:val="none" w:sz="0" w:space="0" w:color="auto"/>
      <w:shd w:val="clear" w:color="auto" w:fill="FFFF00"/>
    </w:rPr>
  </w:style>
  <w:style w:type="character" w:customStyle="1" w:styleId="bibextlink">
    <w:name w:val="bib_extlink"/>
    <w:rsid w:val="006D0014"/>
    <w:rPr>
      <w:rFonts w:ascii="Times New Roman" w:hAnsi="Times New Roman"/>
      <w:sz w:val="20"/>
      <w:bdr w:val="none" w:sz="0" w:space="0" w:color="auto"/>
      <w:shd w:val="clear" w:color="auto" w:fill="6CCE9D"/>
    </w:rPr>
  </w:style>
  <w:style w:type="character" w:customStyle="1" w:styleId="bibinstitution">
    <w:name w:val="bib_institution"/>
    <w:rsid w:val="006D0014"/>
    <w:rPr>
      <w:rFonts w:ascii="Times New Roman" w:hAnsi="Times New Roman"/>
      <w:sz w:val="24"/>
      <w:bdr w:val="none" w:sz="0" w:space="0" w:color="auto"/>
      <w:shd w:val="clear" w:color="auto" w:fill="CCFFCC"/>
    </w:rPr>
  </w:style>
  <w:style w:type="character" w:customStyle="1" w:styleId="bibisbn">
    <w:name w:val="bib_isbn"/>
    <w:rsid w:val="006D0014"/>
    <w:rPr>
      <w:rFonts w:ascii="Times New Roman" w:hAnsi="Times New Roman"/>
      <w:sz w:val="24"/>
      <w:shd w:val="clear" w:color="auto" w:fill="D9D9D9"/>
    </w:rPr>
  </w:style>
  <w:style w:type="character" w:customStyle="1" w:styleId="biblocation">
    <w:name w:val="bib_location"/>
    <w:rsid w:val="006D0014"/>
    <w:rPr>
      <w:rFonts w:ascii="Times New Roman" w:hAnsi="Times New Roman"/>
      <w:sz w:val="24"/>
      <w:bdr w:val="none" w:sz="0" w:space="0" w:color="auto"/>
      <w:shd w:val="clear" w:color="auto" w:fill="FFCCCC"/>
    </w:rPr>
  </w:style>
  <w:style w:type="character" w:customStyle="1" w:styleId="biblpage">
    <w:name w:val="bib_lpage"/>
    <w:rsid w:val="006D0014"/>
    <w:rPr>
      <w:rFonts w:ascii="Times New Roman" w:hAnsi="Times New Roman"/>
      <w:sz w:val="24"/>
      <w:bdr w:val="none" w:sz="0" w:space="0" w:color="auto"/>
      <w:shd w:val="clear" w:color="auto" w:fill="D9D9D9"/>
    </w:rPr>
  </w:style>
  <w:style w:type="character" w:customStyle="1" w:styleId="bibmedline">
    <w:name w:val="bib_medline"/>
    <w:rsid w:val="006D0014"/>
    <w:rPr>
      <w:rFonts w:ascii="Times New Roman" w:hAnsi="Times New Roman"/>
      <w:sz w:val="24"/>
    </w:rPr>
  </w:style>
  <w:style w:type="character" w:customStyle="1" w:styleId="bibmonth">
    <w:name w:val="bib_month"/>
    <w:rsid w:val="006D0014"/>
    <w:rPr>
      <w:rFonts w:ascii="Times New Roman" w:hAnsi="Times New Roman"/>
      <w:sz w:val="24"/>
      <w:szCs w:val="24"/>
      <w:bdr w:val="none" w:sz="0" w:space="0" w:color="auto"/>
      <w:shd w:val="clear" w:color="auto" w:fill="CCFF33"/>
    </w:rPr>
  </w:style>
  <w:style w:type="character" w:customStyle="1" w:styleId="bibnumber">
    <w:name w:val="bib_number"/>
    <w:rsid w:val="006D0014"/>
    <w:rPr>
      <w:rFonts w:ascii="Times New Roman" w:hAnsi="Times New Roman"/>
      <w:sz w:val="24"/>
      <w:bdr w:val="none" w:sz="0" w:space="0" w:color="auto"/>
      <w:shd w:val="clear" w:color="auto" w:fill="CCCCFF"/>
    </w:rPr>
  </w:style>
  <w:style w:type="character" w:customStyle="1" w:styleId="biborganization">
    <w:name w:val="bib_organization"/>
    <w:rsid w:val="006D0014"/>
    <w:rPr>
      <w:rFonts w:ascii="Times New Roman" w:hAnsi="Times New Roman"/>
      <w:sz w:val="24"/>
      <w:bdr w:val="none" w:sz="0" w:space="0" w:color="auto"/>
      <w:shd w:val="clear" w:color="auto" w:fill="CCFF99"/>
    </w:rPr>
  </w:style>
  <w:style w:type="character" w:customStyle="1" w:styleId="bibpagecount">
    <w:name w:val="bib_pagecount"/>
    <w:rsid w:val="006D0014"/>
    <w:rPr>
      <w:rFonts w:ascii="Times New Roman" w:hAnsi="Times New Roman"/>
      <w:sz w:val="24"/>
      <w:bdr w:val="none" w:sz="0" w:space="0" w:color="auto"/>
      <w:shd w:val="clear" w:color="auto" w:fill="00FF00"/>
    </w:rPr>
  </w:style>
  <w:style w:type="character" w:customStyle="1" w:styleId="bibpapernumber">
    <w:name w:val="bib_papernumber"/>
    <w:uiPriority w:val="1"/>
    <w:rsid w:val="006D0014"/>
    <w:rPr>
      <w:rFonts w:ascii="Times New Roman" w:hAnsi="Times New Roman"/>
      <w:sz w:val="24"/>
      <w:bdr w:val="none" w:sz="0" w:space="0" w:color="auto"/>
      <w:shd w:val="clear" w:color="auto" w:fill="FFFF66"/>
    </w:rPr>
  </w:style>
  <w:style w:type="character" w:customStyle="1" w:styleId="bibpatent">
    <w:name w:val="bib_patent"/>
    <w:rsid w:val="006D0014"/>
    <w:rPr>
      <w:rFonts w:ascii="Times New Roman" w:hAnsi="Times New Roman"/>
      <w:sz w:val="24"/>
      <w:bdr w:val="none" w:sz="0" w:space="0" w:color="auto"/>
      <w:shd w:val="clear" w:color="auto" w:fill="66FFCC"/>
    </w:rPr>
  </w:style>
  <w:style w:type="character" w:customStyle="1" w:styleId="bibpublisher">
    <w:name w:val="bib_publisher"/>
    <w:rsid w:val="006D0014"/>
    <w:rPr>
      <w:rFonts w:ascii="Times New Roman" w:hAnsi="Times New Roman"/>
      <w:sz w:val="24"/>
      <w:bdr w:val="none" w:sz="0" w:space="0" w:color="auto"/>
      <w:shd w:val="clear" w:color="auto" w:fill="FF99CC"/>
    </w:rPr>
  </w:style>
  <w:style w:type="character" w:customStyle="1" w:styleId="bibreportnum">
    <w:name w:val="bib_reportnum"/>
    <w:rsid w:val="006D0014"/>
    <w:rPr>
      <w:rFonts w:ascii="Times New Roman" w:hAnsi="Times New Roman"/>
      <w:sz w:val="24"/>
      <w:bdr w:val="none" w:sz="0" w:space="0" w:color="auto"/>
      <w:shd w:val="clear" w:color="auto" w:fill="CCCCFF"/>
    </w:rPr>
  </w:style>
  <w:style w:type="character" w:customStyle="1" w:styleId="bibschool">
    <w:name w:val="bib_school"/>
    <w:rsid w:val="006D0014"/>
    <w:rPr>
      <w:rFonts w:ascii="Times New Roman" w:hAnsi="Times New Roman"/>
      <w:sz w:val="24"/>
      <w:bdr w:val="none" w:sz="0" w:space="0" w:color="auto"/>
      <w:shd w:val="clear" w:color="auto" w:fill="FFCC66"/>
    </w:rPr>
  </w:style>
  <w:style w:type="character" w:customStyle="1" w:styleId="bibseason">
    <w:name w:val="bib_season"/>
    <w:rsid w:val="006D0014"/>
    <w:rPr>
      <w:rFonts w:ascii="Times New Roman" w:hAnsi="Times New Roman"/>
      <w:sz w:val="24"/>
      <w:szCs w:val="24"/>
      <w:bdr w:val="none" w:sz="0" w:space="0" w:color="auto"/>
      <w:shd w:val="clear" w:color="auto" w:fill="FF6600"/>
    </w:rPr>
  </w:style>
  <w:style w:type="character" w:customStyle="1" w:styleId="bibseries">
    <w:name w:val="bib_series"/>
    <w:rsid w:val="006D0014"/>
    <w:rPr>
      <w:rFonts w:ascii="Times New Roman" w:hAnsi="Times New Roman"/>
      <w:sz w:val="24"/>
      <w:shd w:val="clear" w:color="auto" w:fill="FFCC99"/>
    </w:rPr>
  </w:style>
  <w:style w:type="character" w:customStyle="1" w:styleId="bibseriesno">
    <w:name w:val="bib_seriesno"/>
    <w:rsid w:val="006D0014"/>
    <w:rPr>
      <w:rFonts w:ascii="Times New Roman" w:hAnsi="Times New Roman"/>
      <w:sz w:val="24"/>
      <w:shd w:val="clear" w:color="auto" w:fill="FFFF99"/>
    </w:rPr>
  </w:style>
  <w:style w:type="character" w:customStyle="1" w:styleId="bibsuffix">
    <w:name w:val="bib_suffix"/>
    <w:rsid w:val="006D0014"/>
    <w:rPr>
      <w:rFonts w:ascii="Times New Roman" w:hAnsi="Times New Roman"/>
      <w:sz w:val="24"/>
    </w:rPr>
  </w:style>
  <w:style w:type="character" w:customStyle="1" w:styleId="bibsuppl">
    <w:name w:val="bib_suppl"/>
    <w:rsid w:val="006D0014"/>
    <w:rPr>
      <w:rFonts w:ascii="Times New Roman" w:hAnsi="Times New Roman"/>
      <w:sz w:val="24"/>
      <w:bdr w:val="none" w:sz="0" w:space="0" w:color="auto"/>
      <w:shd w:val="clear" w:color="auto" w:fill="FFCC66"/>
    </w:rPr>
  </w:style>
  <w:style w:type="character" w:customStyle="1" w:styleId="bibtrans">
    <w:name w:val="bib_trans"/>
    <w:rsid w:val="006D0014"/>
    <w:rPr>
      <w:rFonts w:ascii="Times New Roman" w:hAnsi="Times New Roman"/>
      <w:sz w:val="24"/>
      <w:shd w:val="clear" w:color="auto" w:fill="99CC00"/>
    </w:rPr>
  </w:style>
  <w:style w:type="character" w:customStyle="1" w:styleId="bibunpubl">
    <w:name w:val="bib_unpubl"/>
    <w:rsid w:val="006D0014"/>
    <w:rPr>
      <w:rFonts w:ascii="Times New Roman" w:hAnsi="Times New Roman"/>
      <w:sz w:val="24"/>
    </w:rPr>
  </w:style>
  <w:style w:type="character" w:customStyle="1" w:styleId="biburl">
    <w:name w:val="bib_url"/>
    <w:rsid w:val="006D0014"/>
    <w:rPr>
      <w:rFonts w:ascii="Times New Roman" w:hAnsi="Times New Roman"/>
      <w:sz w:val="24"/>
      <w:bdr w:val="none" w:sz="0" w:space="0" w:color="auto"/>
      <w:shd w:val="clear" w:color="auto" w:fill="CCFF66"/>
    </w:rPr>
  </w:style>
  <w:style w:type="character" w:customStyle="1" w:styleId="bibvolcount">
    <w:name w:val="bib_volcount"/>
    <w:rsid w:val="006D0014"/>
    <w:rPr>
      <w:rFonts w:ascii="Times New Roman" w:hAnsi="Times New Roman"/>
      <w:sz w:val="20"/>
      <w:bdr w:val="none" w:sz="0" w:space="0" w:color="auto"/>
      <w:shd w:val="clear" w:color="auto" w:fill="00FF00"/>
    </w:rPr>
  </w:style>
  <w:style w:type="character" w:customStyle="1" w:styleId="Abbreviation">
    <w:name w:val="Abbreviation"/>
    <w:rsid w:val="002869BD"/>
  </w:style>
  <w:style w:type="character" w:customStyle="1" w:styleId="AccessedDate">
    <w:name w:val="AccessedDate"/>
    <w:rsid w:val="002869BD"/>
  </w:style>
  <w:style w:type="character" w:customStyle="1" w:styleId="italic">
    <w:name w:val="_italic"/>
    <w:uiPriority w:val="99"/>
    <w:rsid w:val="002869BD"/>
    <w:rPr>
      <w:i/>
      <w:iCs/>
    </w:rPr>
  </w:style>
  <w:style w:type="character" w:customStyle="1" w:styleId="Heading1Char">
    <w:name w:val="Heading 1 Char"/>
    <w:link w:val="Heading1"/>
    <w:rsid w:val="006D0014"/>
    <w:rPr>
      <w:rFonts w:ascii="Arial" w:eastAsia="Times New Roman" w:hAnsi="Arial" w:cs="Times New Roman"/>
      <w:b/>
      <w:kern w:val="28"/>
      <w:sz w:val="28"/>
      <w:szCs w:val="20"/>
      <w:lang w:val="en-US"/>
    </w:rPr>
  </w:style>
  <w:style w:type="character" w:customStyle="1" w:styleId="Heading3Char">
    <w:name w:val="Heading 3 Char"/>
    <w:link w:val="Heading3"/>
    <w:rsid w:val="006D0014"/>
    <w:rPr>
      <w:rFonts w:ascii="Arial" w:eastAsia="Times New Roman" w:hAnsi="Arial" w:cs="Times New Roman"/>
      <w:sz w:val="24"/>
      <w:szCs w:val="20"/>
      <w:lang w:val="en-US"/>
    </w:rPr>
  </w:style>
  <w:style w:type="character" w:customStyle="1" w:styleId="Heading5Char">
    <w:name w:val="Heading 5 Char"/>
    <w:link w:val="Heading5"/>
    <w:rsid w:val="006D0014"/>
    <w:rPr>
      <w:rFonts w:ascii="Times New Roman" w:eastAsia="Times New Roman" w:hAnsi="Times New Roman" w:cs="Times New Roman"/>
      <w:szCs w:val="20"/>
      <w:lang w:val="en-US"/>
    </w:rPr>
  </w:style>
  <w:style w:type="character" w:customStyle="1" w:styleId="A3">
    <w:name w:val="A3"/>
    <w:uiPriority w:val="99"/>
    <w:rsid w:val="006D0014"/>
    <w:rPr>
      <w:rFonts w:cs="Minion Pro"/>
      <w:b/>
      <w:bCs/>
      <w:color w:val="000000"/>
      <w:sz w:val="28"/>
      <w:szCs w:val="28"/>
    </w:rPr>
  </w:style>
  <w:style w:type="paragraph" w:customStyle="1" w:styleId="AbstAbstract">
    <w:name w:val="Abst Abstract"/>
    <w:basedOn w:val="Normal"/>
    <w:rsid w:val="006D0014"/>
    <w:pPr>
      <w:spacing w:before="360" w:after="360" w:line="360" w:lineRule="exact"/>
      <w:ind w:firstLine="720"/>
      <w:contextualSpacing/>
    </w:pPr>
    <w:rPr>
      <w:color w:val="0000FF"/>
      <w:sz w:val="24"/>
    </w:rPr>
  </w:style>
  <w:style w:type="paragraph" w:customStyle="1" w:styleId="AbstTAbstractTitle">
    <w:name w:val="AbstT Abstract Title"/>
    <w:basedOn w:val="AbstAbstract"/>
    <w:qFormat/>
    <w:rsid w:val="006D0014"/>
    <w:pPr>
      <w:spacing w:after="120"/>
      <w:jc w:val="center"/>
      <w:outlineLvl w:val="0"/>
    </w:pPr>
    <w:rPr>
      <w:b/>
    </w:rPr>
  </w:style>
  <w:style w:type="paragraph" w:customStyle="1" w:styleId="TxtBodyText">
    <w:name w:val="Txt Body Text"/>
    <w:basedOn w:val="Normal"/>
    <w:link w:val="TxtBodyTextChar"/>
    <w:qFormat/>
    <w:rsid w:val="006D0014"/>
    <w:pPr>
      <w:spacing w:line="560" w:lineRule="exact"/>
      <w:ind w:firstLine="720"/>
    </w:pPr>
    <w:rPr>
      <w:sz w:val="24"/>
      <w:szCs w:val="24"/>
    </w:rPr>
  </w:style>
  <w:style w:type="character" w:customStyle="1" w:styleId="TxtBodyTextChar">
    <w:name w:val="Txt Body Text Char"/>
    <w:link w:val="TxtBodyText"/>
    <w:rsid w:val="006D0014"/>
    <w:rPr>
      <w:rFonts w:ascii="Times New Roman" w:eastAsia="Times New Roman" w:hAnsi="Times New Roman" w:cs="Times New Roman"/>
      <w:sz w:val="24"/>
      <w:szCs w:val="24"/>
      <w:lang w:val="en-US"/>
    </w:rPr>
  </w:style>
  <w:style w:type="paragraph" w:customStyle="1" w:styleId="AckAcknowledgements">
    <w:name w:val="Ack Acknowledgements"/>
    <w:basedOn w:val="TxtBodyText"/>
    <w:rsid w:val="006D0014"/>
    <w:pPr>
      <w:spacing w:line="360" w:lineRule="exact"/>
      <w:ind w:firstLine="0"/>
    </w:pPr>
  </w:style>
  <w:style w:type="paragraph" w:customStyle="1" w:styleId="AffAffiliation">
    <w:name w:val="Aff Affiliation"/>
    <w:basedOn w:val="Normal"/>
    <w:rsid w:val="006D0014"/>
    <w:pPr>
      <w:keepNext/>
      <w:keepLines/>
      <w:widowControl w:val="0"/>
      <w:spacing w:after="360" w:line="560" w:lineRule="exact"/>
      <w:jc w:val="right"/>
    </w:pPr>
    <w:rPr>
      <w:color w:val="FF0000"/>
      <w:sz w:val="24"/>
    </w:rPr>
  </w:style>
  <w:style w:type="paragraph" w:customStyle="1" w:styleId="PriDocBegBeginPrimaryDocument">
    <w:name w:val="PriDocBeg Begin Primary Document"/>
    <w:basedOn w:val="TxtBodyText"/>
    <w:rsid w:val="006D0014"/>
    <w:pPr>
      <w:shd w:val="pct12" w:color="auto" w:fill="FFFFFF"/>
      <w:spacing w:before="360" w:after="360"/>
    </w:pPr>
    <w:rPr>
      <w:rFonts w:ascii="Helvetica" w:hAnsi="Helvetica"/>
      <w:b/>
      <w:sz w:val="28"/>
    </w:rPr>
  </w:style>
  <w:style w:type="paragraph" w:customStyle="1" w:styleId="AppBegBeginAppendix">
    <w:name w:val="AppBeg Begin Appendix"/>
    <w:basedOn w:val="PriDocBegBeginPrimaryDocument"/>
    <w:qFormat/>
    <w:rsid w:val="006D0014"/>
    <w:rPr>
      <w:rFonts w:ascii="Arial" w:hAnsi="Arial"/>
    </w:rPr>
  </w:style>
  <w:style w:type="paragraph" w:customStyle="1" w:styleId="PriDocEndEndPrimaryDocument">
    <w:name w:val="PriDocEnd End Primary Document"/>
    <w:basedOn w:val="PriDocBegBeginPrimaryDocument"/>
    <w:rsid w:val="006D0014"/>
  </w:style>
  <w:style w:type="paragraph" w:customStyle="1" w:styleId="AppEndEndAppendix">
    <w:name w:val="AppEnd End Appendix"/>
    <w:basedOn w:val="PriDocEndEndPrimaryDocument"/>
    <w:qFormat/>
    <w:rsid w:val="006D0014"/>
    <w:rPr>
      <w:rFonts w:ascii="Arial" w:hAnsi="Arial"/>
    </w:rPr>
  </w:style>
  <w:style w:type="character" w:customStyle="1" w:styleId="apple-converted-space">
    <w:name w:val="apple-converted-space"/>
    <w:basedOn w:val="DefaultParagraphFont"/>
    <w:rsid w:val="006D0014"/>
  </w:style>
  <w:style w:type="paragraph" w:customStyle="1" w:styleId="H1HeadingLevel1">
    <w:name w:val="H1 Heading Level 1"/>
    <w:basedOn w:val="Normal"/>
    <w:next w:val="TxtBodyText"/>
    <w:rsid w:val="006D0014"/>
    <w:pPr>
      <w:spacing w:before="480" w:after="240" w:line="560" w:lineRule="exact"/>
      <w:outlineLvl w:val="0"/>
    </w:pPr>
    <w:rPr>
      <w:rFonts w:ascii="Arial" w:hAnsi="Arial"/>
      <w:b/>
      <w:sz w:val="40"/>
    </w:rPr>
  </w:style>
  <w:style w:type="paragraph" w:customStyle="1" w:styleId="H2HeadingLevel2">
    <w:name w:val="H2 Heading Level 2"/>
    <w:basedOn w:val="H1HeadingLevel1"/>
    <w:next w:val="TxtBodyText"/>
    <w:rsid w:val="006D0014"/>
    <w:pPr>
      <w:spacing w:before="360"/>
      <w:ind w:left="360"/>
      <w:outlineLvl w:val="1"/>
    </w:pPr>
    <w:rPr>
      <w:sz w:val="36"/>
    </w:rPr>
  </w:style>
  <w:style w:type="paragraph" w:customStyle="1" w:styleId="AppSTAppendixSubtitle">
    <w:name w:val="AppST Appendix Subtitle"/>
    <w:basedOn w:val="H2HeadingLevel2"/>
    <w:rsid w:val="006D0014"/>
    <w:pPr>
      <w:spacing w:before="0" w:after="0"/>
      <w:ind w:left="0"/>
      <w:outlineLvl w:val="9"/>
    </w:pPr>
    <w:rPr>
      <w:b w:val="0"/>
      <w:szCs w:val="24"/>
    </w:rPr>
  </w:style>
  <w:style w:type="paragraph" w:customStyle="1" w:styleId="AppTAppendixTitle">
    <w:name w:val="AppT Appendix Title"/>
    <w:basedOn w:val="H1HeadingLevel1"/>
    <w:rsid w:val="006D0014"/>
    <w:pPr>
      <w:spacing w:before="0" w:after="0"/>
      <w:outlineLvl w:val="9"/>
    </w:pPr>
    <w:rPr>
      <w:b w:val="0"/>
      <w:sz w:val="36"/>
      <w:szCs w:val="24"/>
    </w:rPr>
  </w:style>
  <w:style w:type="paragraph" w:customStyle="1" w:styleId="ArAuArticleAuthor">
    <w:name w:val="ArAu Article Author"/>
    <w:basedOn w:val="Normal"/>
    <w:rsid w:val="006D0014"/>
    <w:pPr>
      <w:keepNext/>
      <w:keepLines/>
      <w:widowControl w:val="0"/>
      <w:spacing w:before="360" w:line="560" w:lineRule="exact"/>
      <w:jc w:val="right"/>
    </w:pPr>
    <w:rPr>
      <w:b/>
      <w:sz w:val="32"/>
    </w:rPr>
  </w:style>
  <w:style w:type="paragraph" w:customStyle="1" w:styleId="ArFtrArticleFooter">
    <w:name w:val="ArFtr Article Footer"/>
    <w:basedOn w:val="Normal"/>
    <w:qFormat/>
    <w:rsid w:val="006D0014"/>
    <w:pPr>
      <w:spacing w:before="240" w:after="240" w:line="280" w:lineRule="exact"/>
    </w:pPr>
    <w:rPr>
      <w:rFonts w:ascii="Arial" w:hAnsi="Arial"/>
      <w:sz w:val="24"/>
    </w:rPr>
  </w:style>
  <w:style w:type="paragraph" w:customStyle="1" w:styleId="SectITxtSectionIntroText">
    <w:name w:val="SectITxt Section Intro Text"/>
    <w:basedOn w:val="Normal"/>
    <w:rsid w:val="006D0014"/>
    <w:pPr>
      <w:spacing w:before="360" w:after="360" w:line="560" w:lineRule="exact"/>
      <w:ind w:firstLine="720"/>
      <w:contextualSpacing/>
    </w:pPr>
    <w:rPr>
      <w:sz w:val="24"/>
    </w:rPr>
  </w:style>
  <w:style w:type="paragraph" w:customStyle="1" w:styleId="ArInTxtArticleIntroText">
    <w:name w:val="ArInTxt Article Intro Text"/>
    <w:basedOn w:val="SectITxtSectionIntroText"/>
    <w:qFormat/>
    <w:rsid w:val="006D0014"/>
    <w:pPr>
      <w:spacing w:before="120" w:after="120"/>
      <w:ind w:firstLine="0"/>
      <w:contextualSpacing w:val="0"/>
    </w:pPr>
  </w:style>
  <w:style w:type="paragraph" w:customStyle="1" w:styleId="ArOpNtArticleOpeningNote">
    <w:name w:val="ArOpNt Article Opening Note"/>
    <w:basedOn w:val="Normal"/>
    <w:rsid w:val="006D0014"/>
    <w:pPr>
      <w:pBdr>
        <w:top w:val="dotted" w:sz="4" w:space="12" w:color="auto"/>
        <w:left w:val="dotted" w:sz="4" w:space="12" w:color="auto"/>
        <w:bottom w:val="dotted" w:sz="4" w:space="12" w:color="auto"/>
        <w:right w:val="dotted" w:sz="4" w:space="12" w:color="auto"/>
      </w:pBdr>
      <w:spacing w:before="240" w:after="120" w:line="360" w:lineRule="exact"/>
      <w:ind w:left="720" w:right="720"/>
    </w:pPr>
    <w:rPr>
      <w:sz w:val="24"/>
    </w:rPr>
  </w:style>
  <w:style w:type="character" w:customStyle="1" w:styleId="ArOpPhrArticleOpeningPhrase">
    <w:name w:val="ArOpPhr Article Opening Phrase"/>
    <w:qFormat/>
    <w:rsid w:val="006D0014"/>
    <w:rPr>
      <w:smallCaps/>
    </w:rPr>
  </w:style>
  <w:style w:type="paragraph" w:customStyle="1" w:styleId="ArTArticleTitle">
    <w:name w:val="ArT Article Title"/>
    <w:basedOn w:val="Normal"/>
    <w:link w:val="ArTArticleTitleChar"/>
    <w:rsid w:val="006D0014"/>
    <w:pPr>
      <w:keepNext/>
      <w:keepLines/>
      <w:widowControl w:val="0"/>
      <w:spacing w:before="360" w:after="360" w:line="560" w:lineRule="exact"/>
      <w:jc w:val="right"/>
      <w:outlineLvl w:val="0"/>
    </w:pPr>
    <w:rPr>
      <w:rFonts w:ascii="Arial" w:hAnsi="Arial"/>
      <w:b/>
      <w:sz w:val="48"/>
    </w:rPr>
  </w:style>
  <w:style w:type="character" w:customStyle="1" w:styleId="ArTArticleTitleChar">
    <w:name w:val="ArT Article Title Char"/>
    <w:link w:val="ArTArticleTitle"/>
    <w:rsid w:val="006D0014"/>
    <w:rPr>
      <w:rFonts w:ascii="Arial" w:eastAsia="Times New Roman" w:hAnsi="Arial" w:cs="Times New Roman"/>
      <w:b/>
      <w:sz w:val="48"/>
      <w:szCs w:val="20"/>
      <w:lang w:val="en-US"/>
    </w:rPr>
  </w:style>
  <w:style w:type="paragraph" w:customStyle="1" w:styleId="ArSTArticleSubtitle">
    <w:name w:val="ArST Article Subtitle"/>
    <w:basedOn w:val="ArTArticleTitle"/>
    <w:rsid w:val="006D0014"/>
    <w:pPr>
      <w:spacing w:before="0"/>
    </w:pPr>
    <w:rPr>
      <w:b w:val="0"/>
      <w:sz w:val="40"/>
    </w:rPr>
  </w:style>
  <w:style w:type="paragraph" w:customStyle="1" w:styleId="EpigEpigraph">
    <w:name w:val="Epig Epigraph"/>
    <w:basedOn w:val="TxtBodyText"/>
    <w:rsid w:val="006D0014"/>
    <w:pPr>
      <w:spacing w:before="360" w:line="360" w:lineRule="exact"/>
      <w:ind w:left="720" w:right="1440"/>
      <w:jc w:val="right"/>
    </w:pPr>
  </w:style>
  <w:style w:type="paragraph" w:customStyle="1" w:styleId="AtrAttribution">
    <w:name w:val="Atr Attribution"/>
    <w:basedOn w:val="EpigEpigraph"/>
    <w:rsid w:val="006D0014"/>
    <w:pPr>
      <w:spacing w:before="120" w:after="240"/>
    </w:pPr>
    <w:rPr>
      <w:color w:val="7030A0"/>
    </w:rPr>
  </w:style>
  <w:style w:type="character" w:customStyle="1" w:styleId="aubase">
    <w:name w:val="au_base"/>
    <w:rsid w:val="006D0014"/>
    <w:rPr>
      <w:sz w:val="24"/>
    </w:rPr>
  </w:style>
  <w:style w:type="character" w:customStyle="1" w:styleId="aucollab">
    <w:name w:val="au_collab"/>
    <w:rsid w:val="006D0014"/>
    <w:rPr>
      <w:sz w:val="32"/>
      <w:bdr w:val="none" w:sz="0" w:space="0" w:color="auto"/>
      <w:shd w:val="clear" w:color="auto" w:fill="C0C0C0"/>
    </w:rPr>
  </w:style>
  <w:style w:type="character" w:customStyle="1" w:styleId="audeg">
    <w:name w:val="au_deg"/>
    <w:rsid w:val="006D0014"/>
    <w:rPr>
      <w:sz w:val="24"/>
      <w:bdr w:val="none" w:sz="0" w:space="0" w:color="auto"/>
      <w:shd w:val="clear" w:color="auto" w:fill="FFFF00"/>
    </w:rPr>
  </w:style>
  <w:style w:type="character" w:customStyle="1" w:styleId="aufname">
    <w:name w:val="au_fname"/>
    <w:rsid w:val="006D0014"/>
    <w:rPr>
      <w:sz w:val="32"/>
      <w:bdr w:val="none" w:sz="0" w:space="0" w:color="auto"/>
      <w:shd w:val="clear" w:color="auto" w:fill="FFFFCC"/>
    </w:rPr>
  </w:style>
  <w:style w:type="character" w:customStyle="1" w:styleId="aumember">
    <w:name w:val="au_member"/>
    <w:rsid w:val="006D0014"/>
    <w:rPr>
      <w:sz w:val="24"/>
      <w:bdr w:val="none" w:sz="0" w:space="0" w:color="auto"/>
      <w:shd w:val="clear" w:color="auto" w:fill="FF99CC"/>
    </w:rPr>
  </w:style>
  <w:style w:type="character" w:customStyle="1" w:styleId="auprefix">
    <w:name w:val="au_prefix"/>
    <w:rsid w:val="006D0014"/>
    <w:rPr>
      <w:sz w:val="32"/>
      <w:bdr w:val="none" w:sz="0" w:space="0" w:color="auto"/>
      <w:shd w:val="clear" w:color="auto" w:fill="FFCC99"/>
    </w:rPr>
  </w:style>
  <w:style w:type="character" w:customStyle="1" w:styleId="aurole">
    <w:name w:val="au_role"/>
    <w:rsid w:val="006D0014"/>
    <w:rPr>
      <w:sz w:val="32"/>
      <w:bdr w:val="none" w:sz="0" w:space="0" w:color="auto"/>
      <w:shd w:val="clear" w:color="auto" w:fill="808000"/>
    </w:rPr>
  </w:style>
  <w:style w:type="character" w:customStyle="1" w:styleId="ausuffix">
    <w:name w:val="au_suffix"/>
    <w:rsid w:val="006D0014"/>
    <w:rPr>
      <w:sz w:val="32"/>
      <w:bdr w:val="none" w:sz="0" w:space="0" w:color="auto"/>
      <w:shd w:val="clear" w:color="auto" w:fill="FF00FF"/>
    </w:rPr>
  </w:style>
  <w:style w:type="character" w:customStyle="1" w:styleId="ausurname">
    <w:name w:val="au_surname"/>
    <w:rsid w:val="006D0014"/>
    <w:rPr>
      <w:sz w:val="32"/>
      <w:bdr w:val="none" w:sz="0" w:space="0" w:color="auto"/>
      <w:shd w:val="clear" w:color="auto" w:fill="CCFF99"/>
    </w:rPr>
  </w:style>
  <w:style w:type="paragraph" w:customStyle="1" w:styleId="AuBioAuthorBio">
    <w:name w:val="AuBio Author Bio"/>
    <w:basedOn w:val="TxtBodyText"/>
    <w:qFormat/>
    <w:rsid w:val="006D0014"/>
    <w:pPr>
      <w:spacing w:line="360" w:lineRule="exact"/>
    </w:pPr>
    <w:rPr>
      <w:color w:val="CC0099"/>
    </w:rPr>
  </w:style>
  <w:style w:type="paragraph" w:customStyle="1" w:styleId="AuInfoAuthorInfo">
    <w:name w:val="AuInfo Author Info"/>
    <w:basedOn w:val="Normal"/>
    <w:qFormat/>
    <w:rsid w:val="006D0014"/>
    <w:pPr>
      <w:keepNext/>
      <w:keepLines/>
      <w:widowControl w:val="0"/>
      <w:spacing w:before="240" w:after="240" w:line="280" w:lineRule="exact"/>
    </w:pPr>
    <w:rPr>
      <w:color w:val="FF0000"/>
      <w:sz w:val="24"/>
    </w:rPr>
  </w:style>
  <w:style w:type="paragraph" w:customStyle="1" w:styleId="NtCompNotetoCompositor">
    <w:name w:val="NtComp Note to Compositor"/>
    <w:basedOn w:val="TxtBodyText"/>
    <w:rsid w:val="006D0014"/>
    <w:pPr>
      <w:spacing w:before="240" w:after="240" w:line="360" w:lineRule="exact"/>
    </w:pPr>
    <w:rPr>
      <w:b/>
      <w:color w:val="FF0000"/>
      <w:sz w:val="28"/>
    </w:rPr>
  </w:style>
  <w:style w:type="paragraph" w:customStyle="1" w:styleId="NtEdNotetoEditor">
    <w:name w:val="NtEd Note to Editor"/>
    <w:basedOn w:val="NtCompNotetoCompositor"/>
    <w:rsid w:val="006D0014"/>
    <w:rPr>
      <w:color w:val="008000"/>
    </w:rPr>
  </w:style>
  <w:style w:type="paragraph" w:customStyle="1" w:styleId="AuQAuthorQuery">
    <w:name w:val="AuQ Author Query"/>
    <w:basedOn w:val="NtEdNotetoEditor"/>
    <w:qFormat/>
    <w:rsid w:val="006D0014"/>
    <w:rPr>
      <w:color w:val="0070C0"/>
    </w:rPr>
  </w:style>
  <w:style w:type="paragraph" w:customStyle="1" w:styleId="BibAnnBibliographicAnnotation">
    <w:name w:val="BibAnn Bibliographic Annotation"/>
    <w:basedOn w:val="Normal"/>
    <w:rsid w:val="006D0014"/>
    <w:pPr>
      <w:autoSpaceDE w:val="0"/>
      <w:autoSpaceDN w:val="0"/>
      <w:adjustRightInd w:val="0"/>
      <w:spacing w:after="120" w:line="560" w:lineRule="exact"/>
      <w:ind w:left="720"/>
    </w:pPr>
    <w:rPr>
      <w:sz w:val="24"/>
      <w:szCs w:val="24"/>
    </w:rPr>
  </w:style>
  <w:style w:type="paragraph" w:customStyle="1" w:styleId="BibItemBibliographyorReferenceListItem">
    <w:name w:val="BibItem Bibliography or Reference List Item"/>
    <w:basedOn w:val="TxtBodyText"/>
    <w:link w:val="BibItemBibliographyorReferenceListItemChar"/>
    <w:rsid w:val="006D0014"/>
    <w:pPr>
      <w:spacing w:after="120"/>
      <w:ind w:left="720" w:hanging="720"/>
    </w:pPr>
  </w:style>
  <w:style w:type="character" w:customStyle="1" w:styleId="BibItemBibliographyorReferenceListItemChar">
    <w:name w:val="BibItem Bibliography or Reference List Item Char"/>
    <w:link w:val="BibItemBibliographyorReferenceListItem"/>
    <w:rsid w:val="006D0014"/>
    <w:rPr>
      <w:rFonts w:ascii="Times New Roman" w:eastAsia="Times New Roman" w:hAnsi="Times New Roman" w:cs="Times New Roman"/>
      <w:sz w:val="24"/>
      <w:szCs w:val="24"/>
      <w:lang w:val="en-US"/>
    </w:rPr>
  </w:style>
  <w:style w:type="paragraph" w:customStyle="1" w:styleId="BLBulletList">
    <w:name w:val="BL Bullet List"/>
    <w:basedOn w:val="TxtBodyText"/>
    <w:rsid w:val="006D0014"/>
    <w:pPr>
      <w:tabs>
        <w:tab w:val="left" w:pos="240"/>
        <w:tab w:val="left" w:pos="960"/>
      </w:tabs>
      <w:ind w:left="960" w:hanging="240"/>
      <w:contextualSpacing/>
    </w:pPr>
  </w:style>
  <w:style w:type="paragraph" w:customStyle="1" w:styleId="BMTBackmatterTitle">
    <w:name w:val="BMT Backmatter Title"/>
    <w:basedOn w:val="Normal"/>
    <w:next w:val="TxtBodyText"/>
    <w:qFormat/>
    <w:rsid w:val="006D0014"/>
    <w:pPr>
      <w:spacing w:before="120" w:after="240" w:line="560" w:lineRule="exact"/>
      <w:jc w:val="center"/>
    </w:pPr>
    <w:rPr>
      <w:rFonts w:ascii="Arial" w:hAnsi="Arial"/>
      <w:color w:val="984806"/>
      <w:sz w:val="36"/>
    </w:rPr>
  </w:style>
  <w:style w:type="paragraph" w:customStyle="1" w:styleId="BMNBackmatterSectionNumber">
    <w:name w:val="BMN Backmatter Section Number"/>
    <w:basedOn w:val="BMTBackmatterTitle"/>
    <w:next w:val="BMTBackmatterTitle"/>
    <w:qFormat/>
    <w:rsid w:val="006D0014"/>
    <w:pPr>
      <w:spacing w:before="240" w:after="0"/>
    </w:pPr>
    <w:rPr>
      <w:b/>
    </w:rPr>
  </w:style>
  <w:style w:type="paragraph" w:customStyle="1" w:styleId="FNFootnote">
    <w:name w:val="FN Footnote"/>
    <w:basedOn w:val="TxtBodyText"/>
    <w:link w:val="FNFootnoteChar"/>
    <w:qFormat/>
    <w:rsid w:val="006D0014"/>
    <w:pPr>
      <w:spacing w:line="360" w:lineRule="exact"/>
    </w:pPr>
    <w:rPr>
      <w:color w:val="C00000"/>
    </w:rPr>
  </w:style>
  <w:style w:type="character" w:customStyle="1" w:styleId="FNFootnoteChar">
    <w:name w:val="FN Footnote Char"/>
    <w:link w:val="FNFootnote"/>
    <w:rsid w:val="006D0014"/>
    <w:rPr>
      <w:rFonts w:ascii="Times New Roman" w:eastAsia="Times New Roman" w:hAnsi="Times New Roman" w:cs="Times New Roman"/>
      <w:color w:val="C00000"/>
      <w:sz w:val="24"/>
      <w:szCs w:val="24"/>
      <w:lang w:val="en-US"/>
    </w:rPr>
  </w:style>
  <w:style w:type="paragraph" w:customStyle="1" w:styleId="ENEndnote">
    <w:name w:val="EN Endnote"/>
    <w:basedOn w:val="FNFootnote"/>
    <w:link w:val="ENEndnoteChar"/>
    <w:qFormat/>
    <w:rsid w:val="006D0014"/>
    <w:rPr>
      <w:color w:val="000000"/>
    </w:rPr>
  </w:style>
  <w:style w:type="character" w:customStyle="1" w:styleId="ENEndnoteChar">
    <w:name w:val="EN Endnote Char"/>
    <w:link w:val="ENEndnote"/>
    <w:rsid w:val="006D0014"/>
    <w:rPr>
      <w:rFonts w:ascii="Times New Roman" w:eastAsia="Times New Roman" w:hAnsi="Times New Roman" w:cs="Times New Roman"/>
      <w:color w:val="000000"/>
      <w:sz w:val="24"/>
      <w:szCs w:val="24"/>
      <w:lang w:val="en-US"/>
    </w:rPr>
  </w:style>
  <w:style w:type="paragraph" w:customStyle="1" w:styleId="BNBacknote">
    <w:name w:val="BN Backnote"/>
    <w:basedOn w:val="ENEndnote"/>
    <w:qFormat/>
    <w:rsid w:val="006D0014"/>
    <w:rPr>
      <w:color w:val="365F91"/>
    </w:rPr>
  </w:style>
  <w:style w:type="paragraph" w:customStyle="1" w:styleId="BoxBegBeginBoxedorSidebarContent">
    <w:name w:val="BoxBeg Begin Boxed or Sidebar Content"/>
    <w:basedOn w:val="AppBegBeginAppendix"/>
    <w:qFormat/>
    <w:rsid w:val="006D0014"/>
  </w:style>
  <w:style w:type="character" w:customStyle="1" w:styleId="BoxCOBoxorSidebarCallout">
    <w:name w:val="BoxCO Box or Sidebar Callout"/>
    <w:rsid w:val="006D0014"/>
    <w:rPr>
      <w:rFonts w:ascii="Helvetica" w:hAnsi="Helvetica"/>
      <w:b/>
      <w:sz w:val="24"/>
      <w:bdr w:val="none" w:sz="0" w:space="0" w:color="auto"/>
      <w:shd w:val="pct50" w:color="FFFF00" w:fill="auto"/>
    </w:rPr>
  </w:style>
  <w:style w:type="paragraph" w:customStyle="1" w:styleId="BoxEndEndBoxedorSidebarContent">
    <w:name w:val="BoxEnd End Boxed or Sidebar Content"/>
    <w:basedOn w:val="AppEndEndAppendix"/>
    <w:qFormat/>
    <w:rsid w:val="006D0014"/>
  </w:style>
  <w:style w:type="character" w:customStyle="1" w:styleId="BoxMenBoxorSidebarMention">
    <w:name w:val="BoxMen Box or Sidebar Mention"/>
    <w:rsid w:val="006D0014"/>
    <w:rPr>
      <w:color w:val="984806"/>
      <w:u w:val="single"/>
    </w:rPr>
  </w:style>
  <w:style w:type="paragraph" w:customStyle="1" w:styleId="BoxSTBoxSubtitle">
    <w:name w:val="BoxST Box Subtitle"/>
    <w:basedOn w:val="Normal"/>
    <w:qFormat/>
    <w:rsid w:val="006D0014"/>
    <w:pPr>
      <w:spacing w:line="360" w:lineRule="exact"/>
      <w:jc w:val="center"/>
    </w:pPr>
    <w:rPr>
      <w:rFonts w:ascii="Arial" w:eastAsia="Calibri" w:hAnsi="Arial"/>
      <w:color w:val="7030A0"/>
      <w:sz w:val="24"/>
      <w:szCs w:val="22"/>
      <w:lang w:val="en-CA"/>
    </w:rPr>
  </w:style>
  <w:style w:type="paragraph" w:customStyle="1" w:styleId="BoxTBoxTitle">
    <w:name w:val="BoxT Box Title"/>
    <w:basedOn w:val="Normal"/>
    <w:qFormat/>
    <w:rsid w:val="006D0014"/>
    <w:pPr>
      <w:spacing w:line="360" w:lineRule="exact"/>
      <w:jc w:val="center"/>
    </w:pPr>
    <w:rPr>
      <w:rFonts w:ascii="Arial" w:hAnsi="Arial"/>
      <w:color w:val="7030A0"/>
      <w:sz w:val="28"/>
      <w:szCs w:val="24"/>
    </w:rPr>
  </w:style>
  <w:style w:type="paragraph" w:customStyle="1" w:styleId="CaptCaptiondescription">
    <w:name w:val="Capt Caption (description)"/>
    <w:basedOn w:val="Normal"/>
    <w:qFormat/>
    <w:rsid w:val="006D0014"/>
    <w:pPr>
      <w:spacing w:line="240" w:lineRule="exact"/>
      <w:ind w:left="1440" w:right="1440"/>
    </w:pPr>
    <w:rPr>
      <w:rFonts w:ascii="Arial" w:hAnsi="Arial"/>
    </w:rPr>
  </w:style>
  <w:style w:type="paragraph" w:customStyle="1" w:styleId="NotesBegBeginNotes">
    <w:name w:val="NotesBeg Begin Note(s)"/>
    <w:basedOn w:val="AppBegBeginAppendix"/>
    <w:qFormat/>
    <w:rsid w:val="006D0014"/>
  </w:style>
  <w:style w:type="paragraph" w:customStyle="1" w:styleId="CaseBegBeginCaseStudy">
    <w:name w:val="CaseBeg Begin Case Study"/>
    <w:basedOn w:val="NotesBegBeginNotes"/>
    <w:qFormat/>
    <w:rsid w:val="006D0014"/>
  </w:style>
  <w:style w:type="paragraph" w:customStyle="1" w:styleId="NotesEndEndNotes">
    <w:name w:val="NotesEnd End Note(s)"/>
    <w:basedOn w:val="AppEndEndAppendix"/>
    <w:qFormat/>
    <w:rsid w:val="006D0014"/>
  </w:style>
  <w:style w:type="paragraph" w:customStyle="1" w:styleId="CaseEndEndCaseStudy">
    <w:name w:val="CaseEnd End Case Study"/>
    <w:basedOn w:val="NotesEndEndNotes"/>
    <w:qFormat/>
    <w:rsid w:val="006D0014"/>
  </w:style>
  <w:style w:type="paragraph" w:customStyle="1" w:styleId="ChrChronology">
    <w:name w:val="Chr Chronology"/>
    <w:basedOn w:val="TxtBodyText"/>
    <w:rsid w:val="006D0014"/>
    <w:pPr>
      <w:tabs>
        <w:tab w:val="left" w:pos="2448"/>
      </w:tabs>
      <w:spacing w:before="120"/>
      <w:ind w:left="2448" w:hanging="1728"/>
    </w:pPr>
  </w:style>
  <w:style w:type="character" w:customStyle="1" w:styleId="citeapp">
    <w:name w:val="cite_app"/>
    <w:rsid w:val="006D0014"/>
    <w:rPr>
      <w:sz w:val="24"/>
      <w:bdr w:val="none" w:sz="0" w:space="0" w:color="auto"/>
      <w:shd w:val="clear" w:color="auto" w:fill="CCFF33"/>
    </w:rPr>
  </w:style>
  <w:style w:type="character" w:customStyle="1" w:styleId="citebase">
    <w:name w:val="cite_base"/>
    <w:rsid w:val="006D0014"/>
    <w:rPr>
      <w:sz w:val="24"/>
    </w:rPr>
  </w:style>
  <w:style w:type="character" w:customStyle="1" w:styleId="citebox">
    <w:name w:val="cite_box"/>
    <w:rsid w:val="006D0014"/>
    <w:rPr>
      <w:sz w:val="24"/>
    </w:rPr>
  </w:style>
  <w:style w:type="character" w:customStyle="1" w:styleId="citeeq">
    <w:name w:val="cite_eq"/>
    <w:rsid w:val="006D0014"/>
    <w:rPr>
      <w:sz w:val="24"/>
      <w:bdr w:val="none" w:sz="0" w:space="0" w:color="auto"/>
      <w:shd w:val="clear" w:color="auto" w:fill="FFAE37"/>
    </w:rPr>
  </w:style>
  <w:style w:type="character" w:customStyle="1" w:styleId="citefig">
    <w:name w:val="cite_fig"/>
    <w:rsid w:val="006D0014"/>
    <w:rPr>
      <w:color w:val="auto"/>
      <w:sz w:val="24"/>
      <w:bdr w:val="none" w:sz="0" w:space="0" w:color="auto"/>
      <w:shd w:val="clear" w:color="auto" w:fill="CCFFCC"/>
    </w:rPr>
  </w:style>
  <w:style w:type="character" w:customStyle="1" w:styleId="citefn">
    <w:name w:val="cite_fn"/>
    <w:rsid w:val="006D0014"/>
    <w:rPr>
      <w:color w:val="auto"/>
      <w:sz w:val="24"/>
      <w:bdr w:val="none" w:sz="0" w:space="0" w:color="auto"/>
      <w:shd w:val="clear" w:color="auto" w:fill="FF99CC"/>
      <w:vertAlign w:val="baseline"/>
    </w:rPr>
  </w:style>
  <w:style w:type="character" w:customStyle="1" w:styleId="citesec">
    <w:name w:val="cite_sec"/>
    <w:rsid w:val="006D0014"/>
    <w:rPr>
      <w:sz w:val="24"/>
      <w:bdr w:val="none" w:sz="0" w:space="0" w:color="auto"/>
      <w:shd w:val="clear" w:color="auto" w:fill="FFCCCC"/>
    </w:rPr>
  </w:style>
  <w:style w:type="character" w:customStyle="1" w:styleId="citetbl">
    <w:name w:val="cite_tbl"/>
    <w:rsid w:val="006D0014"/>
    <w:rPr>
      <w:color w:val="auto"/>
      <w:sz w:val="24"/>
      <w:bdr w:val="none" w:sz="0" w:space="0" w:color="auto"/>
      <w:shd w:val="clear" w:color="auto" w:fill="FF9999"/>
    </w:rPr>
  </w:style>
  <w:style w:type="character" w:customStyle="1" w:styleId="citetfn">
    <w:name w:val="cite_tfn"/>
    <w:rsid w:val="006D0014"/>
    <w:rPr>
      <w:sz w:val="24"/>
      <w:bdr w:val="none" w:sz="0" w:space="0" w:color="auto"/>
      <w:shd w:val="clear" w:color="auto" w:fill="FBBA79"/>
    </w:rPr>
  </w:style>
  <w:style w:type="paragraph" w:customStyle="1" w:styleId="Deck">
    <w:name w:val="Deck"/>
    <w:basedOn w:val="Normal"/>
    <w:qFormat/>
    <w:rsid w:val="006D0014"/>
    <w:pPr>
      <w:spacing w:line="360" w:lineRule="exact"/>
      <w:ind w:right="2880"/>
    </w:pPr>
    <w:rPr>
      <w:rFonts w:ascii="Arial" w:hAnsi="Arial"/>
      <w:i/>
      <w:sz w:val="28"/>
    </w:rPr>
  </w:style>
  <w:style w:type="paragraph" w:customStyle="1" w:styleId="DeptTDepartmentTitle">
    <w:name w:val="DeptT Department Title"/>
    <w:basedOn w:val="Normal"/>
    <w:qFormat/>
    <w:rsid w:val="006D0014"/>
    <w:pPr>
      <w:pBdr>
        <w:top w:val="single" w:sz="4" w:space="3" w:color="auto"/>
        <w:left w:val="single" w:sz="4" w:space="3" w:color="auto"/>
        <w:bottom w:val="single" w:sz="4" w:space="9" w:color="auto"/>
        <w:right w:val="single" w:sz="4" w:space="3" w:color="auto"/>
      </w:pBdr>
      <w:spacing w:before="120" w:after="240" w:line="560" w:lineRule="exact"/>
      <w:jc w:val="center"/>
    </w:pPr>
    <w:rPr>
      <w:rFonts w:ascii="Arial" w:hAnsi="Arial"/>
      <w:color w:val="E36C0A"/>
      <w:sz w:val="36"/>
    </w:rPr>
  </w:style>
  <w:style w:type="paragraph" w:customStyle="1" w:styleId="DiaDialogue">
    <w:name w:val="Dia Dialogue"/>
    <w:basedOn w:val="TxtBodyText"/>
    <w:rsid w:val="006D0014"/>
    <w:pPr>
      <w:spacing w:line="360" w:lineRule="exact"/>
      <w:ind w:left="2880" w:right="720" w:hanging="2160"/>
      <w:contextualSpacing/>
    </w:pPr>
  </w:style>
  <w:style w:type="paragraph" w:customStyle="1" w:styleId="DiaCNewPara">
    <w:name w:val="DiaCNewPara"/>
    <w:basedOn w:val="DiaDialogue"/>
    <w:rsid w:val="006D0014"/>
    <w:pPr>
      <w:ind w:left="0" w:right="0" w:firstLine="0"/>
      <w:contextualSpacing w:val="0"/>
    </w:pPr>
  </w:style>
  <w:style w:type="paragraph" w:customStyle="1" w:styleId="TxtCContinuationofBodyTextParagraph">
    <w:name w:val="TxtC Continuation of Body Text Paragraph"/>
    <w:basedOn w:val="Normal"/>
    <w:rsid w:val="006D0014"/>
    <w:pPr>
      <w:spacing w:line="560" w:lineRule="exact"/>
    </w:pPr>
    <w:rPr>
      <w:sz w:val="24"/>
      <w:lang w:val="x-none" w:eastAsia="x-none"/>
    </w:rPr>
  </w:style>
  <w:style w:type="paragraph" w:customStyle="1" w:styleId="DiaCSamePara">
    <w:name w:val="DiaCSamePara"/>
    <w:basedOn w:val="TxtCContinuationofBodyTextParagraph"/>
    <w:rsid w:val="006D0014"/>
    <w:rPr>
      <w:szCs w:val="24"/>
    </w:rPr>
  </w:style>
  <w:style w:type="paragraph" w:customStyle="1" w:styleId="EdNoteEditorsNote">
    <w:name w:val="EdNote Editors Note"/>
    <w:basedOn w:val="ArInTxtArticleIntroText"/>
    <w:qFormat/>
    <w:rsid w:val="006D0014"/>
    <w:pPr>
      <w:spacing w:before="240" w:after="240" w:line="280" w:lineRule="exact"/>
      <w:jc w:val="center"/>
    </w:pPr>
    <w:rPr>
      <w:color w:val="FF0000"/>
    </w:rPr>
  </w:style>
  <w:style w:type="paragraph" w:customStyle="1" w:styleId="EndNoteBibliography">
    <w:name w:val="EndNote Bibliography"/>
    <w:basedOn w:val="Normal"/>
    <w:link w:val="EndNoteBibliographyCar"/>
    <w:rsid w:val="006D0014"/>
    <w:pPr>
      <w:spacing w:line="480" w:lineRule="auto"/>
    </w:pPr>
    <w:rPr>
      <w:noProof/>
      <w:sz w:val="24"/>
    </w:rPr>
  </w:style>
  <w:style w:type="character" w:customStyle="1" w:styleId="EndNoteBibliographyCar">
    <w:name w:val="EndNote Bibliography Car"/>
    <w:link w:val="EndNoteBibliography"/>
    <w:rsid w:val="006D0014"/>
    <w:rPr>
      <w:rFonts w:ascii="Times New Roman" w:eastAsia="Times New Roman" w:hAnsi="Times New Roman" w:cs="Times New Roman"/>
      <w:noProof/>
      <w:sz w:val="24"/>
      <w:szCs w:val="20"/>
      <w:lang w:val="en-US"/>
    </w:rPr>
  </w:style>
  <w:style w:type="paragraph" w:customStyle="1" w:styleId="EndNoteBibliographyTitle">
    <w:name w:val="EndNote Bibliography Title"/>
    <w:basedOn w:val="Normal"/>
    <w:link w:val="EndNoteBibliographyTitleCar"/>
    <w:rsid w:val="006D0014"/>
    <w:pPr>
      <w:jc w:val="center"/>
    </w:pPr>
    <w:rPr>
      <w:noProof/>
      <w:sz w:val="24"/>
    </w:rPr>
  </w:style>
  <w:style w:type="character" w:customStyle="1" w:styleId="EndNoteBibliographyTitleCar">
    <w:name w:val="EndNote Bibliography Title Car"/>
    <w:link w:val="EndNoteBibliographyTitle"/>
    <w:rsid w:val="006D0014"/>
    <w:rPr>
      <w:rFonts w:ascii="Times New Roman" w:eastAsia="Times New Roman" w:hAnsi="Times New Roman" w:cs="Times New Roman"/>
      <w:noProof/>
      <w:sz w:val="24"/>
      <w:szCs w:val="20"/>
      <w:lang w:val="en-US"/>
    </w:rPr>
  </w:style>
  <w:style w:type="character" w:styleId="EndnoteReference">
    <w:name w:val="endnote reference"/>
    <w:uiPriority w:val="99"/>
    <w:unhideWhenUsed/>
    <w:rsid w:val="006D0014"/>
    <w:rPr>
      <w:vertAlign w:val="superscript"/>
    </w:rPr>
  </w:style>
  <w:style w:type="paragraph" w:styleId="EndnoteText">
    <w:name w:val="endnote text"/>
    <w:basedOn w:val="Normal"/>
    <w:link w:val="EndnoteTextChar"/>
    <w:uiPriority w:val="99"/>
    <w:unhideWhenUsed/>
    <w:rsid w:val="006D0014"/>
  </w:style>
  <w:style w:type="character" w:customStyle="1" w:styleId="EndnoteTextChar">
    <w:name w:val="Endnote Text Char"/>
    <w:link w:val="EndnoteText"/>
    <w:uiPriority w:val="99"/>
    <w:rsid w:val="006D0014"/>
    <w:rPr>
      <w:rFonts w:ascii="Times New Roman" w:eastAsia="Times New Roman" w:hAnsi="Times New Roman" w:cs="Times New Roman"/>
      <w:sz w:val="20"/>
      <w:szCs w:val="20"/>
      <w:lang w:val="en-US"/>
    </w:rPr>
  </w:style>
  <w:style w:type="character" w:customStyle="1" w:styleId="EnRefEndnoteReference">
    <w:name w:val="EnRef Endnote Reference"/>
    <w:qFormat/>
    <w:rsid w:val="006D0014"/>
    <w:rPr>
      <w:bdr w:val="none" w:sz="0" w:space="0" w:color="auto"/>
      <w:shd w:val="clear" w:color="auto" w:fill="FFC000"/>
      <w:vertAlign w:val="superscript"/>
    </w:rPr>
  </w:style>
  <w:style w:type="paragraph" w:customStyle="1" w:styleId="EqnDisplayEquation">
    <w:name w:val="Eqn Display Equation"/>
    <w:basedOn w:val="TxtBodyText"/>
    <w:rsid w:val="006D0014"/>
    <w:pPr>
      <w:tabs>
        <w:tab w:val="right" w:pos="8640"/>
      </w:tabs>
      <w:spacing w:before="360" w:after="360" w:line="240" w:lineRule="auto"/>
      <w:ind w:left="1440" w:right="720" w:hanging="720"/>
    </w:pPr>
    <w:rPr>
      <w:color w:val="948A54"/>
    </w:rPr>
  </w:style>
  <w:style w:type="paragraph" w:customStyle="1" w:styleId="EqnCDisplayEquationContinued">
    <w:name w:val="EqnC Display Equation Continued"/>
    <w:basedOn w:val="EqnDisplayEquation"/>
    <w:rsid w:val="006D0014"/>
    <w:rPr>
      <w:rFonts w:eastAsia="MS Mincho"/>
    </w:rPr>
  </w:style>
  <w:style w:type="character" w:customStyle="1" w:styleId="EqnInTxt">
    <w:name w:val="EqnInTxt"/>
    <w:qFormat/>
    <w:rsid w:val="006D0014"/>
    <w:rPr>
      <w:color w:val="948A54"/>
    </w:rPr>
  </w:style>
  <w:style w:type="character" w:customStyle="1" w:styleId="EqnMenEquationMention">
    <w:name w:val="EqnMen Equation Mention"/>
    <w:qFormat/>
    <w:rsid w:val="006D0014"/>
    <w:rPr>
      <w:color w:val="948A54"/>
      <w:u w:val="single"/>
    </w:rPr>
  </w:style>
  <w:style w:type="character" w:customStyle="1" w:styleId="EqnNoDisplayEquationNumber">
    <w:name w:val="EqnNo Display Equation Number"/>
    <w:rsid w:val="006D0014"/>
    <w:rPr>
      <w:bdr w:val="none" w:sz="0" w:space="0" w:color="auto"/>
      <w:shd w:val="pct15" w:color="auto" w:fill="FFFFFF"/>
    </w:rPr>
  </w:style>
  <w:style w:type="paragraph" w:customStyle="1" w:styleId="ExtExtractorBlockQuote">
    <w:name w:val="Ext Extract or Block Quote"/>
    <w:basedOn w:val="TxtBodyText"/>
    <w:rsid w:val="006D0014"/>
    <w:pPr>
      <w:ind w:left="720" w:right="720"/>
      <w:contextualSpacing/>
    </w:pPr>
  </w:style>
  <w:style w:type="paragraph" w:customStyle="1" w:styleId="ExtCNewParaContinuationofExtractNewParagraph">
    <w:name w:val="ExtCNewPara Continuation of Extract New Paragraph"/>
    <w:basedOn w:val="ExtExtractorBlockQuote"/>
    <w:qFormat/>
    <w:rsid w:val="006D0014"/>
  </w:style>
  <w:style w:type="paragraph" w:customStyle="1" w:styleId="ExtCSameParaContinuationofExtractSameParagraph">
    <w:name w:val="ExtCSamePara Continuation of Extract Same Paragraph"/>
    <w:basedOn w:val="ExtExtractorBlockQuote"/>
    <w:next w:val="ExtExtractorBlockQuote"/>
    <w:qFormat/>
    <w:rsid w:val="006D0014"/>
    <w:pPr>
      <w:ind w:firstLine="0"/>
    </w:pPr>
    <w:rPr>
      <w:lang w:val="en-CA"/>
    </w:rPr>
  </w:style>
  <w:style w:type="paragraph" w:customStyle="1" w:styleId="ExtEndMarksEndofExtorExtCendingwithanotherstyle">
    <w:name w:val="ExtEnd Marks End of Ext or ExtC ending with another style"/>
    <w:basedOn w:val="Normal"/>
    <w:qFormat/>
    <w:rsid w:val="006D0014"/>
    <w:pPr>
      <w:pBdr>
        <w:bottom w:val="dashed" w:sz="4" w:space="6" w:color="auto"/>
      </w:pBdr>
      <w:spacing w:line="360" w:lineRule="exact"/>
      <w:ind w:left="720" w:right="720"/>
    </w:pPr>
    <w:rPr>
      <w:sz w:val="24"/>
    </w:rPr>
  </w:style>
  <w:style w:type="paragraph" w:customStyle="1" w:styleId="LHListHeading">
    <w:name w:val="LH List Heading"/>
    <w:basedOn w:val="TxtBodyText"/>
    <w:rsid w:val="006D0014"/>
    <w:pPr>
      <w:keepNext/>
      <w:keepLines/>
      <w:spacing w:before="360"/>
      <w:ind w:left="720"/>
    </w:pPr>
    <w:rPr>
      <w:b/>
    </w:rPr>
  </w:style>
  <w:style w:type="paragraph" w:customStyle="1" w:styleId="ExtHeadExtractHeading">
    <w:name w:val="ExtHead Extract Heading"/>
    <w:basedOn w:val="LHListHeading"/>
    <w:next w:val="Normal"/>
    <w:qFormat/>
    <w:rsid w:val="006D0014"/>
  </w:style>
  <w:style w:type="paragraph" w:customStyle="1" w:styleId="FAbstAbstract">
    <w:name w:val="FAbst Abstract"/>
    <w:basedOn w:val="AbstAbstract"/>
    <w:qFormat/>
    <w:rsid w:val="006D0014"/>
    <w:rPr>
      <w:color w:val="FF0000"/>
    </w:rPr>
  </w:style>
  <w:style w:type="paragraph" w:customStyle="1" w:styleId="FAbstTAbstractTitle">
    <w:name w:val="FAbstT Abstract Title"/>
    <w:basedOn w:val="AbstTAbstractTitle"/>
    <w:qFormat/>
    <w:rsid w:val="006D0014"/>
    <w:rPr>
      <w:color w:val="FF0000"/>
    </w:rPr>
  </w:style>
  <w:style w:type="paragraph" w:customStyle="1" w:styleId="TFNTableFootnote">
    <w:name w:val="TFN Table Footnote"/>
    <w:basedOn w:val="Normal"/>
    <w:qFormat/>
    <w:rsid w:val="006D0014"/>
    <w:rPr>
      <w:sz w:val="24"/>
    </w:rPr>
  </w:style>
  <w:style w:type="paragraph" w:customStyle="1" w:styleId="FFNFigureFootnote">
    <w:name w:val="FFN Figure Footnote"/>
    <w:basedOn w:val="TFNTableFootnote"/>
    <w:qFormat/>
    <w:rsid w:val="006D0014"/>
    <w:pPr>
      <w:ind w:left="1440"/>
    </w:pPr>
  </w:style>
  <w:style w:type="character" w:customStyle="1" w:styleId="FigCOFigureCallout">
    <w:name w:val="FigCO Figure Callout"/>
    <w:rsid w:val="006D0014"/>
    <w:rPr>
      <w:rFonts w:ascii="Times New Roman" w:hAnsi="Times New Roman"/>
      <w:b w:val="0"/>
      <w:sz w:val="24"/>
      <w:bdr w:val="none" w:sz="0" w:space="0" w:color="auto"/>
      <w:shd w:val="pct50" w:color="0000FF" w:fill="auto"/>
    </w:rPr>
  </w:style>
  <w:style w:type="paragraph" w:customStyle="1" w:styleId="FigContFigureContinued">
    <w:name w:val="FigCont Figure Continued"/>
    <w:basedOn w:val="CaptCaptiondescription"/>
    <w:rsid w:val="006D0014"/>
  </w:style>
  <w:style w:type="character" w:customStyle="1" w:styleId="FigMenFigureMention">
    <w:name w:val="FigMen Figure Mention"/>
    <w:rsid w:val="006D0014"/>
    <w:rPr>
      <w:color w:val="0000FF"/>
      <w:u w:val="single"/>
    </w:rPr>
  </w:style>
  <w:style w:type="character" w:customStyle="1" w:styleId="FigNFigureNumber">
    <w:name w:val="FigN Figure Number"/>
    <w:qFormat/>
    <w:rsid w:val="006D0014"/>
    <w:rPr>
      <w:b w:val="0"/>
    </w:rPr>
  </w:style>
  <w:style w:type="paragraph" w:customStyle="1" w:styleId="FigTFigureTitle">
    <w:name w:val="FigT Figure Title"/>
    <w:basedOn w:val="Normal"/>
    <w:qFormat/>
    <w:rsid w:val="006D0014"/>
    <w:pPr>
      <w:spacing w:line="360" w:lineRule="exact"/>
      <w:jc w:val="center"/>
      <w:outlineLvl w:val="0"/>
    </w:pPr>
    <w:rPr>
      <w:rFonts w:ascii="Arial" w:hAnsi="Arial"/>
      <w:color w:val="7030A0"/>
      <w:sz w:val="28"/>
    </w:rPr>
  </w:style>
  <w:style w:type="paragraph" w:customStyle="1" w:styleId="FigSTFigureSubtitle">
    <w:name w:val="FigST Figure Subtitle"/>
    <w:basedOn w:val="FigTFigureTitle"/>
    <w:qFormat/>
    <w:rsid w:val="006D0014"/>
    <w:rPr>
      <w:sz w:val="24"/>
    </w:rPr>
  </w:style>
  <w:style w:type="paragraph" w:customStyle="1" w:styleId="KwdsKeywords">
    <w:name w:val="Kwds Keywords"/>
    <w:basedOn w:val="AbstAbstract"/>
    <w:rsid w:val="006D0014"/>
    <w:pPr>
      <w:spacing w:before="120"/>
      <w:jc w:val="right"/>
    </w:pPr>
    <w:rPr>
      <w:color w:val="0070C0"/>
    </w:rPr>
  </w:style>
  <w:style w:type="paragraph" w:customStyle="1" w:styleId="FKwdsKeywords">
    <w:name w:val="FKwds Keywords"/>
    <w:basedOn w:val="KwdsKeywords"/>
    <w:qFormat/>
    <w:rsid w:val="006D0014"/>
    <w:rPr>
      <w:color w:val="FF0000"/>
    </w:rPr>
  </w:style>
  <w:style w:type="character" w:customStyle="1" w:styleId="FnRefFootnoteReference">
    <w:name w:val="FnRef Footnote Reference"/>
    <w:rsid w:val="006D0014"/>
    <w:rPr>
      <w:bdr w:val="none" w:sz="0" w:space="0" w:color="auto"/>
      <w:shd w:val="clear" w:color="auto" w:fill="00B0F0"/>
      <w:vertAlign w:val="superscript"/>
    </w:rPr>
  </w:style>
  <w:style w:type="character" w:styleId="FollowedHyperlink">
    <w:name w:val="FollowedHyperlink"/>
    <w:uiPriority w:val="99"/>
    <w:unhideWhenUsed/>
    <w:rsid w:val="006D0014"/>
    <w:rPr>
      <w:color w:val="800080"/>
      <w:u w:val="single"/>
    </w:rPr>
  </w:style>
  <w:style w:type="paragraph" w:styleId="Footer">
    <w:name w:val="footer"/>
    <w:basedOn w:val="Normal"/>
    <w:link w:val="FooterChar"/>
    <w:uiPriority w:val="99"/>
    <w:unhideWhenUsed/>
    <w:rsid w:val="006D0014"/>
    <w:pPr>
      <w:tabs>
        <w:tab w:val="center" w:pos="4320"/>
        <w:tab w:val="right" w:pos="8640"/>
      </w:tabs>
    </w:pPr>
  </w:style>
  <w:style w:type="character" w:customStyle="1" w:styleId="FooterChar">
    <w:name w:val="Footer Char"/>
    <w:basedOn w:val="DefaultParagraphFont"/>
    <w:link w:val="Footer"/>
    <w:uiPriority w:val="99"/>
    <w:rsid w:val="006D0014"/>
    <w:rPr>
      <w:rFonts w:ascii="Times New Roman" w:eastAsia="Times New Roman" w:hAnsi="Times New Roman" w:cs="Times New Roman"/>
      <w:sz w:val="20"/>
      <w:szCs w:val="20"/>
      <w:lang w:val="en-US"/>
    </w:rPr>
  </w:style>
  <w:style w:type="character" w:styleId="FootnoteReference">
    <w:name w:val="footnote reference"/>
    <w:uiPriority w:val="99"/>
    <w:semiHidden/>
    <w:rsid w:val="006D0014"/>
    <w:rPr>
      <w:vertAlign w:val="superscript"/>
    </w:rPr>
  </w:style>
  <w:style w:type="paragraph" w:styleId="FootnoteText">
    <w:name w:val="footnote text"/>
    <w:basedOn w:val="Normal"/>
    <w:link w:val="FootnoteTextChar"/>
    <w:uiPriority w:val="99"/>
    <w:rsid w:val="006D0014"/>
    <w:rPr>
      <w:lang w:eastAsia="fr-CA"/>
    </w:rPr>
  </w:style>
  <w:style w:type="character" w:customStyle="1" w:styleId="FootnoteTextChar">
    <w:name w:val="Footnote Text Char"/>
    <w:link w:val="FootnoteText"/>
    <w:uiPriority w:val="99"/>
    <w:rsid w:val="006D0014"/>
    <w:rPr>
      <w:rFonts w:ascii="Times New Roman" w:eastAsia="Times New Roman" w:hAnsi="Times New Roman" w:cs="Times New Roman"/>
      <w:sz w:val="20"/>
      <w:szCs w:val="20"/>
      <w:lang w:val="en-US" w:eastAsia="fr-CA"/>
    </w:rPr>
  </w:style>
  <w:style w:type="paragraph" w:customStyle="1" w:styleId="SrcSourceorCreditLine">
    <w:name w:val="Src Source or Credit Line"/>
    <w:basedOn w:val="Normal"/>
    <w:qFormat/>
    <w:rsid w:val="006D0014"/>
    <w:pPr>
      <w:spacing w:after="240" w:line="240" w:lineRule="exact"/>
      <w:jc w:val="center"/>
    </w:pPr>
    <w:rPr>
      <w:rFonts w:ascii="Arial" w:hAnsi="Arial"/>
      <w:color w:val="0070C0"/>
      <w:sz w:val="16"/>
    </w:rPr>
  </w:style>
  <w:style w:type="paragraph" w:customStyle="1" w:styleId="FSrcFigureSource">
    <w:name w:val="FSrc Figure Source"/>
    <w:basedOn w:val="SrcSourceorCreditLine"/>
    <w:rsid w:val="006D0014"/>
  </w:style>
  <w:style w:type="paragraph" w:customStyle="1" w:styleId="Glos">
    <w:name w:val="Glos"/>
    <w:basedOn w:val="TxtBodyText"/>
    <w:qFormat/>
    <w:rsid w:val="006D0014"/>
    <w:pPr>
      <w:ind w:left="720" w:hanging="720"/>
    </w:pPr>
    <w:rPr>
      <w:rFonts w:ascii="Arial" w:hAnsi="Arial"/>
    </w:rPr>
  </w:style>
  <w:style w:type="character" w:customStyle="1" w:styleId="GlosTermGlossaryTerm">
    <w:name w:val="GlosTerm Glossary Term"/>
    <w:qFormat/>
    <w:rsid w:val="006D0014"/>
    <w:rPr>
      <w:b/>
      <w:color w:val="0070C0"/>
    </w:rPr>
  </w:style>
  <w:style w:type="paragraph" w:customStyle="1" w:styleId="H3HeadingLevel3">
    <w:name w:val="H3 Heading Level 3"/>
    <w:basedOn w:val="H2HeadingLevel2"/>
    <w:next w:val="TxtBodyText"/>
    <w:rsid w:val="006D0014"/>
    <w:pPr>
      <w:keepNext/>
      <w:keepLines/>
      <w:widowControl w:val="0"/>
      <w:spacing w:after="120"/>
      <w:ind w:left="720"/>
      <w:outlineLvl w:val="2"/>
    </w:pPr>
    <w:rPr>
      <w:sz w:val="28"/>
    </w:rPr>
  </w:style>
  <w:style w:type="paragraph" w:customStyle="1" w:styleId="H4HeadingLevel4">
    <w:name w:val="H4 Heading Level 4"/>
    <w:basedOn w:val="H3HeadingLevel3"/>
    <w:next w:val="TxtBodyText"/>
    <w:rsid w:val="006D0014"/>
    <w:pPr>
      <w:spacing w:before="240"/>
      <w:ind w:left="0"/>
      <w:outlineLvl w:val="3"/>
    </w:pPr>
    <w:rPr>
      <w:b w:val="0"/>
    </w:rPr>
  </w:style>
  <w:style w:type="paragraph" w:customStyle="1" w:styleId="H5HeadingLevel5">
    <w:name w:val="H5 Heading Level 5"/>
    <w:basedOn w:val="H4HeadingLevel4"/>
    <w:next w:val="TxtBodyText"/>
    <w:rsid w:val="006D0014"/>
    <w:pPr>
      <w:ind w:left="360"/>
      <w:outlineLvl w:val="4"/>
    </w:pPr>
    <w:rPr>
      <w:sz w:val="24"/>
    </w:rPr>
  </w:style>
  <w:style w:type="paragraph" w:customStyle="1" w:styleId="H6HeadingLevel6">
    <w:name w:val="H6 Heading Level 6"/>
    <w:basedOn w:val="H5HeadingLevel5"/>
    <w:next w:val="TxtBodyText"/>
    <w:rsid w:val="006D0014"/>
    <w:pPr>
      <w:ind w:left="720"/>
      <w:outlineLvl w:val="5"/>
    </w:pPr>
    <w:rPr>
      <w:sz w:val="20"/>
    </w:rPr>
  </w:style>
  <w:style w:type="paragraph" w:customStyle="1" w:styleId="HdNtHeadnote">
    <w:name w:val="HdNt Headnote"/>
    <w:basedOn w:val="TxtBodyText"/>
    <w:qFormat/>
    <w:rsid w:val="006D0014"/>
    <w:pPr>
      <w:spacing w:before="120" w:after="120" w:line="360" w:lineRule="exact"/>
      <w:ind w:left="1440" w:right="1440"/>
    </w:pPr>
    <w:rPr>
      <w:rFonts w:ascii="Arial" w:hAnsi="Arial"/>
      <w:sz w:val="22"/>
    </w:rPr>
  </w:style>
  <w:style w:type="paragraph" w:styleId="Header">
    <w:name w:val="header"/>
    <w:basedOn w:val="Normal"/>
    <w:link w:val="HeaderChar"/>
    <w:uiPriority w:val="99"/>
    <w:unhideWhenUsed/>
    <w:rsid w:val="006D0014"/>
    <w:pPr>
      <w:tabs>
        <w:tab w:val="center" w:pos="4320"/>
        <w:tab w:val="right" w:pos="8640"/>
      </w:tabs>
    </w:pPr>
  </w:style>
  <w:style w:type="character" w:customStyle="1" w:styleId="HeaderChar">
    <w:name w:val="Header Char"/>
    <w:basedOn w:val="DefaultParagraphFont"/>
    <w:link w:val="Header"/>
    <w:uiPriority w:val="99"/>
    <w:rsid w:val="006D0014"/>
    <w:rPr>
      <w:rFonts w:ascii="Times New Roman" w:eastAsia="Times New Roman" w:hAnsi="Times New Roman" w:cs="Times New Roman"/>
      <w:sz w:val="20"/>
      <w:szCs w:val="20"/>
      <w:lang w:val="en-US"/>
    </w:rPr>
  </w:style>
  <w:style w:type="paragraph" w:styleId="HTMLPreformatted">
    <w:name w:val="HTML Preformatted"/>
    <w:basedOn w:val="Normal"/>
    <w:link w:val="HTMLPreformattedChar"/>
    <w:uiPriority w:val="99"/>
    <w:semiHidden/>
    <w:unhideWhenUsed/>
    <w:rsid w:val="006D0014"/>
    <w:rPr>
      <w:rFonts w:ascii="Consolas" w:hAnsi="Consolas"/>
    </w:rPr>
  </w:style>
  <w:style w:type="character" w:customStyle="1" w:styleId="HTMLPreformattedChar">
    <w:name w:val="HTML Preformatted Char"/>
    <w:link w:val="HTMLPreformatted"/>
    <w:uiPriority w:val="99"/>
    <w:semiHidden/>
    <w:rsid w:val="006D0014"/>
    <w:rPr>
      <w:rFonts w:ascii="Consolas" w:eastAsia="Times New Roman" w:hAnsi="Consolas" w:cs="Times New Roman"/>
      <w:sz w:val="20"/>
      <w:szCs w:val="20"/>
      <w:lang w:val="en-US"/>
    </w:rPr>
  </w:style>
  <w:style w:type="character" w:styleId="Hyperlink">
    <w:name w:val="Hyperlink"/>
    <w:uiPriority w:val="99"/>
    <w:unhideWhenUsed/>
    <w:rsid w:val="006D0014"/>
    <w:rPr>
      <w:color w:val="0000FF"/>
      <w:u w:val="single"/>
    </w:rPr>
  </w:style>
  <w:style w:type="paragraph" w:customStyle="1" w:styleId="Ind1IndexMainEntry">
    <w:name w:val="Ind1 Index Main Entry"/>
    <w:basedOn w:val="Normal"/>
    <w:qFormat/>
    <w:rsid w:val="006D0014"/>
    <w:pPr>
      <w:spacing w:line="360" w:lineRule="exact"/>
      <w:ind w:left="1440" w:hanging="1440"/>
    </w:pPr>
    <w:rPr>
      <w:rFonts w:ascii="Arial" w:hAnsi="Arial"/>
    </w:rPr>
  </w:style>
  <w:style w:type="paragraph" w:customStyle="1" w:styleId="Ind2IndexSubentry">
    <w:name w:val="Ind2 Index Subentry"/>
    <w:basedOn w:val="Ind1IndexMainEntry"/>
    <w:next w:val="Ind1IndexMainEntry"/>
    <w:qFormat/>
    <w:rsid w:val="006D0014"/>
    <w:pPr>
      <w:ind w:hanging="1080"/>
    </w:pPr>
  </w:style>
  <w:style w:type="paragraph" w:customStyle="1" w:styleId="Ind3IndexSubSubentry">
    <w:name w:val="Ind3 Index SubSubentry"/>
    <w:basedOn w:val="Ind1IndexMainEntry"/>
    <w:next w:val="Ind1IndexMainEntry"/>
    <w:qFormat/>
    <w:rsid w:val="006D0014"/>
    <w:pPr>
      <w:ind w:hanging="720"/>
    </w:pPr>
  </w:style>
  <w:style w:type="paragraph" w:customStyle="1" w:styleId="Ind4IndexSubSubSubentry">
    <w:name w:val="Ind4 Index SubSubSubentry"/>
    <w:basedOn w:val="Ind1IndexMainEntry"/>
    <w:next w:val="Ind1IndexMainEntry"/>
    <w:qFormat/>
    <w:rsid w:val="006D0014"/>
    <w:pPr>
      <w:ind w:hanging="360"/>
    </w:pPr>
  </w:style>
  <w:style w:type="paragraph" w:customStyle="1" w:styleId="IndAlphIndexAlphaBreak">
    <w:name w:val="IndAlph Index Alpha Break"/>
    <w:basedOn w:val="Normal"/>
    <w:qFormat/>
    <w:rsid w:val="006D0014"/>
    <w:pPr>
      <w:shd w:val="clear" w:color="auto" w:fill="E5B8B7"/>
      <w:spacing w:before="240" w:after="120" w:line="360" w:lineRule="exact"/>
      <w:jc w:val="center"/>
    </w:pPr>
    <w:rPr>
      <w:rFonts w:ascii="Arial" w:hAnsi="Arial"/>
      <w:b/>
      <w:sz w:val="24"/>
    </w:rPr>
  </w:style>
  <w:style w:type="character" w:customStyle="1" w:styleId="IndInlineSeeIndexInlineSee">
    <w:name w:val="IndInlineSee Index Inline See"/>
    <w:uiPriority w:val="1"/>
    <w:qFormat/>
    <w:rsid w:val="006D0014"/>
    <w:rPr>
      <w:b w:val="0"/>
      <w:i w:val="0"/>
      <w:color w:val="943634"/>
    </w:rPr>
  </w:style>
  <w:style w:type="paragraph" w:customStyle="1" w:styleId="IndRunInIndexRunInMainEntry">
    <w:name w:val="IndRunIn Index Run In Main Entry"/>
    <w:basedOn w:val="Ind1IndexMainEntry"/>
    <w:qFormat/>
    <w:rsid w:val="006D0014"/>
  </w:style>
  <w:style w:type="character" w:customStyle="1" w:styleId="IndSub2IndexSubentryinMainEntry">
    <w:name w:val="IndSub2 Index Subentry in Main Entry"/>
    <w:uiPriority w:val="1"/>
    <w:qFormat/>
    <w:rsid w:val="006D0014"/>
    <w:rPr>
      <w:u w:val="dash" w:color="548DD4"/>
    </w:rPr>
  </w:style>
  <w:style w:type="paragraph" w:customStyle="1" w:styleId="OthConBegBeginOtherContainer">
    <w:name w:val="OthConBeg Begin Other Container"/>
    <w:basedOn w:val="NotesBegBeginNotes"/>
    <w:qFormat/>
    <w:rsid w:val="006D0014"/>
  </w:style>
  <w:style w:type="paragraph" w:customStyle="1" w:styleId="INSERT-BMTInsertBackmatterMarker">
    <w:name w:val="INSERT-BMT Insert Backmatter Marker"/>
    <w:basedOn w:val="OthConBegBeginOtherContainer"/>
    <w:next w:val="Normal"/>
    <w:qFormat/>
    <w:rsid w:val="006D0014"/>
    <w:pPr>
      <w:shd w:val="thinDiagStripe" w:color="auto" w:fill="auto"/>
    </w:pPr>
  </w:style>
  <w:style w:type="paragraph" w:customStyle="1" w:styleId="IntAInterviewAnswer">
    <w:name w:val="IntA Interview Answer"/>
    <w:basedOn w:val="TxtBodyText"/>
    <w:rsid w:val="006D0014"/>
    <w:rPr>
      <w:color w:val="4BACC6"/>
    </w:rPr>
  </w:style>
  <w:style w:type="character" w:customStyle="1" w:styleId="IntEInterviewee">
    <w:name w:val="IntE Interviewee"/>
    <w:qFormat/>
    <w:rsid w:val="006D0014"/>
    <w:rPr>
      <w:u w:val="dotted"/>
    </w:rPr>
  </w:style>
  <w:style w:type="paragraph" w:customStyle="1" w:styleId="IntQInterviewQuestion">
    <w:name w:val="IntQ Interview Question"/>
    <w:basedOn w:val="TxtBodyText"/>
    <w:rsid w:val="006D0014"/>
    <w:rPr>
      <w:color w:val="000080"/>
    </w:rPr>
  </w:style>
  <w:style w:type="character" w:customStyle="1" w:styleId="IntRInterviewer">
    <w:name w:val="IntR Interviewer"/>
    <w:qFormat/>
    <w:rsid w:val="006D0014"/>
    <w:rPr>
      <w:u w:val="dash"/>
    </w:rPr>
  </w:style>
  <w:style w:type="paragraph" w:customStyle="1" w:styleId="ITColHdIn-textTableColumnHead">
    <w:name w:val="ITColHd In-text Table Column Head"/>
    <w:basedOn w:val="Normal"/>
    <w:rsid w:val="006D0014"/>
    <w:rPr>
      <w:rFonts w:ascii="Arial" w:hAnsi="Arial"/>
      <w:b/>
      <w:sz w:val="24"/>
    </w:rPr>
  </w:style>
  <w:style w:type="paragraph" w:customStyle="1" w:styleId="ITTblIn-textTableBody">
    <w:name w:val="ITTbl In-text Table Body"/>
    <w:basedOn w:val="Normal"/>
    <w:rsid w:val="006D0014"/>
    <w:pPr>
      <w:ind w:left="187" w:hanging="187"/>
    </w:pPr>
    <w:rPr>
      <w:sz w:val="24"/>
    </w:rPr>
  </w:style>
  <w:style w:type="paragraph" w:customStyle="1" w:styleId="LetTxtLetterText">
    <w:name w:val="LetTxt Letter Text"/>
    <w:basedOn w:val="TxtBodyText"/>
    <w:rsid w:val="006D0014"/>
    <w:pPr>
      <w:spacing w:before="240"/>
      <w:ind w:left="720" w:right="720"/>
      <w:contextualSpacing/>
    </w:pPr>
    <w:rPr>
      <w:color w:val="943634"/>
    </w:rPr>
  </w:style>
  <w:style w:type="paragraph" w:customStyle="1" w:styleId="LetAddrLetterAddress">
    <w:name w:val="LetAddr Letter Address"/>
    <w:basedOn w:val="LetTxtLetterText"/>
    <w:rsid w:val="006D0014"/>
    <w:pPr>
      <w:spacing w:after="240"/>
    </w:pPr>
  </w:style>
  <w:style w:type="paragraph" w:customStyle="1" w:styleId="LetAuLetterAuthor">
    <w:name w:val="LetAu Letter Author"/>
    <w:basedOn w:val="LetTxtLetterText"/>
    <w:rsid w:val="006D0014"/>
    <w:pPr>
      <w:spacing w:after="240"/>
    </w:pPr>
  </w:style>
  <w:style w:type="paragraph" w:customStyle="1" w:styleId="LetAuAddLetterAuthorAddress">
    <w:name w:val="LetAuAdd Letter Author Address"/>
    <w:basedOn w:val="LetTxtLetterText"/>
    <w:rsid w:val="006D0014"/>
    <w:pPr>
      <w:spacing w:after="240"/>
    </w:pPr>
  </w:style>
  <w:style w:type="paragraph" w:customStyle="1" w:styleId="LetBegBeginLetter">
    <w:name w:val="LetBeg Begin Letter"/>
    <w:basedOn w:val="OthConBegBeginOtherContainer"/>
    <w:qFormat/>
    <w:rsid w:val="006D0014"/>
  </w:style>
  <w:style w:type="paragraph" w:customStyle="1" w:styleId="LetClosLetterClosing">
    <w:name w:val="LetClos Letter Closing"/>
    <w:basedOn w:val="LetTxtLetterText"/>
    <w:rsid w:val="006D0014"/>
    <w:pPr>
      <w:spacing w:after="240"/>
    </w:pPr>
  </w:style>
  <w:style w:type="paragraph" w:customStyle="1" w:styleId="LetCNewParaContinuationofLetterTextNewParagraph">
    <w:name w:val="LetCNewPara Continuation of Letter Text New Paragraph"/>
    <w:basedOn w:val="LetTxtLetterText"/>
    <w:qFormat/>
    <w:rsid w:val="006D0014"/>
  </w:style>
  <w:style w:type="paragraph" w:customStyle="1" w:styleId="LetCSameParaContinuationofLetterTextSameParagraph">
    <w:name w:val="LetCSamePara Continuation of Letter Text Same Paragraph"/>
    <w:basedOn w:val="LetTxtLetterText"/>
    <w:next w:val="LetTxtLetterText"/>
    <w:qFormat/>
    <w:rsid w:val="006D0014"/>
    <w:pPr>
      <w:ind w:firstLine="0"/>
    </w:pPr>
  </w:style>
  <w:style w:type="paragraph" w:customStyle="1" w:styleId="LetDateLetterDate">
    <w:name w:val="LetDate Letter Date"/>
    <w:basedOn w:val="LetTxtLetterText"/>
    <w:rsid w:val="006D0014"/>
    <w:pPr>
      <w:spacing w:before="360"/>
      <w:jc w:val="right"/>
    </w:pPr>
  </w:style>
  <w:style w:type="paragraph" w:customStyle="1" w:styleId="LetEndEndLetter">
    <w:name w:val="LetEnd End Letter"/>
    <w:basedOn w:val="OthConBegBeginOtherContainer"/>
    <w:qFormat/>
    <w:rsid w:val="006D0014"/>
  </w:style>
  <w:style w:type="paragraph" w:customStyle="1" w:styleId="LetSalLetterSalutation">
    <w:name w:val="LetSal Letter Salutation"/>
    <w:basedOn w:val="LetTxtLetterText"/>
    <w:rsid w:val="006D0014"/>
  </w:style>
  <w:style w:type="paragraph" w:customStyle="1" w:styleId="LgndLegendguidetointerpretingfigure">
    <w:name w:val="Lgnd Legend (guide to interpreting figure)"/>
    <w:basedOn w:val="CaptCaptiondescription"/>
    <w:qFormat/>
    <w:rsid w:val="006D0014"/>
    <w:pPr>
      <w:spacing w:after="240"/>
      <w:ind w:left="5760" w:right="0"/>
      <w:contextualSpacing/>
    </w:pPr>
    <w:rPr>
      <w:rFonts w:cs="Arial"/>
      <w:color w:val="7030A0"/>
    </w:rPr>
  </w:style>
  <w:style w:type="paragraph" w:customStyle="1" w:styleId="NLNumberedList">
    <w:name w:val="NL Numbered List"/>
    <w:basedOn w:val="BLBulletList"/>
    <w:qFormat/>
    <w:rsid w:val="006D0014"/>
    <w:pPr>
      <w:tabs>
        <w:tab w:val="clear" w:pos="240"/>
        <w:tab w:val="clear" w:pos="960"/>
        <w:tab w:val="left" w:pos="480"/>
      </w:tabs>
      <w:ind w:left="1200" w:hanging="480"/>
    </w:pPr>
  </w:style>
  <w:style w:type="paragraph" w:customStyle="1" w:styleId="LLLetteredList">
    <w:name w:val="LL Lettered List"/>
    <w:basedOn w:val="NLNumberedList"/>
    <w:qFormat/>
    <w:rsid w:val="006D0014"/>
  </w:style>
  <w:style w:type="paragraph" w:customStyle="1" w:styleId="MargNMarginalNote">
    <w:name w:val="MargN Marginal Note"/>
    <w:basedOn w:val="TxtBodyText"/>
    <w:qFormat/>
    <w:rsid w:val="006D0014"/>
    <w:pPr>
      <w:ind w:left="-720"/>
    </w:pPr>
  </w:style>
  <w:style w:type="paragraph" w:customStyle="1" w:styleId="MCLMultiColumnList">
    <w:name w:val="MCL MultiColumn List"/>
    <w:basedOn w:val="Normal"/>
    <w:qFormat/>
    <w:rsid w:val="006D0014"/>
    <w:pPr>
      <w:widowControl w:val="0"/>
      <w:tabs>
        <w:tab w:val="left" w:pos="1440"/>
        <w:tab w:val="left" w:pos="5040"/>
      </w:tabs>
      <w:spacing w:line="560" w:lineRule="exact"/>
      <w:ind w:left="3600" w:hanging="2880"/>
    </w:pPr>
    <w:rPr>
      <w:sz w:val="24"/>
    </w:rPr>
  </w:style>
  <w:style w:type="paragraph" w:styleId="NoSpacing">
    <w:name w:val="No Spacing"/>
    <w:uiPriority w:val="1"/>
    <w:qFormat/>
    <w:rsid w:val="006D0014"/>
    <w:pPr>
      <w:spacing w:after="0" w:line="240" w:lineRule="auto"/>
    </w:pPr>
    <w:rPr>
      <w:rFonts w:ascii="Calibri" w:eastAsia="Calibri" w:hAnsi="Calibri" w:cs="Times New Roman"/>
      <w:lang w:val="fr-CA"/>
    </w:rPr>
  </w:style>
  <w:style w:type="paragraph" w:customStyle="1" w:styleId="NoteCNoteContinued">
    <w:name w:val="NoteC Note Continued"/>
    <w:basedOn w:val="ENEndnote"/>
    <w:rsid w:val="006D0014"/>
    <w:rPr>
      <w:rFonts w:eastAsia="MS Mincho"/>
    </w:rPr>
  </w:style>
  <w:style w:type="paragraph" w:customStyle="1" w:styleId="NoteComplexBegin">
    <w:name w:val="NoteComplexBegin"/>
    <w:basedOn w:val="AppBegBeginAppendix"/>
    <w:rsid w:val="006D0014"/>
  </w:style>
  <w:style w:type="paragraph" w:customStyle="1" w:styleId="NoteComplexEnd">
    <w:name w:val="NoteComplexEnd"/>
    <w:basedOn w:val="AppEndEndAppendix"/>
    <w:rsid w:val="006D0014"/>
  </w:style>
  <w:style w:type="character" w:customStyle="1" w:styleId="NumLetLabelNumberorLetterofaNumberedorLetteredParagraph">
    <w:name w:val="NumLetLabel Number or Letter of a Numbered or Lettered Paragraph"/>
    <w:uiPriority w:val="1"/>
    <w:qFormat/>
    <w:rsid w:val="006D0014"/>
    <w:rPr>
      <w:b/>
      <w:color w:val="auto"/>
      <w:u w:val="double"/>
    </w:rPr>
  </w:style>
  <w:style w:type="paragraph" w:customStyle="1" w:styleId="NumLetPara1First-LevelNumberedorLetteredParagraph">
    <w:name w:val="NumLetPara1 First-Level Numbered or Lettered Paragraph"/>
    <w:basedOn w:val="TxtBodyText"/>
    <w:qFormat/>
    <w:rsid w:val="006D0014"/>
    <w:pPr>
      <w:tabs>
        <w:tab w:val="left" w:pos="720"/>
        <w:tab w:val="left" w:pos="1440"/>
      </w:tabs>
      <w:spacing w:after="120" w:line="400" w:lineRule="exact"/>
      <w:ind w:firstLine="0"/>
    </w:pPr>
  </w:style>
  <w:style w:type="paragraph" w:customStyle="1" w:styleId="NumLetPara1ContContinuationofFirst-LevelNumberedorLetteredParagraphGroup">
    <w:name w:val="NumLetPara1Cont Continuation of First-Level Numbered or Lettered Paragraph Group"/>
    <w:basedOn w:val="NumLetPara1First-LevelNumberedorLetteredParagraph"/>
    <w:qFormat/>
    <w:rsid w:val="006D0014"/>
    <w:pPr>
      <w:tabs>
        <w:tab w:val="clear" w:pos="720"/>
        <w:tab w:val="clear" w:pos="1440"/>
      </w:tabs>
      <w:ind w:firstLine="720"/>
    </w:pPr>
  </w:style>
  <w:style w:type="paragraph" w:customStyle="1" w:styleId="NumLetPara2Second-LevelNumberedorLetteredParagraph">
    <w:name w:val="NumLetPara2 Second-Level Numbered or Lettered Paragraph"/>
    <w:basedOn w:val="NumLetPara1First-LevelNumberedorLetteredParagraph"/>
    <w:qFormat/>
    <w:rsid w:val="006D0014"/>
    <w:pPr>
      <w:tabs>
        <w:tab w:val="clear" w:pos="720"/>
        <w:tab w:val="left" w:pos="2160"/>
      </w:tabs>
      <w:ind w:left="720"/>
    </w:pPr>
  </w:style>
  <w:style w:type="paragraph" w:customStyle="1" w:styleId="NumLetPara2ContContinuationofSecond-LevelNumberedorLetteredParagraphGroup">
    <w:name w:val="NumLetPara2Cont Continuation of Second-Level Numbered or Lettered Paragraph Group"/>
    <w:basedOn w:val="NumLetPara2Second-LevelNumberedorLetteredParagraph"/>
    <w:qFormat/>
    <w:rsid w:val="006D0014"/>
    <w:pPr>
      <w:tabs>
        <w:tab w:val="clear" w:pos="1440"/>
        <w:tab w:val="clear" w:pos="2160"/>
      </w:tabs>
      <w:ind w:firstLine="720"/>
    </w:pPr>
  </w:style>
  <w:style w:type="paragraph" w:customStyle="1" w:styleId="NumLetPara3Third-LevelNumberedorLetteredParagraph">
    <w:name w:val="NumLetPara3 Third-Level Numbered or Lettered Paragraph"/>
    <w:basedOn w:val="NumLetPara2Second-LevelNumberedorLetteredParagraph"/>
    <w:qFormat/>
    <w:rsid w:val="006D0014"/>
    <w:pPr>
      <w:tabs>
        <w:tab w:val="clear" w:pos="1440"/>
        <w:tab w:val="left" w:pos="2880"/>
      </w:tabs>
      <w:ind w:left="1440"/>
    </w:pPr>
  </w:style>
  <w:style w:type="paragraph" w:customStyle="1" w:styleId="NumLetPara3ContContinuationofThird-LevelNumberedorLetteredParagraphGroup">
    <w:name w:val="NumLetPara3Cont Continuation of Third-Level Numbered or Lettered Paragraph Group"/>
    <w:basedOn w:val="NumLetPara3Third-LevelNumberedorLetteredParagraph"/>
    <w:qFormat/>
    <w:rsid w:val="006D0014"/>
    <w:pPr>
      <w:tabs>
        <w:tab w:val="clear" w:pos="2160"/>
        <w:tab w:val="clear" w:pos="2880"/>
      </w:tabs>
      <w:ind w:firstLine="720"/>
    </w:pPr>
  </w:style>
  <w:style w:type="paragraph" w:customStyle="1" w:styleId="NumParaSectBegBeginNumberedParagraphSection">
    <w:name w:val="NumParaSectBeg Begin Numbered Paragraph Section"/>
    <w:qFormat/>
    <w:rsid w:val="006D0014"/>
    <w:pPr>
      <w:shd w:val="pct25" w:color="auto" w:fill="auto"/>
      <w:spacing w:before="120" w:after="120" w:line="240" w:lineRule="auto"/>
    </w:pPr>
    <w:rPr>
      <w:rFonts w:ascii="Times New Roman" w:eastAsia="Times New Roman" w:hAnsi="Times New Roman" w:cs="Times New Roman"/>
      <w:sz w:val="24"/>
      <w:szCs w:val="20"/>
      <w:lang w:val="en-US"/>
    </w:rPr>
  </w:style>
  <w:style w:type="paragraph" w:customStyle="1" w:styleId="NumParaSectEndEndNumberedParagraphSection">
    <w:name w:val="NumParaSectEnd End Numbered Paragraph Section"/>
    <w:basedOn w:val="NumParaSectBegBeginNumberedParagraphSection"/>
    <w:qFormat/>
    <w:rsid w:val="006D0014"/>
  </w:style>
  <w:style w:type="character" w:customStyle="1" w:styleId="object">
    <w:name w:val="object"/>
    <w:basedOn w:val="DefaultParagraphFont"/>
    <w:rsid w:val="006D0014"/>
  </w:style>
  <w:style w:type="paragraph" w:customStyle="1" w:styleId="OL1OutlineListLevel1">
    <w:name w:val="OL1 Outline List Level 1"/>
    <w:basedOn w:val="TxtBodyText"/>
    <w:rsid w:val="006D0014"/>
    <w:pPr>
      <w:tabs>
        <w:tab w:val="right" w:pos="547"/>
      </w:tabs>
      <w:spacing w:before="120" w:after="120"/>
      <w:ind w:left="720" w:hanging="720"/>
    </w:pPr>
  </w:style>
  <w:style w:type="paragraph" w:customStyle="1" w:styleId="OL2OutlineListLevel2">
    <w:name w:val="OL2 Outline List Level 2"/>
    <w:basedOn w:val="OL1OutlineListLevel1"/>
    <w:rsid w:val="006D0014"/>
    <w:pPr>
      <w:tabs>
        <w:tab w:val="clear" w:pos="547"/>
        <w:tab w:val="right" w:pos="1267"/>
      </w:tabs>
      <w:spacing w:before="0"/>
      <w:ind w:left="1440"/>
    </w:pPr>
  </w:style>
  <w:style w:type="paragraph" w:customStyle="1" w:styleId="OL3OutlineListLevel3">
    <w:name w:val="OL3 Outline List Level 3"/>
    <w:basedOn w:val="OL1OutlineListLevel1"/>
    <w:rsid w:val="006D0014"/>
    <w:pPr>
      <w:tabs>
        <w:tab w:val="clear" w:pos="547"/>
        <w:tab w:val="right" w:pos="1872"/>
      </w:tabs>
      <w:spacing w:before="0"/>
      <w:ind w:left="2160"/>
    </w:pPr>
  </w:style>
  <w:style w:type="paragraph" w:customStyle="1" w:styleId="OL4OutlineListLevel4">
    <w:name w:val="OL4 Outline List Level 4"/>
    <w:basedOn w:val="OL1OutlineListLevel1"/>
    <w:rsid w:val="006D0014"/>
    <w:pPr>
      <w:tabs>
        <w:tab w:val="clear" w:pos="547"/>
        <w:tab w:val="right" w:pos="2592"/>
      </w:tabs>
      <w:spacing w:before="0"/>
      <w:ind w:left="2880"/>
    </w:pPr>
  </w:style>
  <w:style w:type="paragraph" w:customStyle="1" w:styleId="OthConEndEndOtherContainer">
    <w:name w:val="OthConEnd End Other Container"/>
    <w:basedOn w:val="NotesEndEndNotes"/>
    <w:qFormat/>
    <w:rsid w:val="006D0014"/>
  </w:style>
  <w:style w:type="character" w:customStyle="1" w:styleId="OthInsCOOtherInsertCallout">
    <w:name w:val="OthInsCO Other Insert Callout"/>
    <w:rsid w:val="006D0014"/>
    <w:rPr>
      <w:rFonts w:ascii="Helvetica" w:hAnsi="Helvetica"/>
      <w:b/>
      <w:sz w:val="24"/>
      <w:bdr w:val="none" w:sz="0" w:space="0" w:color="auto"/>
      <w:shd w:val="pct50" w:color="000080" w:fill="auto"/>
    </w:rPr>
  </w:style>
  <w:style w:type="character" w:customStyle="1" w:styleId="OthInsMenOtherInsertMention">
    <w:name w:val="OthInsMen Other Insert Mention"/>
    <w:rsid w:val="006D0014"/>
    <w:rPr>
      <w:color w:val="215868"/>
      <w:u w:val="single"/>
    </w:rPr>
  </w:style>
  <w:style w:type="paragraph" w:customStyle="1" w:styleId="Paragraphe">
    <w:name w:val="Paragraphe"/>
    <w:basedOn w:val="Normal"/>
    <w:qFormat/>
    <w:rsid w:val="006D0014"/>
    <w:pPr>
      <w:spacing w:before="120" w:after="120" w:line="360" w:lineRule="auto"/>
      <w:ind w:firstLine="709"/>
      <w:jc w:val="both"/>
    </w:pPr>
    <w:rPr>
      <w:sz w:val="24"/>
      <w:lang w:eastAsia="fr-FR"/>
    </w:rPr>
  </w:style>
  <w:style w:type="paragraph" w:customStyle="1" w:styleId="ProTxtProtectedText">
    <w:name w:val="ProTxt Protected Text"/>
    <w:basedOn w:val="Normal"/>
    <w:qFormat/>
    <w:rsid w:val="006D0014"/>
    <w:pPr>
      <w:shd w:val="pct15" w:color="auto" w:fill="auto"/>
      <w:spacing w:line="360" w:lineRule="exact"/>
    </w:pPr>
    <w:rPr>
      <w:sz w:val="24"/>
    </w:rPr>
  </w:style>
  <w:style w:type="paragraph" w:customStyle="1" w:styleId="PullQtPullQuote">
    <w:name w:val="PullQt Pull Quote"/>
    <w:basedOn w:val="Normal"/>
    <w:qFormat/>
    <w:rsid w:val="006D0014"/>
    <w:pPr>
      <w:pBdr>
        <w:top w:val="single" w:sz="24" w:space="6" w:color="auto"/>
        <w:bottom w:val="single" w:sz="24" w:space="6" w:color="auto"/>
      </w:pBdr>
      <w:spacing w:before="120" w:after="120" w:line="360" w:lineRule="exact"/>
      <w:ind w:left="2880" w:right="2880"/>
    </w:pPr>
    <w:rPr>
      <w:rFonts w:ascii="Arial" w:hAnsi="Arial"/>
      <w:b/>
      <w:sz w:val="28"/>
    </w:rPr>
  </w:style>
  <w:style w:type="paragraph" w:customStyle="1" w:styleId="RevHdReviewHeading">
    <w:name w:val="RevHd Review Heading"/>
    <w:basedOn w:val="Normal"/>
    <w:qFormat/>
    <w:rsid w:val="006D0014"/>
    <w:pPr>
      <w:spacing w:before="360" w:after="240" w:line="280" w:lineRule="exact"/>
      <w:ind w:left="2880"/>
    </w:pPr>
    <w:rPr>
      <w:rFonts w:ascii="Arial" w:hAnsi="Arial"/>
      <w:b/>
      <w:sz w:val="28"/>
    </w:rPr>
  </w:style>
  <w:style w:type="paragraph" w:customStyle="1" w:styleId="RevItemAuAuthorofReviewedItem">
    <w:name w:val="RevItemAu Author of Reviewed Item"/>
    <w:basedOn w:val="Normal"/>
    <w:qFormat/>
    <w:rsid w:val="006D0014"/>
    <w:pPr>
      <w:spacing w:line="280" w:lineRule="exact"/>
      <w:ind w:left="3600" w:hanging="720"/>
    </w:pPr>
    <w:rPr>
      <w:sz w:val="24"/>
    </w:rPr>
  </w:style>
  <w:style w:type="paragraph" w:customStyle="1" w:styleId="RevItemPubPublisherofReviewedItem">
    <w:name w:val="RevItemPub Publisher of Reviewed Item"/>
    <w:basedOn w:val="Normal"/>
    <w:qFormat/>
    <w:rsid w:val="006D0014"/>
    <w:pPr>
      <w:spacing w:line="280" w:lineRule="exact"/>
      <w:ind w:left="3600" w:hanging="720"/>
    </w:pPr>
    <w:rPr>
      <w:sz w:val="24"/>
    </w:rPr>
  </w:style>
  <w:style w:type="paragraph" w:customStyle="1" w:styleId="RevItemTTitleofReviewedItem">
    <w:name w:val="RevItemT Title of Reviewed Item"/>
    <w:basedOn w:val="Normal"/>
    <w:qFormat/>
    <w:rsid w:val="006D0014"/>
    <w:pPr>
      <w:spacing w:line="280" w:lineRule="exact"/>
      <w:ind w:left="3600" w:hanging="720"/>
    </w:pPr>
    <w:rPr>
      <w:b/>
      <w:sz w:val="24"/>
    </w:rPr>
  </w:style>
  <w:style w:type="paragraph" w:customStyle="1" w:styleId="RHdVVersoRunningHead">
    <w:name w:val="RHdV Verso Running Head"/>
    <w:basedOn w:val="Normal"/>
    <w:qFormat/>
    <w:rsid w:val="006D0014"/>
    <w:pPr>
      <w:spacing w:line="360" w:lineRule="exact"/>
      <w:jc w:val="center"/>
    </w:pPr>
    <w:rPr>
      <w:color w:val="5F497A"/>
      <w:sz w:val="24"/>
    </w:rPr>
  </w:style>
  <w:style w:type="paragraph" w:customStyle="1" w:styleId="RFtRRectoRunningFoot">
    <w:name w:val="RFtR Recto Running Foot"/>
    <w:basedOn w:val="RHdVVersoRunningHead"/>
    <w:qFormat/>
    <w:rsid w:val="006D0014"/>
    <w:rPr>
      <w:color w:val="D99594"/>
    </w:rPr>
  </w:style>
  <w:style w:type="paragraph" w:customStyle="1" w:styleId="RFtVVersoRunningFoot">
    <w:name w:val="RFtV Verso Running Foot"/>
    <w:basedOn w:val="RHdVVersoRunningHead"/>
    <w:qFormat/>
    <w:rsid w:val="006D0014"/>
    <w:rPr>
      <w:color w:val="B2A1C7"/>
    </w:rPr>
  </w:style>
  <w:style w:type="paragraph" w:customStyle="1" w:styleId="RHdRRectoRunningHead">
    <w:name w:val="RHdR Recto Running Head"/>
    <w:basedOn w:val="RHdVVersoRunningHead"/>
    <w:qFormat/>
    <w:rsid w:val="006D0014"/>
    <w:rPr>
      <w:color w:val="943634"/>
    </w:rPr>
  </w:style>
  <w:style w:type="character" w:customStyle="1" w:styleId="RIH1Run-InHeading1">
    <w:name w:val="RIH1 Run-In Heading 1"/>
    <w:qFormat/>
    <w:rsid w:val="006D0014"/>
    <w:rPr>
      <w:b/>
      <w:color w:val="7030A0"/>
    </w:rPr>
  </w:style>
  <w:style w:type="character" w:customStyle="1" w:styleId="RIH2Run-InHeading2">
    <w:name w:val="RIH2 Run-In Heading 2"/>
    <w:qFormat/>
    <w:rsid w:val="006D0014"/>
    <w:rPr>
      <w:b/>
      <w:color w:val="7030A0"/>
      <w:u w:val="dottedHeavy"/>
    </w:rPr>
  </w:style>
  <w:style w:type="paragraph" w:customStyle="1" w:styleId="RvwrReviewer">
    <w:name w:val="Rvwr Reviewer"/>
    <w:basedOn w:val="Normal"/>
    <w:qFormat/>
    <w:rsid w:val="006D0014"/>
    <w:pPr>
      <w:spacing w:before="120" w:after="120" w:line="280" w:lineRule="exact"/>
      <w:ind w:left="3600" w:hanging="720"/>
    </w:pPr>
    <w:rPr>
      <w:color w:val="7030A0"/>
      <w:sz w:val="24"/>
    </w:rPr>
  </w:style>
  <w:style w:type="paragraph" w:customStyle="1" w:styleId="SBSpaceBreak">
    <w:name w:val="SB Space Break"/>
    <w:basedOn w:val="TxtBodyText"/>
    <w:rsid w:val="006D0014"/>
    <w:pPr>
      <w:shd w:val="pct20" w:color="auto" w:fill="FFFFFF"/>
      <w:jc w:val="center"/>
    </w:pPr>
  </w:style>
  <w:style w:type="paragraph" w:customStyle="1" w:styleId="SectTSectionTitle">
    <w:name w:val="SectT Section Title"/>
    <w:basedOn w:val="Normal"/>
    <w:rsid w:val="006D0014"/>
    <w:pPr>
      <w:keepNext/>
      <w:keepLines/>
      <w:spacing w:before="720" w:line="560" w:lineRule="exact"/>
      <w:jc w:val="center"/>
    </w:pPr>
    <w:rPr>
      <w:rFonts w:ascii="Arial" w:hAnsi="Arial"/>
      <w:sz w:val="48"/>
    </w:rPr>
  </w:style>
  <w:style w:type="paragraph" w:customStyle="1" w:styleId="SectSTSectionSubtitle">
    <w:name w:val="SectST Section Subtitle"/>
    <w:basedOn w:val="SectTSectionTitle"/>
    <w:rsid w:val="006D0014"/>
    <w:pPr>
      <w:keepNext w:val="0"/>
      <w:spacing w:before="360"/>
    </w:pPr>
    <w:rPr>
      <w:sz w:val="36"/>
    </w:rPr>
  </w:style>
  <w:style w:type="paragraph" w:customStyle="1" w:styleId="SectITSectionIntroTitle">
    <w:name w:val="SectIT Section Intro Title"/>
    <w:basedOn w:val="SectSTSectionSubtitle"/>
    <w:qFormat/>
    <w:rsid w:val="006D0014"/>
    <w:pPr>
      <w:keepNext/>
    </w:pPr>
    <w:rPr>
      <w:sz w:val="28"/>
    </w:rPr>
  </w:style>
  <w:style w:type="paragraph" w:customStyle="1" w:styleId="SeeorSeeAlsoreferenceinindex">
    <w:name w:val="See or See Also reference in index"/>
    <w:basedOn w:val="Ind1IndexMainEntry"/>
    <w:qFormat/>
    <w:rsid w:val="006D0014"/>
    <w:pPr>
      <w:ind w:hanging="1080"/>
    </w:pPr>
    <w:rPr>
      <w:color w:val="943634"/>
    </w:rPr>
  </w:style>
  <w:style w:type="paragraph" w:customStyle="1" w:styleId="SeeAlsoSubSeeorSeeAlsoIndexEntry">
    <w:name w:val="SeeAlsoSub See or See Also Index Entry"/>
    <w:basedOn w:val="Ind1IndexMainEntry"/>
    <w:next w:val="Ind1IndexMainEntry"/>
    <w:qFormat/>
    <w:rsid w:val="006D0014"/>
    <w:pPr>
      <w:ind w:left="1077" w:hanging="1077"/>
    </w:pPr>
    <w:rPr>
      <w:color w:val="943634"/>
    </w:rPr>
  </w:style>
  <w:style w:type="paragraph" w:customStyle="1" w:styleId="SLSublist">
    <w:name w:val="SL Sublist"/>
    <w:basedOn w:val="BLBulletList"/>
    <w:rsid w:val="006D0014"/>
    <w:pPr>
      <w:tabs>
        <w:tab w:val="clear" w:pos="960"/>
      </w:tabs>
      <w:ind w:left="1920"/>
    </w:pPr>
  </w:style>
  <w:style w:type="character" w:customStyle="1" w:styleId="SpchSpeech">
    <w:name w:val="Spch Speech"/>
    <w:qFormat/>
    <w:rsid w:val="006D0014"/>
    <w:rPr>
      <w:color w:val="365F91"/>
    </w:rPr>
  </w:style>
  <w:style w:type="paragraph" w:customStyle="1" w:styleId="SpDispTxt">
    <w:name w:val="SpDispTxt"/>
    <w:basedOn w:val="TxtBodyText"/>
    <w:qFormat/>
    <w:rsid w:val="006D0014"/>
    <w:rPr>
      <w:rFonts w:ascii="Arial" w:hAnsi="Arial"/>
      <w:color w:val="00B050"/>
      <w:sz w:val="28"/>
    </w:rPr>
  </w:style>
  <w:style w:type="paragraph" w:customStyle="1" w:styleId="SpExSpecialExtract">
    <w:name w:val="SpEx Special Extract"/>
    <w:basedOn w:val="Normal"/>
    <w:rsid w:val="006D0014"/>
    <w:pPr>
      <w:spacing w:before="360" w:after="360" w:line="400" w:lineRule="exact"/>
      <w:ind w:left="720" w:right="720"/>
      <w:contextualSpacing/>
    </w:pPr>
    <w:rPr>
      <w:color w:val="00B050"/>
      <w:sz w:val="24"/>
    </w:rPr>
  </w:style>
  <w:style w:type="paragraph" w:customStyle="1" w:styleId="SpH1SpecialHeading1">
    <w:name w:val="SpH1 Special Heading 1"/>
    <w:basedOn w:val="TxtBodyText"/>
    <w:rsid w:val="006D0014"/>
    <w:pPr>
      <w:spacing w:before="360" w:after="120"/>
    </w:pPr>
    <w:rPr>
      <w:b/>
      <w:color w:val="00B050"/>
      <w:sz w:val="32"/>
    </w:rPr>
  </w:style>
  <w:style w:type="paragraph" w:customStyle="1" w:styleId="SpH2SpecialHeading2">
    <w:name w:val="SpH2 Special Heading 2"/>
    <w:basedOn w:val="SpH1SpecialHeading1"/>
    <w:rsid w:val="006D0014"/>
    <w:rPr>
      <w:sz w:val="28"/>
    </w:rPr>
  </w:style>
  <w:style w:type="paragraph" w:customStyle="1" w:styleId="SpH3SpecialHeading3">
    <w:name w:val="SpH3 Special Heading 3"/>
    <w:basedOn w:val="SpH2SpecialHeading2"/>
    <w:rsid w:val="006D0014"/>
    <w:pPr>
      <w:spacing w:before="240" w:after="0"/>
      <w:ind w:left="1440"/>
    </w:pPr>
    <w:rPr>
      <w:sz w:val="24"/>
    </w:rPr>
  </w:style>
  <w:style w:type="character" w:customStyle="1" w:styleId="SpkrSpeaker">
    <w:name w:val="Spkr Speaker"/>
    <w:qFormat/>
    <w:rsid w:val="006D0014"/>
    <w:rPr>
      <w:smallCaps/>
      <w:color w:val="E36C0A"/>
    </w:rPr>
  </w:style>
  <w:style w:type="paragraph" w:customStyle="1" w:styleId="SpParaSpecialParagraph">
    <w:name w:val="SpPara Special Paragraph"/>
    <w:basedOn w:val="TxtBodyText"/>
    <w:rsid w:val="006D0014"/>
    <w:rPr>
      <w:color w:val="00B050"/>
    </w:rPr>
  </w:style>
  <w:style w:type="character" w:customStyle="1" w:styleId="SpRIHSpecialRun-InHeading">
    <w:name w:val="SpRIH Special Run-In Heading"/>
    <w:qFormat/>
    <w:rsid w:val="006D0014"/>
    <w:rPr>
      <w:b/>
      <w:color w:val="00B050"/>
    </w:rPr>
  </w:style>
  <w:style w:type="character" w:customStyle="1" w:styleId="SpTxtSpecialTextWithinParagraph">
    <w:name w:val="SpTxt Special Text Within Paragraph"/>
    <w:qFormat/>
    <w:rsid w:val="006D0014"/>
    <w:rPr>
      <w:color w:val="00B050"/>
    </w:rPr>
  </w:style>
  <w:style w:type="paragraph" w:customStyle="1" w:styleId="SSLSubsublist">
    <w:name w:val="SSL Subsublist"/>
    <w:basedOn w:val="SLSublist"/>
    <w:qFormat/>
    <w:rsid w:val="006D0014"/>
    <w:pPr>
      <w:ind w:left="2160"/>
    </w:pPr>
  </w:style>
  <w:style w:type="paragraph" w:customStyle="1" w:styleId="StDirStageDirection">
    <w:name w:val="StDir Stage Direction"/>
    <w:basedOn w:val="Normal"/>
    <w:next w:val="AckAcknowledgements"/>
    <w:qFormat/>
    <w:rsid w:val="006D0014"/>
    <w:pPr>
      <w:ind w:left="720"/>
      <w:jc w:val="right"/>
    </w:pPr>
    <w:rPr>
      <w:i/>
      <w:color w:val="984806"/>
    </w:rPr>
  </w:style>
  <w:style w:type="character" w:customStyle="1" w:styleId="StDirInTxtStageDirectioninText">
    <w:name w:val="StDirInTxt Stage Direction in Text"/>
    <w:qFormat/>
    <w:rsid w:val="006D0014"/>
    <w:rPr>
      <w:i/>
      <w:color w:val="984806"/>
    </w:rPr>
  </w:style>
  <w:style w:type="table" w:styleId="TableGrid">
    <w:name w:val="Table Grid"/>
    <w:basedOn w:val="TableNormal"/>
    <w:rsid w:val="006D0014"/>
    <w:pPr>
      <w:spacing w:after="0" w:line="240" w:lineRule="auto"/>
    </w:pPr>
    <w:rPr>
      <w:rFonts w:ascii="Times New Roman" w:eastAsia="Times New Roman" w:hAnsi="Times New Roman" w:cs="Times New Roman"/>
      <w:sz w:val="20"/>
      <w:szCs w:val="20"/>
      <w:lang w:val="en-US" w:eastAsia="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ableofAuthorities">
    <w:name w:val="table of authorities"/>
    <w:basedOn w:val="Normal"/>
    <w:next w:val="Normal"/>
    <w:semiHidden/>
    <w:rsid w:val="006D0014"/>
    <w:pPr>
      <w:ind w:left="200" w:hanging="200"/>
    </w:pPr>
  </w:style>
  <w:style w:type="paragraph" w:styleId="TableofFigures">
    <w:name w:val="table of figures"/>
    <w:basedOn w:val="Normal"/>
    <w:next w:val="Normal"/>
    <w:semiHidden/>
    <w:rsid w:val="006D0014"/>
    <w:pPr>
      <w:ind w:left="400" w:hanging="400"/>
    </w:pPr>
  </w:style>
  <w:style w:type="paragraph" w:customStyle="1" w:styleId="TBTableBody">
    <w:name w:val="TB Table Body"/>
    <w:basedOn w:val="Normal"/>
    <w:rsid w:val="006D0014"/>
    <w:pPr>
      <w:ind w:left="187" w:hanging="187"/>
    </w:pPr>
    <w:rPr>
      <w:sz w:val="24"/>
    </w:rPr>
  </w:style>
  <w:style w:type="character" w:customStyle="1" w:styleId="TblCOTableCallout">
    <w:name w:val="TblCO Table Callout"/>
    <w:rsid w:val="006D0014"/>
    <w:rPr>
      <w:rFonts w:ascii="Times New Roman" w:hAnsi="Times New Roman"/>
      <w:b w:val="0"/>
      <w:sz w:val="24"/>
      <w:bdr w:val="none" w:sz="0" w:space="0" w:color="auto"/>
      <w:shd w:val="pct50" w:color="FFFFFF" w:fill="800080"/>
    </w:rPr>
  </w:style>
  <w:style w:type="character" w:customStyle="1" w:styleId="TblMenTableMention">
    <w:name w:val="TblMen Table Mention"/>
    <w:rsid w:val="006D0014"/>
    <w:rPr>
      <w:color w:val="800080"/>
      <w:u w:val="single"/>
    </w:rPr>
  </w:style>
  <w:style w:type="paragraph" w:customStyle="1" w:styleId="TCHTableColumnHead">
    <w:name w:val="TCH Table Column Head"/>
    <w:basedOn w:val="Normal"/>
    <w:rsid w:val="006D0014"/>
    <w:rPr>
      <w:rFonts w:ascii="Arial" w:hAnsi="Arial"/>
      <w:b/>
      <w:sz w:val="24"/>
    </w:rPr>
  </w:style>
  <w:style w:type="paragraph" w:customStyle="1" w:styleId="TestBegBeginTestSection">
    <w:name w:val="TestBeg Begin Test Section"/>
    <w:basedOn w:val="NotesBegBeginNotes"/>
    <w:qFormat/>
    <w:rsid w:val="006D0014"/>
  </w:style>
  <w:style w:type="paragraph" w:customStyle="1" w:styleId="TestEndEndTestSection">
    <w:name w:val="TestEnd End Test Section"/>
    <w:basedOn w:val="NotesEndEndNotes"/>
    <w:qFormat/>
    <w:rsid w:val="006D0014"/>
    <w:pPr>
      <w:ind w:left="720" w:hanging="720"/>
    </w:pPr>
  </w:style>
  <w:style w:type="paragraph" w:customStyle="1" w:styleId="TIHTableInternalHead">
    <w:name w:val="TIH Table Internal Head"/>
    <w:basedOn w:val="Normal"/>
    <w:rsid w:val="006D0014"/>
    <w:pPr>
      <w:tabs>
        <w:tab w:val="left" w:pos="2218"/>
        <w:tab w:val="left" w:pos="6667"/>
      </w:tabs>
      <w:ind w:left="187" w:hanging="187"/>
    </w:pPr>
    <w:rPr>
      <w:rFonts w:ascii="Arial" w:hAnsi="Arial"/>
      <w:sz w:val="24"/>
    </w:rPr>
  </w:style>
  <w:style w:type="character" w:customStyle="1" w:styleId="TNTableNumber">
    <w:name w:val="TN Table Number"/>
    <w:qFormat/>
    <w:rsid w:val="006D0014"/>
    <w:rPr>
      <w:b/>
      <w:i/>
    </w:rPr>
  </w:style>
  <w:style w:type="paragraph" w:styleId="TOC8">
    <w:name w:val="toc 8"/>
    <w:basedOn w:val="Normal"/>
    <w:next w:val="Normal"/>
    <w:autoRedefine/>
    <w:semiHidden/>
    <w:rsid w:val="006D0014"/>
    <w:pPr>
      <w:ind w:left="1400"/>
    </w:pPr>
  </w:style>
  <w:style w:type="paragraph" w:customStyle="1" w:styleId="TransBegBeginTranslation">
    <w:name w:val="TransBeg Begin Translation"/>
    <w:basedOn w:val="OthConBegBeginOtherContainer"/>
    <w:qFormat/>
    <w:rsid w:val="006D0014"/>
  </w:style>
  <w:style w:type="paragraph" w:customStyle="1" w:styleId="TransEndEndTranslation">
    <w:name w:val="TransEnd End Translation"/>
    <w:basedOn w:val="OthConBegBeginOtherContainer"/>
    <w:qFormat/>
    <w:rsid w:val="006D0014"/>
  </w:style>
  <w:style w:type="paragraph" w:customStyle="1" w:styleId="TSrcTableSource">
    <w:name w:val="TSrc Table Source"/>
    <w:basedOn w:val="SrcSourceorCreditLine"/>
    <w:rsid w:val="006D0014"/>
  </w:style>
  <w:style w:type="paragraph" w:customStyle="1" w:styleId="TSTTableSubtitle">
    <w:name w:val="TST Table Subtitle"/>
    <w:basedOn w:val="Normal"/>
    <w:qFormat/>
    <w:rsid w:val="006D0014"/>
    <w:pPr>
      <w:jc w:val="center"/>
    </w:pPr>
    <w:rPr>
      <w:rFonts w:ascii="Arial" w:hAnsi="Arial"/>
    </w:rPr>
  </w:style>
  <w:style w:type="paragraph" w:customStyle="1" w:styleId="TStbHTableStubHead">
    <w:name w:val="TStbH Table Stub Head"/>
    <w:basedOn w:val="Normal"/>
    <w:rsid w:val="006D0014"/>
    <w:pPr>
      <w:ind w:left="187" w:hanging="187"/>
    </w:pPr>
    <w:rPr>
      <w:b/>
      <w:sz w:val="24"/>
    </w:rPr>
  </w:style>
  <w:style w:type="paragraph" w:customStyle="1" w:styleId="TTTableTitle">
    <w:name w:val="TT Table Title"/>
    <w:basedOn w:val="Normal"/>
    <w:rsid w:val="006D0014"/>
    <w:pPr>
      <w:keepNext/>
      <w:jc w:val="center"/>
      <w:outlineLvl w:val="0"/>
    </w:pPr>
    <w:rPr>
      <w:rFonts w:ascii="Arial" w:eastAsia="MS Mincho" w:hAnsi="Arial"/>
      <w:iCs/>
      <w:color w:val="000000"/>
      <w:sz w:val="22"/>
      <w:szCs w:val="24"/>
    </w:rPr>
  </w:style>
  <w:style w:type="paragraph" w:customStyle="1" w:styleId="Txt2ColumnTwoColumnText">
    <w:name w:val="Txt2Column Two Column Text"/>
    <w:basedOn w:val="TxtBodyText"/>
    <w:qFormat/>
    <w:rsid w:val="006D0014"/>
    <w:pPr>
      <w:ind w:right="4320"/>
    </w:pPr>
  </w:style>
  <w:style w:type="paragraph" w:customStyle="1" w:styleId="ULUnnumberedList">
    <w:name w:val="UL Unnumbered List"/>
    <w:basedOn w:val="LLLetteredList"/>
    <w:qFormat/>
    <w:rsid w:val="006D0014"/>
    <w:pPr>
      <w:tabs>
        <w:tab w:val="clear" w:pos="480"/>
      </w:tabs>
    </w:pPr>
  </w:style>
  <w:style w:type="character" w:customStyle="1" w:styleId="URL">
    <w:name w:val="URL"/>
    <w:qFormat/>
    <w:rsid w:val="006D0014"/>
    <w:rPr>
      <w:color w:val="FF0000"/>
      <w:u w:val="single" w:color="FF0000"/>
    </w:rPr>
  </w:style>
  <w:style w:type="paragraph" w:customStyle="1" w:styleId="VrsVerse">
    <w:name w:val="Vrs Verse"/>
    <w:basedOn w:val="TxtBodyText"/>
    <w:rsid w:val="006D0014"/>
    <w:pPr>
      <w:spacing w:after="240"/>
      <w:ind w:left="2880" w:hanging="1440"/>
      <w:contextualSpacing/>
    </w:pPr>
  </w:style>
  <w:style w:type="paragraph" w:customStyle="1" w:styleId="VrsInVrsVerseNestedinVerse">
    <w:name w:val="VrsInVrs Verse Nested in Verse"/>
    <w:basedOn w:val="VrsVerse"/>
    <w:qFormat/>
    <w:rsid w:val="006D0014"/>
    <w:pPr>
      <w:spacing w:after="160"/>
      <w:ind w:left="4559"/>
    </w:pPr>
  </w:style>
  <w:style w:type="paragraph" w:customStyle="1" w:styleId="VStzaFirstLineofNewStanza">
    <w:name w:val="VStza First Line of New Stanza"/>
    <w:basedOn w:val="VrsVerse"/>
    <w:next w:val="VrsVerse"/>
    <w:qFormat/>
    <w:rsid w:val="006D0014"/>
    <w:pPr>
      <w:spacing w:before="240" w:after="0"/>
    </w:pPr>
  </w:style>
  <w:style w:type="paragraph" w:customStyle="1" w:styleId="VStzaInVrsFirstLineofVerseNestedinVerse">
    <w:name w:val="VStzaInVrs First Line of Verse Nested in Verse"/>
    <w:basedOn w:val="VrsVerse"/>
    <w:qFormat/>
    <w:rsid w:val="006D0014"/>
    <w:pPr>
      <w:spacing w:before="160" w:after="0"/>
      <w:ind w:left="4559"/>
    </w:pPr>
  </w:style>
  <w:style w:type="paragraph" w:customStyle="1" w:styleId="WhrLWhereList">
    <w:name w:val="WhrL Where List"/>
    <w:basedOn w:val="TxtBodyText"/>
    <w:rsid w:val="006D0014"/>
    <w:pPr>
      <w:tabs>
        <w:tab w:val="left" w:pos="2880"/>
      </w:tabs>
    </w:pPr>
    <w:rPr>
      <w:color w:val="7F7F7F"/>
    </w:rPr>
  </w:style>
  <w:style w:type="character" w:customStyle="1" w:styleId="XRefCrossreference">
    <w:name w:val="XRef Crossreference"/>
    <w:qFormat/>
    <w:rsid w:val="006D0014"/>
    <w:rPr>
      <w:color w:val="4BACC6"/>
      <w:u w:val="single" w:color="4BACC6"/>
    </w:rPr>
  </w:style>
  <w:style w:type="character" w:customStyle="1" w:styleId="Untag">
    <w:name w:val="Untag"/>
    <w:rsid w:val="006D0014"/>
  </w:style>
  <w:style w:type="paragraph" w:customStyle="1" w:styleId="FIG-LEG">
    <w:name w:val="FIG-LEG"/>
    <w:basedOn w:val="DFIG51"/>
    <w:qFormat/>
    <w:rsid w:val="006D0014"/>
    <w:pPr>
      <w:spacing w:before="100" w:beforeAutospacing="1" w:after="100" w:afterAutospacing="1" w:line="480" w:lineRule="auto"/>
      <w:ind w:left="360"/>
    </w:pPr>
  </w:style>
  <w:style w:type="paragraph" w:customStyle="1" w:styleId="T1">
    <w:name w:val="T1"/>
    <w:basedOn w:val="TAB51"/>
    <w:qFormat/>
    <w:rsid w:val="00996B16"/>
    <w:pPr>
      <w:spacing w:before="100" w:beforeAutospacing="1" w:after="100" w:afterAutospacing="1" w:line="480" w:lineRule="auto"/>
    </w:pPr>
  </w:style>
  <w:style w:type="paragraph" w:customStyle="1" w:styleId="TFN">
    <w:name w:val="TFN"/>
    <w:basedOn w:val="TXT"/>
    <w:qFormat/>
    <w:rsid w:val="00C10167"/>
    <w:pPr>
      <w:spacing w:line="480" w:lineRule="auto"/>
    </w:pPr>
  </w:style>
  <w:style w:type="character" w:styleId="PlaceholderText">
    <w:name w:val="Placeholder Text"/>
    <w:basedOn w:val="DefaultParagraphFont"/>
    <w:uiPriority w:val="99"/>
    <w:semiHidden/>
    <w:rsid w:val="00E9576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39"/>
    <w:lsdException w:name="caption" w:uiPriority="35" w:qFormat="1"/>
    <w:lsdException w:name="table of figures" w:uiPriority="0"/>
    <w:lsdException w:name="annotation reference" w:uiPriority="0"/>
    <w:lsdException w:name="table of authoriti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48B5"/>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6D0014"/>
    <w:pPr>
      <w:keepNext/>
      <w:spacing w:before="240" w:after="60"/>
      <w:outlineLvl w:val="0"/>
    </w:pPr>
    <w:rPr>
      <w:rFonts w:ascii="Arial" w:hAnsi="Arial"/>
      <w:b/>
      <w:kern w:val="28"/>
      <w:sz w:val="28"/>
    </w:rPr>
  </w:style>
  <w:style w:type="paragraph" w:styleId="Heading3">
    <w:name w:val="heading 3"/>
    <w:basedOn w:val="Normal"/>
    <w:next w:val="Normal"/>
    <w:link w:val="Heading3Char"/>
    <w:qFormat/>
    <w:rsid w:val="006D0014"/>
    <w:pPr>
      <w:keepNext/>
      <w:spacing w:before="240" w:after="60"/>
      <w:outlineLvl w:val="2"/>
    </w:pPr>
    <w:rPr>
      <w:rFonts w:ascii="Arial" w:hAnsi="Arial"/>
      <w:sz w:val="24"/>
    </w:rPr>
  </w:style>
  <w:style w:type="paragraph" w:styleId="Heading5">
    <w:name w:val="heading 5"/>
    <w:basedOn w:val="Normal"/>
    <w:next w:val="Normal"/>
    <w:link w:val="Heading5Char"/>
    <w:qFormat/>
    <w:rsid w:val="006D0014"/>
    <w:pPr>
      <w:spacing w:before="240" w:after="60"/>
      <w:outlineLvl w:val="4"/>
    </w:pPr>
    <w:rPr>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Pr>
      <w:sz w:val="24"/>
      <w:szCs w:val="24"/>
    </w:rPr>
  </w:style>
  <w:style w:type="character" w:styleId="CommentReference">
    <w:name w:val="annotation reference"/>
    <w:semiHidden/>
    <w:rsid w:val="006D0014"/>
    <w:rPr>
      <w:rFonts w:ascii="Helvetica" w:hAnsi="Helvetica"/>
      <w:b/>
      <w:sz w:val="28"/>
      <w:bdr w:val="none" w:sz="0" w:space="0" w:color="auto"/>
      <w:shd w:val="clear" w:color="auto" w:fill="FFFF00"/>
    </w:rPr>
  </w:style>
  <w:style w:type="paragraph" w:styleId="CommentText">
    <w:name w:val="annotation text"/>
    <w:basedOn w:val="Normal"/>
    <w:link w:val="CommentTextChar"/>
    <w:uiPriority w:val="99"/>
    <w:semiHidden/>
    <w:unhideWhenUsed/>
    <w:rsid w:val="006D0014"/>
  </w:style>
  <w:style w:type="character" w:customStyle="1" w:styleId="CommentTextChar">
    <w:name w:val="Comment Text Char"/>
    <w:link w:val="CommentText"/>
    <w:uiPriority w:val="99"/>
    <w:semiHidden/>
    <w:rsid w:val="006D001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D0014"/>
    <w:rPr>
      <w:b/>
      <w:bCs/>
    </w:rPr>
  </w:style>
  <w:style w:type="character" w:customStyle="1" w:styleId="CommentSubjectChar">
    <w:name w:val="Comment Subject Char"/>
    <w:link w:val="CommentSubject"/>
    <w:uiPriority w:val="99"/>
    <w:semiHidden/>
    <w:rsid w:val="006D001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6D0014"/>
    <w:pPr>
      <w:widowControl w:val="0"/>
      <w:autoSpaceDE w:val="0"/>
      <w:autoSpaceDN w:val="0"/>
      <w:adjustRightInd w:val="0"/>
    </w:pPr>
    <w:rPr>
      <w:rFonts w:ascii="Tahoma" w:hAnsi="Tahoma" w:cs="Tahoma"/>
      <w:sz w:val="16"/>
      <w:szCs w:val="16"/>
    </w:rPr>
  </w:style>
  <w:style w:type="character" w:customStyle="1" w:styleId="BalloonTextChar">
    <w:name w:val="Balloon Text Char"/>
    <w:link w:val="BalloonText"/>
    <w:uiPriority w:val="99"/>
    <w:semiHidden/>
    <w:rsid w:val="006D0014"/>
    <w:rPr>
      <w:rFonts w:ascii="Tahoma" w:eastAsia="Times New Roman" w:hAnsi="Tahoma" w:cs="Tahoma"/>
      <w:sz w:val="16"/>
      <w:szCs w:val="16"/>
      <w:lang w:val="en-US"/>
    </w:rPr>
  </w:style>
  <w:style w:type="paragraph" w:styleId="Revision">
    <w:name w:val="Revision"/>
    <w:hidden/>
    <w:uiPriority w:val="99"/>
    <w:semiHidden/>
    <w:pPr>
      <w:spacing w:after="0" w:line="240" w:lineRule="auto"/>
    </w:pPr>
    <w:rPr>
      <w:lang w:val="en-US"/>
    </w:rPr>
  </w:style>
  <w:style w:type="paragraph" w:styleId="ListParagraph">
    <w:name w:val="List Paragraph"/>
    <w:basedOn w:val="Normal"/>
    <w:uiPriority w:val="34"/>
    <w:qFormat/>
    <w:rsid w:val="006D0014"/>
    <w:pPr>
      <w:ind w:left="720"/>
      <w:contextualSpacing/>
    </w:pPr>
  </w:style>
  <w:style w:type="character" w:customStyle="1" w:styleId="Tag">
    <w:name w:val="Tag"/>
  </w:style>
  <w:style w:type="paragraph" w:customStyle="1" w:styleId="CN">
    <w:name w:val="CN"/>
    <w:qFormat/>
    <w:rPr>
      <w:lang w:val="en-US"/>
    </w:rPr>
  </w:style>
  <w:style w:type="character" w:customStyle="1" w:styleId="CN0">
    <w:name w:val="CN"/>
  </w:style>
  <w:style w:type="character" w:customStyle="1" w:styleId="CW">
    <w:name w:val="CW"/>
  </w:style>
  <w:style w:type="paragraph" w:customStyle="1" w:styleId="CT">
    <w:name w:val="CT"/>
    <w:qFormat/>
    <w:rPr>
      <w:lang w:val="en-US"/>
    </w:rPr>
  </w:style>
  <w:style w:type="paragraph" w:customStyle="1" w:styleId="PMI">
    <w:name w:val="PMI"/>
    <w:basedOn w:val="TablePlaceHolder"/>
    <w:qFormat/>
    <w:rsid w:val="00B86F94"/>
    <w:pPr>
      <w:spacing w:before="100" w:beforeAutospacing="1" w:after="100" w:afterAutospacing="1" w:line="480" w:lineRule="auto"/>
      <w:contextualSpacing/>
    </w:pPr>
  </w:style>
  <w:style w:type="paragraph" w:customStyle="1" w:styleId="ChapterOpenPara">
    <w:name w:val="Chapter_Open_Para"/>
    <w:qFormat/>
    <w:rPr>
      <w:lang w:val="en-US"/>
    </w:rPr>
  </w:style>
  <w:style w:type="paragraph" w:customStyle="1" w:styleId="H1">
    <w:name w:val="H1"/>
    <w:qFormat/>
    <w:rPr>
      <w:lang w:val="en-US"/>
    </w:rPr>
  </w:style>
  <w:style w:type="character" w:customStyle="1" w:styleId="TableCitation">
    <w:name w:val="TableCitation"/>
  </w:style>
  <w:style w:type="paragraph" w:customStyle="1" w:styleId="TXT-FLUSH">
    <w:name w:val="TXT-FLUSH"/>
    <w:qFormat/>
    <w:rPr>
      <w:lang w:val="en-US"/>
    </w:rPr>
  </w:style>
  <w:style w:type="paragraph" w:customStyle="1" w:styleId="SRH1">
    <w:name w:val="SRH1"/>
    <w:basedOn w:val="REF"/>
    <w:qFormat/>
    <w:rsid w:val="00314605"/>
    <w:pPr>
      <w:spacing w:before="100" w:beforeAutospacing="1" w:after="100" w:afterAutospacing="1" w:line="480" w:lineRule="auto"/>
      <w:outlineLvl w:val="3"/>
    </w:pPr>
  </w:style>
  <w:style w:type="paragraph" w:customStyle="1" w:styleId="TablePlaceHolder">
    <w:name w:val="Table_Place_Holder"/>
    <w:qFormat/>
    <w:rPr>
      <w:lang w:val="en-US"/>
    </w:rPr>
  </w:style>
  <w:style w:type="character" w:customStyle="1" w:styleId="FigureCitation">
    <w:name w:val="FigureCitation"/>
  </w:style>
  <w:style w:type="character" w:customStyle="1" w:styleId="bibalt-year">
    <w:name w:val="bib_alt-year"/>
    <w:rsid w:val="006D0014"/>
    <w:rPr>
      <w:rFonts w:ascii="Times New Roman" w:hAnsi="Times New Roman"/>
      <w:sz w:val="24"/>
      <w:szCs w:val="24"/>
      <w:bdr w:val="none" w:sz="0" w:space="0" w:color="auto"/>
      <w:shd w:val="clear" w:color="auto" w:fill="CC99FF"/>
    </w:rPr>
  </w:style>
  <w:style w:type="paragraph" w:customStyle="1" w:styleId="TXT-FLUSH0">
    <w:name w:val="TXT-FLUSH"/>
    <w:basedOn w:val="Normal"/>
    <w:unhideWhenUsed/>
    <w:qFormat/>
    <w:rPr>
      <w:sz w:val="24"/>
      <w:szCs w:val="24"/>
    </w:rPr>
  </w:style>
  <w:style w:type="character" w:customStyle="1" w:styleId="bibbase">
    <w:name w:val="bib_base"/>
    <w:rsid w:val="006D0014"/>
    <w:rPr>
      <w:rFonts w:ascii="Times New Roman" w:hAnsi="Times New Roman"/>
      <w:sz w:val="24"/>
    </w:rPr>
  </w:style>
  <w:style w:type="paragraph" w:customStyle="1" w:styleId="FigurePlaceHolder">
    <w:name w:val="Figure_Place_Holder"/>
    <w:basedOn w:val="Normal"/>
    <w:uiPriority w:val="99"/>
    <w:unhideWhenUsed/>
    <w:rPr>
      <w:sz w:val="24"/>
      <w:szCs w:val="24"/>
    </w:rPr>
  </w:style>
  <w:style w:type="paragraph" w:customStyle="1" w:styleId="H10">
    <w:name w:val="H1"/>
    <w:basedOn w:val="Normal"/>
    <w:uiPriority w:val="99"/>
    <w:unhideWhenUsed/>
    <w:rPr>
      <w:sz w:val="24"/>
      <w:szCs w:val="24"/>
    </w:rPr>
  </w:style>
  <w:style w:type="paragraph" w:customStyle="1" w:styleId="H2">
    <w:name w:val="H2"/>
    <w:basedOn w:val="Normal"/>
    <w:uiPriority w:val="99"/>
    <w:unhideWhenUsed/>
    <w:rPr>
      <w:sz w:val="24"/>
      <w:szCs w:val="24"/>
    </w:rPr>
  </w:style>
  <w:style w:type="character" w:customStyle="1" w:styleId="bibbook">
    <w:name w:val="bib_book"/>
    <w:rsid w:val="006D0014"/>
    <w:rPr>
      <w:rFonts w:ascii="Times New Roman" w:hAnsi="Times New Roman"/>
      <w:sz w:val="24"/>
      <w:bdr w:val="none" w:sz="0" w:space="0" w:color="auto"/>
      <w:shd w:val="clear" w:color="auto" w:fill="99CCFF"/>
    </w:rPr>
  </w:style>
  <w:style w:type="character" w:customStyle="1" w:styleId="BulletManualBodyList">
    <w:name w:val="BulletManualBodyList"/>
  </w:style>
  <w:style w:type="character" w:customStyle="1" w:styleId="bibchapterno">
    <w:name w:val="bib_chapterno"/>
    <w:rsid w:val="006D0014"/>
    <w:rPr>
      <w:rFonts w:ascii="Times New Roman" w:hAnsi="Times New Roman"/>
      <w:sz w:val="24"/>
      <w:bdr w:val="none" w:sz="0" w:space="0" w:color="auto"/>
      <w:shd w:val="clear" w:color="auto" w:fill="D9D9D9"/>
    </w:rPr>
  </w:style>
  <w:style w:type="paragraph" w:customStyle="1" w:styleId="BL-FIRST">
    <w:name w:val="BL-FIRST"/>
    <w:qFormat/>
    <w:rPr>
      <w:lang w:val="en-US"/>
    </w:rPr>
  </w:style>
  <w:style w:type="paragraph" w:customStyle="1" w:styleId="BL-MID">
    <w:name w:val="BL-MID"/>
    <w:qFormat/>
    <w:rPr>
      <w:lang w:val="en-US"/>
    </w:rPr>
  </w:style>
  <w:style w:type="paragraph" w:customStyle="1" w:styleId="BL-LAST">
    <w:name w:val="BL-LAST"/>
    <w:qFormat/>
    <w:rPr>
      <w:lang w:val="en-US"/>
    </w:rPr>
  </w:style>
  <w:style w:type="paragraph" w:customStyle="1" w:styleId="H20">
    <w:name w:val="H2"/>
    <w:qFormat/>
    <w:rPr>
      <w:lang w:val="en-US"/>
    </w:rPr>
  </w:style>
  <w:style w:type="character" w:customStyle="1" w:styleId="bibchaptertitle">
    <w:name w:val="bib_chaptertitle"/>
    <w:rsid w:val="006D0014"/>
    <w:rPr>
      <w:rFonts w:ascii="Times New Roman" w:hAnsi="Times New Roman"/>
      <w:sz w:val="24"/>
      <w:bdr w:val="none" w:sz="0" w:space="0" w:color="auto"/>
      <w:shd w:val="clear" w:color="auto" w:fill="FF9D5B"/>
    </w:rPr>
  </w:style>
  <w:style w:type="character" w:customStyle="1" w:styleId="bibcomment">
    <w:name w:val="bib_comment"/>
    <w:rsid w:val="006D0014"/>
    <w:rPr>
      <w:rFonts w:ascii="Times New Roman" w:hAnsi="Times New Roman"/>
      <w:sz w:val="24"/>
    </w:rPr>
  </w:style>
  <w:style w:type="character" w:customStyle="1" w:styleId="citebib">
    <w:name w:val="cite_bib"/>
    <w:rsid w:val="006D0014"/>
    <w:rPr>
      <w:sz w:val="24"/>
      <w:bdr w:val="none" w:sz="0" w:space="0" w:color="auto"/>
      <w:shd w:val="clear" w:color="auto" w:fill="CCFFFF"/>
    </w:rPr>
  </w:style>
  <w:style w:type="paragraph" w:customStyle="1" w:styleId="REF">
    <w:name w:val="REF"/>
    <w:qFormat/>
    <w:rPr>
      <w:lang w:val="en-US"/>
    </w:rPr>
  </w:style>
  <w:style w:type="character" w:customStyle="1" w:styleId="ManualList">
    <w:name w:val="ManualList"/>
  </w:style>
  <w:style w:type="paragraph" w:customStyle="1" w:styleId="SR">
    <w:name w:val="SR"/>
    <w:qFormat/>
    <w:rPr>
      <w:lang w:val="en-US"/>
    </w:rPr>
  </w:style>
  <w:style w:type="character" w:customStyle="1" w:styleId="bibyear">
    <w:name w:val="bib_year"/>
    <w:rsid w:val="006D0014"/>
    <w:rPr>
      <w:rFonts w:ascii="Times New Roman" w:hAnsi="Times New Roman"/>
      <w:sz w:val="24"/>
      <w:bdr w:val="none" w:sz="0" w:space="0" w:color="auto"/>
      <w:shd w:val="clear" w:color="auto" w:fill="FFCCFF"/>
    </w:rPr>
  </w:style>
  <w:style w:type="character" w:customStyle="1" w:styleId="bibfname">
    <w:name w:val="bib_fname"/>
    <w:rsid w:val="006D0014"/>
    <w:rPr>
      <w:rFonts w:ascii="Times New Roman" w:hAnsi="Times New Roman"/>
      <w:sz w:val="24"/>
      <w:bdr w:val="none" w:sz="0" w:space="0" w:color="auto"/>
      <w:shd w:val="clear" w:color="auto" w:fill="FFFFCC"/>
    </w:rPr>
  </w:style>
  <w:style w:type="character" w:customStyle="1" w:styleId="bibsurname">
    <w:name w:val="bib_surname"/>
    <w:rsid w:val="006D0014"/>
    <w:rPr>
      <w:rFonts w:ascii="Times New Roman" w:hAnsi="Times New Roman"/>
      <w:sz w:val="24"/>
      <w:bdr w:val="none" w:sz="0" w:space="0" w:color="auto"/>
      <w:shd w:val="clear" w:color="auto" w:fill="CCFF99"/>
    </w:rPr>
  </w:style>
  <w:style w:type="character" w:customStyle="1" w:styleId="bibtitle">
    <w:name w:val="bib_title"/>
    <w:rsid w:val="006D0014"/>
    <w:rPr>
      <w:sz w:val="24"/>
      <w:effect w:val="none"/>
      <w:bdr w:val="none" w:sz="0" w:space="0" w:color="auto"/>
      <w:shd w:val="clear" w:color="auto" w:fill="D99594"/>
    </w:rPr>
  </w:style>
  <w:style w:type="character" w:customStyle="1" w:styleId="bibfpage">
    <w:name w:val="bib_fpage"/>
    <w:rsid w:val="006D0014"/>
    <w:rPr>
      <w:rFonts w:ascii="Times New Roman" w:hAnsi="Times New Roman"/>
      <w:sz w:val="24"/>
      <w:bdr w:val="none" w:sz="0" w:space="0" w:color="auto"/>
      <w:shd w:val="clear" w:color="auto" w:fill="E6E6E6"/>
    </w:rPr>
  </w:style>
  <w:style w:type="character" w:customStyle="1" w:styleId="bibjournal">
    <w:name w:val="bib_journal"/>
    <w:rsid w:val="006D0014"/>
    <w:rPr>
      <w:rFonts w:ascii="Times New Roman" w:hAnsi="Times New Roman"/>
      <w:sz w:val="24"/>
      <w:bdr w:val="none" w:sz="0" w:space="0" w:color="auto"/>
      <w:shd w:val="clear" w:color="auto" w:fill="F9DECF"/>
    </w:rPr>
  </w:style>
  <w:style w:type="character" w:customStyle="1" w:styleId="bibetal">
    <w:name w:val="bib_etal"/>
    <w:rsid w:val="006D0014"/>
    <w:rPr>
      <w:rFonts w:ascii="Times New Roman" w:hAnsi="Times New Roman"/>
      <w:sz w:val="24"/>
      <w:bdr w:val="none" w:sz="0" w:space="0" w:color="auto"/>
      <w:shd w:val="clear" w:color="auto" w:fill="CCFF99"/>
    </w:rPr>
  </w:style>
  <w:style w:type="character" w:customStyle="1" w:styleId="bibvolume">
    <w:name w:val="bib_volume"/>
    <w:rsid w:val="006D0014"/>
    <w:rPr>
      <w:rFonts w:ascii="Times New Roman" w:hAnsi="Times New Roman"/>
      <w:sz w:val="24"/>
      <w:bdr w:val="none" w:sz="0" w:space="0" w:color="auto"/>
      <w:shd w:val="clear" w:color="auto" w:fill="CCECFF"/>
    </w:rPr>
  </w:style>
  <w:style w:type="character" w:customStyle="1" w:styleId="bibarticle">
    <w:name w:val="bib_article"/>
    <w:rsid w:val="006D0014"/>
    <w:rPr>
      <w:rFonts w:ascii="Times New Roman" w:hAnsi="Times New Roman"/>
      <w:sz w:val="24"/>
      <w:bdr w:val="none" w:sz="0" w:space="0" w:color="auto"/>
      <w:shd w:val="clear" w:color="auto" w:fill="CCFFFF"/>
    </w:rPr>
  </w:style>
  <w:style w:type="character" w:customStyle="1" w:styleId="bibissue">
    <w:name w:val="bib_issue"/>
    <w:rsid w:val="006D0014"/>
    <w:rPr>
      <w:rFonts w:ascii="Times New Roman" w:hAnsi="Times New Roman"/>
      <w:sz w:val="24"/>
      <w:bdr w:val="none" w:sz="0" w:space="0" w:color="auto"/>
      <w:shd w:val="clear" w:color="auto" w:fill="FFFFAB"/>
    </w:rPr>
  </w:style>
  <w:style w:type="paragraph" w:customStyle="1" w:styleId="FigurePlaceHolder0">
    <w:name w:val="Figure_Place_Holder"/>
    <w:qFormat/>
    <w:rPr>
      <w:lang w:val="en-US"/>
    </w:rPr>
  </w:style>
  <w:style w:type="paragraph" w:customStyle="1" w:styleId="REF-U">
    <w:name w:val="REF-U"/>
    <w:qFormat/>
    <w:rPr>
      <w:lang w:val="en-US"/>
    </w:rPr>
  </w:style>
  <w:style w:type="character" w:customStyle="1" w:styleId="FIG-NUM">
    <w:name w:val="FIG-NUM"/>
  </w:style>
  <w:style w:type="paragraph" w:customStyle="1" w:styleId="DFIG51">
    <w:name w:val="DFIG5.1"/>
    <w:qFormat/>
    <w:rPr>
      <w:lang w:val="en-US"/>
    </w:rPr>
  </w:style>
  <w:style w:type="paragraph" w:customStyle="1" w:styleId="TXT">
    <w:name w:val="TXT"/>
    <w:qFormat/>
    <w:rPr>
      <w:lang w:val="en-US"/>
    </w:rPr>
  </w:style>
  <w:style w:type="character" w:customStyle="1" w:styleId="TN">
    <w:name w:val="TN"/>
  </w:style>
  <w:style w:type="paragraph" w:customStyle="1" w:styleId="TAB51">
    <w:name w:val="TAB5.1"/>
    <w:qFormat/>
    <w:rPr>
      <w:lang w:val="en-US"/>
    </w:rPr>
  </w:style>
  <w:style w:type="paragraph" w:customStyle="1" w:styleId="T2">
    <w:name w:val="T2"/>
    <w:qFormat/>
    <w:rPr>
      <w:lang w:val="en-US"/>
    </w:rPr>
  </w:style>
  <w:style w:type="paragraph" w:customStyle="1" w:styleId="T">
    <w:name w:val="T"/>
    <w:qFormat/>
    <w:rPr>
      <w:lang w:val="en-US"/>
    </w:rPr>
  </w:style>
  <w:style w:type="paragraph" w:customStyle="1" w:styleId="TAB52">
    <w:name w:val="TAB5.2"/>
    <w:qFormat/>
    <w:rPr>
      <w:lang w:val="en-US"/>
    </w:rPr>
  </w:style>
  <w:style w:type="paragraph" w:customStyle="1" w:styleId="TAB53">
    <w:name w:val="TAB5.3"/>
    <w:qFormat/>
    <w:rPr>
      <w:lang w:val="en-US"/>
    </w:rPr>
  </w:style>
  <w:style w:type="paragraph" w:customStyle="1" w:styleId="TAB54">
    <w:name w:val="TAB5.4"/>
    <w:qFormat/>
    <w:rPr>
      <w:lang w:val="en-US"/>
    </w:rPr>
  </w:style>
  <w:style w:type="paragraph" w:customStyle="1" w:styleId="T20">
    <w:name w:val="T2"/>
    <w:basedOn w:val="Normal"/>
    <w:uiPriority w:val="99"/>
    <w:unhideWhenUsed/>
    <w:rPr>
      <w:sz w:val="24"/>
      <w:szCs w:val="24"/>
    </w:rPr>
  </w:style>
  <w:style w:type="paragraph" w:customStyle="1" w:styleId="T0">
    <w:name w:val="T"/>
    <w:basedOn w:val="Normal"/>
    <w:uiPriority w:val="99"/>
    <w:unhideWhenUsed/>
    <w:rPr>
      <w:sz w:val="24"/>
      <w:szCs w:val="24"/>
    </w:rPr>
  </w:style>
  <w:style w:type="character" w:customStyle="1" w:styleId="bibconfacronym">
    <w:name w:val="bib_confacronym"/>
    <w:rsid w:val="006D0014"/>
    <w:rPr>
      <w:rFonts w:ascii="Times New Roman" w:hAnsi="Times New Roman"/>
      <w:sz w:val="24"/>
      <w:bdr w:val="none" w:sz="0" w:space="0" w:color="auto"/>
      <w:shd w:val="clear" w:color="auto" w:fill="FD77F3"/>
    </w:rPr>
  </w:style>
  <w:style w:type="character" w:customStyle="1" w:styleId="bibconfdate">
    <w:name w:val="bib_confdate"/>
    <w:rsid w:val="006D0014"/>
    <w:rPr>
      <w:rFonts w:ascii="Times New Roman" w:hAnsi="Times New Roman"/>
      <w:sz w:val="24"/>
      <w:bdr w:val="none" w:sz="0" w:space="0" w:color="auto"/>
      <w:shd w:val="clear" w:color="auto" w:fill="3CE0C1"/>
    </w:rPr>
  </w:style>
  <w:style w:type="character" w:customStyle="1" w:styleId="bibconference">
    <w:name w:val="bib_conference"/>
    <w:rsid w:val="006D0014"/>
    <w:rPr>
      <w:rFonts w:ascii="Times New Roman" w:hAnsi="Times New Roman"/>
      <w:sz w:val="24"/>
      <w:bdr w:val="none" w:sz="0" w:space="0" w:color="auto"/>
      <w:shd w:val="clear" w:color="auto" w:fill="9CB3FE"/>
    </w:rPr>
  </w:style>
  <w:style w:type="character" w:customStyle="1" w:styleId="bibconflocation">
    <w:name w:val="bib_conflocation"/>
    <w:rsid w:val="006D0014"/>
    <w:rPr>
      <w:rFonts w:ascii="Times New Roman" w:hAnsi="Times New Roman"/>
      <w:sz w:val="24"/>
      <w:bdr w:val="none" w:sz="0" w:space="0" w:color="auto"/>
      <w:shd w:val="clear" w:color="auto" w:fill="EC493C"/>
    </w:rPr>
  </w:style>
  <w:style w:type="character" w:customStyle="1" w:styleId="bibconfpaper">
    <w:name w:val="bib_confpaper"/>
    <w:rsid w:val="006D0014"/>
    <w:rPr>
      <w:rFonts w:ascii="Times New Roman" w:hAnsi="Times New Roman"/>
      <w:sz w:val="24"/>
      <w:bdr w:val="none" w:sz="0" w:space="0" w:color="auto"/>
      <w:shd w:val="clear" w:color="auto" w:fill="61FF65"/>
    </w:rPr>
  </w:style>
  <w:style w:type="character" w:customStyle="1" w:styleId="bibconfproceedings">
    <w:name w:val="bib_confproceedings"/>
    <w:rsid w:val="006D0014"/>
    <w:rPr>
      <w:rFonts w:ascii="Times New Roman" w:hAnsi="Times New Roman"/>
      <w:sz w:val="24"/>
      <w:bdr w:val="none" w:sz="0" w:space="0" w:color="auto"/>
      <w:shd w:val="clear" w:color="auto" w:fill="FDBA35"/>
    </w:rPr>
  </w:style>
  <w:style w:type="character" w:customStyle="1" w:styleId="bibday">
    <w:name w:val="bib_day"/>
    <w:rsid w:val="006D0014"/>
    <w:rPr>
      <w:rFonts w:ascii="Times New Roman" w:hAnsi="Times New Roman"/>
      <w:sz w:val="24"/>
      <w:bdr w:val="none" w:sz="0" w:space="0" w:color="auto"/>
      <w:shd w:val="clear" w:color="auto" w:fill="FFFF66"/>
    </w:rPr>
  </w:style>
  <w:style w:type="character" w:customStyle="1" w:styleId="bibdeg">
    <w:name w:val="bib_deg"/>
    <w:rsid w:val="006D0014"/>
    <w:rPr>
      <w:rFonts w:ascii="Times New Roman" w:hAnsi="Times New Roman"/>
      <w:sz w:val="24"/>
    </w:rPr>
  </w:style>
  <w:style w:type="character" w:customStyle="1" w:styleId="bibdoi">
    <w:name w:val="bib_doi"/>
    <w:rsid w:val="006D0014"/>
    <w:rPr>
      <w:rFonts w:ascii="Times New Roman" w:hAnsi="Times New Roman"/>
      <w:sz w:val="24"/>
      <w:bdr w:val="none" w:sz="0" w:space="0" w:color="auto"/>
      <w:shd w:val="clear" w:color="auto" w:fill="CCFFCC"/>
    </w:rPr>
  </w:style>
  <w:style w:type="character" w:customStyle="1" w:styleId="bibed-etal">
    <w:name w:val="bib_ed-etal"/>
    <w:rsid w:val="006D0014"/>
    <w:rPr>
      <w:rFonts w:ascii="Times New Roman" w:hAnsi="Times New Roman"/>
      <w:sz w:val="24"/>
      <w:bdr w:val="none" w:sz="0" w:space="0" w:color="auto"/>
      <w:shd w:val="clear" w:color="auto" w:fill="00F4EE"/>
    </w:rPr>
  </w:style>
  <w:style w:type="character" w:customStyle="1" w:styleId="bibed-fname">
    <w:name w:val="bib_ed-fname"/>
    <w:rsid w:val="006D0014"/>
    <w:rPr>
      <w:rFonts w:ascii="Times New Roman" w:hAnsi="Times New Roman"/>
      <w:sz w:val="24"/>
      <w:bdr w:val="none" w:sz="0" w:space="0" w:color="auto"/>
      <w:shd w:val="clear" w:color="auto" w:fill="FFFFB7"/>
    </w:rPr>
  </w:style>
  <w:style w:type="character" w:customStyle="1" w:styleId="bibeditionno">
    <w:name w:val="bib_editionno"/>
    <w:rsid w:val="006D0014"/>
    <w:rPr>
      <w:rFonts w:ascii="Times New Roman" w:hAnsi="Times New Roman"/>
      <w:sz w:val="24"/>
      <w:bdr w:val="none" w:sz="0" w:space="0" w:color="auto"/>
      <w:shd w:val="clear" w:color="auto" w:fill="FFCC00"/>
    </w:rPr>
  </w:style>
  <w:style w:type="character" w:customStyle="1" w:styleId="bibed-organization">
    <w:name w:val="bib_ed-organization"/>
    <w:rsid w:val="006D0014"/>
    <w:rPr>
      <w:rFonts w:ascii="Times New Roman" w:hAnsi="Times New Roman"/>
      <w:sz w:val="24"/>
      <w:bdr w:val="none" w:sz="0" w:space="0" w:color="auto"/>
      <w:shd w:val="clear" w:color="auto" w:fill="FCAAC3"/>
    </w:rPr>
  </w:style>
  <w:style w:type="character" w:customStyle="1" w:styleId="bibed-suffix">
    <w:name w:val="bib_ed-suffix"/>
    <w:rsid w:val="006D0014"/>
    <w:rPr>
      <w:rFonts w:ascii="Times New Roman" w:hAnsi="Times New Roman"/>
      <w:sz w:val="24"/>
      <w:bdr w:val="none" w:sz="0" w:space="0" w:color="auto"/>
      <w:shd w:val="clear" w:color="auto" w:fill="CCFFCC"/>
    </w:rPr>
  </w:style>
  <w:style w:type="character" w:customStyle="1" w:styleId="bibed-surname">
    <w:name w:val="bib_ed-surname"/>
    <w:rsid w:val="006D0014"/>
    <w:rPr>
      <w:rFonts w:ascii="Times New Roman" w:hAnsi="Times New Roman"/>
      <w:sz w:val="24"/>
      <w:bdr w:val="none" w:sz="0" w:space="0" w:color="auto"/>
      <w:shd w:val="clear" w:color="auto" w:fill="FFFF00"/>
    </w:rPr>
  </w:style>
  <w:style w:type="character" w:customStyle="1" w:styleId="bibextlink">
    <w:name w:val="bib_extlink"/>
    <w:rsid w:val="006D0014"/>
    <w:rPr>
      <w:rFonts w:ascii="Times New Roman" w:hAnsi="Times New Roman"/>
      <w:sz w:val="20"/>
      <w:bdr w:val="none" w:sz="0" w:space="0" w:color="auto"/>
      <w:shd w:val="clear" w:color="auto" w:fill="6CCE9D"/>
    </w:rPr>
  </w:style>
  <w:style w:type="character" w:customStyle="1" w:styleId="bibinstitution">
    <w:name w:val="bib_institution"/>
    <w:rsid w:val="006D0014"/>
    <w:rPr>
      <w:rFonts w:ascii="Times New Roman" w:hAnsi="Times New Roman"/>
      <w:sz w:val="24"/>
      <w:bdr w:val="none" w:sz="0" w:space="0" w:color="auto"/>
      <w:shd w:val="clear" w:color="auto" w:fill="CCFFCC"/>
    </w:rPr>
  </w:style>
  <w:style w:type="character" w:customStyle="1" w:styleId="bibisbn">
    <w:name w:val="bib_isbn"/>
    <w:rsid w:val="006D0014"/>
    <w:rPr>
      <w:rFonts w:ascii="Times New Roman" w:hAnsi="Times New Roman"/>
      <w:sz w:val="24"/>
      <w:shd w:val="clear" w:color="auto" w:fill="D9D9D9"/>
    </w:rPr>
  </w:style>
  <w:style w:type="character" w:customStyle="1" w:styleId="biblocation">
    <w:name w:val="bib_location"/>
    <w:rsid w:val="006D0014"/>
    <w:rPr>
      <w:rFonts w:ascii="Times New Roman" w:hAnsi="Times New Roman"/>
      <w:sz w:val="24"/>
      <w:bdr w:val="none" w:sz="0" w:space="0" w:color="auto"/>
      <w:shd w:val="clear" w:color="auto" w:fill="FFCCCC"/>
    </w:rPr>
  </w:style>
  <w:style w:type="character" w:customStyle="1" w:styleId="biblpage">
    <w:name w:val="bib_lpage"/>
    <w:rsid w:val="006D0014"/>
    <w:rPr>
      <w:rFonts w:ascii="Times New Roman" w:hAnsi="Times New Roman"/>
      <w:sz w:val="24"/>
      <w:bdr w:val="none" w:sz="0" w:space="0" w:color="auto"/>
      <w:shd w:val="clear" w:color="auto" w:fill="D9D9D9"/>
    </w:rPr>
  </w:style>
  <w:style w:type="character" w:customStyle="1" w:styleId="bibmedline">
    <w:name w:val="bib_medline"/>
    <w:rsid w:val="006D0014"/>
    <w:rPr>
      <w:rFonts w:ascii="Times New Roman" w:hAnsi="Times New Roman"/>
      <w:sz w:val="24"/>
    </w:rPr>
  </w:style>
  <w:style w:type="character" w:customStyle="1" w:styleId="bibmonth">
    <w:name w:val="bib_month"/>
    <w:rsid w:val="006D0014"/>
    <w:rPr>
      <w:rFonts w:ascii="Times New Roman" w:hAnsi="Times New Roman"/>
      <w:sz w:val="24"/>
      <w:szCs w:val="24"/>
      <w:bdr w:val="none" w:sz="0" w:space="0" w:color="auto"/>
      <w:shd w:val="clear" w:color="auto" w:fill="CCFF33"/>
    </w:rPr>
  </w:style>
  <w:style w:type="character" w:customStyle="1" w:styleId="bibnumber">
    <w:name w:val="bib_number"/>
    <w:rsid w:val="006D0014"/>
    <w:rPr>
      <w:rFonts w:ascii="Times New Roman" w:hAnsi="Times New Roman"/>
      <w:sz w:val="24"/>
      <w:bdr w:val="none" w:sz="0" w:space="0" w:color="auto"/>
      <w:shd w:val="clear" w:color="auto" w:fill="CCCCFF"/>
    </w:rPr>
  </w:style>
  <w:style w:type="character" w:customStyle="1" w:styleId="biborganization">
    <w:name w:val="bib_organization"/>
    <w:rsid w:val="006D0014"/>
    <w:rPr>
      <w:rFonts w:ascii="Times New Roman" w:hAnsi="Times New Roman"/>
      <w:sz w:val="24"/>
      <w:bdr w:val="none" w:sz="0" w:space="0" w:color="auto"/>
      <w:shd w:val="clear" w:color="auto" w:fill="CCFF99"/>
    </w:rPr>
  </w:style>
  <w:style w:type="character" w:customStyle="1" w:styleId="bibpagecount">
    <w:name w:val="bib_pagecount"/>
    <w:rsid w:val="006D0014"/>
    <w:rPr>
      <w:rFonts w:ascii="Times New Roman" w:hAnsi="Times New Roman"/>
      <w:sz w:val="24"/>
      <w:bdr w:val="none" w:sz="0" w:space="0" w:color="auto"/>
      <w:shd w:val="clear" w:color="auto" w:fill="00FF00"/>
    </w:rPr>
  </w:style>
  <w:style w:type="character" w:customStyle="1" w:styleId="bibpapernumber">
    <w:name w:val="bib_papernumber"/>
    <w:uiPriority w:val="1"/>
    <w:rsid w:val="006D0014"/>
    <w:rPr>
      <w:rFonts w:ascii="Times New Roman" w:hAnsi="Times New Roman"/>
      <w:sz w:val="24"/>
      <w:bdr w:val="none" w:sz="0" w:space="0" w:color="auto"/>
      <w:shd w:val="clear" w:color="auto" w:fill="FFFF66"/>
    </w:rPr>
  </w:style>
  <w:style w:type="character" w:customStyle="1" w:styleId="bibpatent">
    <w:name w:val="bib_patent"/>
    <w:rsid w:val="006D0014"/>
    <w:rPr>
      <w:rFonts w:ascii="Times New Roman" w:hAnsi="Times New Roman"/>
      <w:sz w:val="24"/>
      <w:bdr w:val="none" w:sz="0" w:space="0" w:color="auto"/>
      <w:shd w:val="clear" w:color="auto" w:fill="66FFCC"/>
    </w:rPr>
  </w:style>
  <w:style w:type="character" w:customStyle="1" w:styleId="bibpublisher">
    <w:name w:val="bib_publisher"/>
    <w:rsid w:val="006D0014"/>
    <w:rPr>
      <w:rFonts w:ascii="Times New Roman" w:hAnsi="Times New Roman"/>
      <w:sz w:val="24"/>
      <w:bdr w:val="none" w:sz="0" w:space="0" w:color="auto"/>
      <w:shd w:val="clear" w:color="auto" w:fill="FF99CC"/>
    </w:rPr>
  </w:style>
  <w:style w:type="character" w:customStyle="1" w:styleId="bibreportnum">
    <w:name w:val="bib_reportnum"/>
    <w:rsid w:val="006D0014"/>
    <w:rPr>
      <w:rFonts w:ascii="Times New Roman" w:hAnsi="Times New Roman"/>
      <w:sz w:val="24"/>
      <w:bdr w:val="none" w:sz="0" w:space="0" w:color="auto"/>
      <w:shd w:val="clear" w:color="auto" w:fill="CCCCFF"/>
    </w:rPr>
  </w:style>
  <w:style w:type="character" w:customStyle="1" w:styleId="bibschool">
    <w:name w:val="bib_school"/>
    <w:rsid w:val="006D0014"/>
    <w:rPr>
      <w:rFonts w:ascii="Times New Roman" w:hAnsi="Times New Roman"/>
      <w:sz w:val="24"/>
      <w:bdr w:val="none" w:sz="0" w:space="0" w:color="auto"/>
      <w:shd w:val="clear" w:color="auto" w:fill="FFCC66"/>
    </w:rPr>
  </w:style>
  <w:style w:type="character" w:customStyle="1" w:styleId="bibseason">
    <w:name w:val="bib_season"/>
    <w:rsid w:val="006D0014"/>
    <w:rPr>
      <w:rFonts w:ascii="Times New Roman" w:hAnsi="Times New Roman"/>
      <w:sz w:val="24"/>
      <w:szCs w:val="24"/>
      <w:bdr w:val="none" w:sz="0" w:space="0" w:color="auto"/>
      <w:shd w:val="clear" w:color="auto" w:fill="FF6600"/>
    </w:rPr>
  </w:style>
  <w:style w:type="character" w:customStyle="1" w:styleId="bibseries">
    <w:name w:val="bib_series"/>
    <w:rsid w:val="006D0014"/>
    <w:rPr>
      <w:rFonts w:ascii="Times New Roman" w:hAnsi="Times New Roman"/>
      <w:sz w:val="24"/>
      <w:shd w:val="clear" w:color="auto" w:fill="FFCC99"/>
    </w:rPr>
  </w:style>
  <w:style w:type="character" w:customStyle="1" w:styleId="bibseriesno">
    <w:name w:val="bib_seriesno"/>
    <w:rsid w:val="006D0014"/>
    <w:rPr>
      <w:rFonts w:ascii="Times New Roman" w:hAnsi="Times New Roman"/>
      <w:sz w:val="24"/>
      <w:shd w:val="clear" w:color="auto" w:fill="FFFF99"/>
    </w:rPr>
  </w:style>
  <w:style w:type="character" w:customStyle="1" w:styleId="bibsuffix">
    <w:name w:val="bib_suffix"/>
    <w:rsid w:val="006D0014"/>
    <w:rPr>
      <w:rFonts w:ascii="Times New Roman" w:hAnsi="Times New Roman"/>
      <w:sz w:val="24"/>
    </w:rPr>
  </w:style>
  <w:style w:type="character" w:customStyle="1" w:styleId="bibsuppl">
    <w:name w:val="bib_suppl"/>
    <w:rsid w:val="006D0014"/>
    <w:rPr>
      <w:rFonts w:ascii="Times New Roman" w:hAnsi="Times New Roman"/>
      <w:sz w:val="24"/>
      <w:bdr w:val="none" w:sz="0" w:space="0" w:color="auto"/>
      <w:shd w:val="clear" w:color="auto" w:fill="FFCC66"/>
    </w:rPr>
  </w:style>
  <w:style w:type="character" w:customStyle="1" w:styleId="bibtrans">
    <w:name w:val="bib_trans"/>
    <w:rsid w:val="006D0014"/>
    <w:rPr>
      <w:rFonts w:ascii="Times New Roman" w:hAnsi="Times New Roman"/>
      <w:sz w:val="24"/>
      <w:shd w:val="clear" w:color="auto" w:fill="99CC00"/>
    </w:rPr>
  </w:style>
  <w:style w:type="character" w:customStyle="1" w:styleId="bibunpubl">
    <w:name w:val="bib_unpubl"/>
    <w:rsid w:val="006D0014"/>
    <w:rPr>
      <w:rFonts w:ascii="Times New Roman" w:hAnsi="Times New Roman"/>
      <w:sz w:val="24"/>
    </w:rPr>
  </w:style>
  <w:style w:type="character" w:customStyle="1" w:styleId="biburl">
    <w:name w:val="bib_url"/>
    <w:rsid w:val="006D0014"/>
    <w:rPr>
      <w:rFonts w:ascii="Times New Roman" w:hAnsi="Times New Roman"/>
      <w:sz w:val="24"/>
      <w:bdr w:val="none" w:sz="0" w:space="0" w:color="auto"/>
      <w:shd w:val="clear" w:color="auto" w:fill="CCFF66"/>
    </w:rPr>
  </w:style>
  <w:style w:type="character" w:customStyle="1" w:styleId="bibvolcount">
    <w:name w:val="bib_volcount"/>
    <w:rsid w:val="006D0014"/>
    <w:rPr>
      <w:rFonts w:ascii="Times New Roman" w:hAnsi="Times New Roman"/>
      <w:sz w:val="20"/>
      <w:bdr w:val="none" w:sz="0" w:space="0" w:color="auto"/>
      <w:shd w:val="clear" w:color="auto" w:fill="00FF00"/>
    </w:rPr>
  </w:style>
  <w:style w:type="character" w:customStyle="1" w:styleId="Abbreviation">
    <w:name w:val="Abbreviation"/>
    <w:rsid w:val="002869BD"/>
  </w:style>
  <w:style w:type="character" w:customStyle="1" w:styleId="AccessedDate">
    <w:name w:val="AccessedDate"/>
    <w:rsid w:val="002869BD"/>
  </w:style>
  <w:style w:type="character" w:customStyle="1" w:styleId="italic">
    <w:name w:val="_italic"/>
    <w:uiPriority w:val="99"/>
    <w:rsid w:val="002869BD"/>
    <w:rPr>
      <w:i/>
      <w:iCs/>
    </w:rPr>
  </w:style>
  <w:style w:type="character" w:customStyle="1" w:styleId="Heading1Char">
    <w:name w:val="Heading 1 Char"/>
    <w:link w:val="Heading1"/>
    <w:rsid w:val="006D0014"/>
    <w:rPr>
      <w:rFonts w:ascii="Arial" w:eastAsia="Times New Roman" w:hAnsi="Arial" w:cs="Times New Roman"/>
      <w:b/>
      <w:kern w:val="28"/>
      <w:sz w:val="28"/>
      <w:szCs w:val="20"/>
      <w:lang w:val="en-US"/>
    </w:rPr>
  </w:style>
  <w:style w:type="character" w:customStyle="1" w:styleId="Heading3Char">
    <w:name w:val="Heading 3 Char"/>
    <w:link w:val="Heading3"/>
    <w:rsid w:val="006D0014"/>
    <w:rPr>
      <w:rFonts w:ascii="Arial" w:eastAsia="Times New Roman" w:hAnsi="Arial" w:cs="Times New Roman"/>
      <w:sz w:val="24"/>
      <w:szCs w:val="20"/>
      <w:lang w:val="en-US"/>
    </w:rPr>
  </w:style>
  <w:style w:type="character" w:customStyle="1" w:styleId="Heading5Char">
    <w:name w:val="Heading 5 Char"/>
    <w:link w:val="Heading5"/>
    <w:rsid w:val="006D0014"/>
    <w:rPr>
      <w:rFonts w:ascii="Times New Roman" w:eastAsia="Times New Roman" w:hAnsi="Times New Roman" w:cs="Times New Roman"/>
      <w:szCs w:val="20"/>
      <w:lang w:val="en-US"/>
    </w:rPr>
  </w:style>
  <w:style w:type="character" w:customStyle="1" w:styleId="A3">
    <w:name w:val="A3"/>
    <w:uiPriority w:val="99"/>
    <w:rsid w:val="006D0014"/>
    <w:rPr>
      <w:rFonts w:cs="Minion Pro"/>
      <w:b/>
      <w:bCs/>
      <w:color w:val="000000"/>
      <w:sz w:val="28"/>
      <w:szCs w:val="28"/>
    </w:rPr>
  </w:style>
  <w:style w:type="paragraph" w:customStyle="1" w:styleId="AbstAbstract">
    <w:name w:val="Abst Abstract"/>
    <w:basedOn w:val="Normal"/>
    <w:rsid w:val="006D0014"/>
    <w:pPr>
      <w:spacing w:before="360" w:after="360" w:line="360" w:lineRule="exact"/>
      <w:ind w:firstLine="720"/>
      <w:contextualSpacing/>
    </w:pPr>
    <w:rPr>
      <w:color w:val="0000FF"/>
      <w:sz w:val="24"/>
    </w:rPr>
  </w:style>
  <w:style w:type="paragraph" w:customStyle="1" w:styleId="AbstTAbstractTitle">
    <w:name w:val="AbstT Abstract Title"/>
    <w:basedOn w:val="AbstAbstract"/>
    <w:qFormat/>
    <w:rsid w:val="006D0014"/>
    <w:pPr>
      <w:spacing w:after="120"/>
      <w:jc w:val="center"/>
      <w:outlineLvl w:val="0"/>
    </w:pPr>
    <w:rPr>
      <w:b/>
    </w:rPr>
  </w:style>
  <w:style w:type="paragraph" w:customStyle="1" w:styleId="TxtBodyText">
    <w:name w:val="Txt Body Text"/>
    <w:basedOn w:val="Normal"/>
    <w:link w:val="TxtBodyTextChar"/>
    <w:qFormat/>
    <w:rsid w:val="006D0014"/>
    <w:pPr>
      <w:spacing w:line="560" w:lineRule="exact"/>
      <w:ind w:firstLine="720"/>
    </w:pPr>
    <w:rPr>
      <w:sz w:val="24"/>
      <w:szCs w:val="24"/>
    </w:rPr>
  </w:style>
  <w:style w:type="character" w:customStyle="1" w:styleId="TxtBodyTextChar">
    <w:name w:val="Txt Body Text Char"/>
    <w:link w:val="TxtBodyText"/>
    <w:rsid w:val="006D0014"/>
    <w:rPr>
      <w:rFonts w:ascii="Times New Roman" w:eastAsia="Times New Roman" w:hAnsi="Times New Roman" w:cs="Times New Roman"/>
      <w:sz w:val="24"/>
      <w:szCs w:val="24"/>
      <w:lang w:val="en-US"/>
    </w:rPr>
  </w:style>
  <w:style w:type="paragraph" w:customStyle="1" w:styleId="AckAcknowledgements">
    <w:name w:val="Ack Acknowledgements"/>
    <w:basedOn w:val="TxtBodyText"/>
    <w:rsid w:val="006D0014"/>
    <w:pPr>
      <w:spacing w:line="360" w:lineRule="exact"/>
      <w:ind w:firstLine="0"/>
    </w:pPr>
  </w:style>
  <w:style w:type="paragraph" w:customStyle="1" w:styleId="AffAffiliation">
    <w:name w:val="Aff Affiliation"/>
    <w:basedOn w:val="Normal"/>
    <w:rsid w:val="006D0014"/>
    <w:pPr>
      <w:keepNext/>
      <w:keepLines/>
      <w:widowControl w:val="0"/>
      <w:spacing w:after="360" w:line="560" w:lineRule="exact"/>
      <w:jc w:val="right"/>
    </w:pPr>
    <w:rPr>
      <w:color w:val="FF0000"/>
      <w:sz w:val="24"/>
    </w:rPr>
  </w:style>
  <w:style w:type="paragraph" w:customStyle="1" w:styleId="PriDocBegBeginPrimaryDocument">
    <w:name w:val="PriDocBeg Begin Primary Document"/>
    <w:basedOn w:val="TxtBodyText"/>
    <w:rsid w:val="006D0014"/>
    <w:pPr>
      <w:shd w:val="pct12" w:color="auto" w:fill="FFFFFF"/>
      <w:spacing w:before="360" w:after="360"/>
    </w:pPr>
    <w:rPr>
      <w:rFonts w:ascii="Helvetica" w:hAnsi="Helvetica"/>
      <w:b/>
      <w:sz w:val="28"/>
    </w:rPr>
  </w:style>
  <w:style w:type="paragraph" w:customStyle="1" w:styleId="AppBegBeginAppendix">
    <w:name w:val="AppBeg Begin Appendix"/>
    <w:basedOn w:val="PriDocBegBeginPrimaryDocument"/>
    <w:qFormat/>
    <w:rsid w:val="006D0014"/>
    <w:rPr>
      <w:rFonts w:ascii="Arial" w:hAnsi="Arial"/>
    </w:rPr>
  </w:style>
  <w:style w:type="paragraph" w:customStyle="1" w:styleId="PriDocEndEndPrimaryDocument">
    <w:name w:val="PriDocEnd End Primary Document"/>
    <w:basedOn w:val="PriDocBegBeginPrimaryDocument"/>
    <w:rsid w:val="006D0014"/>
  </w:style>
  <w:style w:type="paragraph" w:customStyle="1" w:styleId="AppEndEndAppendix">
    <w:name w:val="AppEnd End Appendix"/>
    <w:basedOn w:val="PriDocEndEndPrimaryDocument"/>
    <w:qFormat/>
    <w:rsid w:val="006D0014"/>
    <w:rPr>
      <w:rFonts w:ascii="Arial" w:hAnsi="Arial"/>
    </w:rPr>
  </w:style>
  <w:style w:type="character" w:customStyle="1" w:styleId="apple-converted-space">
    <w:name w:val="apple-converted-space"/>
    <w:basedOn w:val="DefaultParagraphFont"/>
    <w:rsid w:val="006D0014"/>
  </w:style>
  <w:style w:type="paragraph" w:customStyle="1" w:styleId="H1HeadingLevel1">
    <w:name w:val="H1 Heading Level 1"/>
    <w:basedOn w:val="Normal"/>
    <w:next w:val="TxtBodyText"/>
    <w:rsid w:val="006D0014"/>
    <w:pPr>
      <w:spacing w:before="480" w:after="240" w:line="560" w:lineRule="exact"/>
      <w:outlineLvl w:val="0"/>
    </w:pPr>
    <w:rPr>
      <w:rFonts w:ascii="Arial" w:hAnsi="Arial"/>
      <w:b/>
      <w:sz w:val="40"/>
    </w:rPr>
  </w:style>
  <w:style w:type="paragraph" w:customStyle="1" w:styleId="H2HeadingLevel2">
    <w:name w:val="H2 Heading Level 2"/>
    <w:basedOn w:val="H1HeadingLevel1"/>
    <w:next w:val="TxtBodyText"/>
    <w:rsid w:val="006D0014"/>
    <w:pPr>
      <w:spacing w:before="360"/>
      <w:ind w:left="360"/>
      <w:outlineLvl w:val="1"/>
    </w:pPr>
    <w:rPr>
      <w:sz w:val="36"/>
    </w:rPr>
  </w:style>
  <w:style w:type="paragraph" w:customStyle="1" w:styleId="AppSTAppendixSubtitle">
    <w:name w:val="AppST Appendix Subtitle"/>
    <w:basedOn w:val="H2HeadingLevel2"/>
    <w:rsid w:val="006D0014"/>
    <w:pPr>
      <w:spacing w:before="0" w:after="0"/>
      <w:ind w:left="0"/>
      <w:outlineLvl w:val="9"/>
    </w:pPr>
    <w:rPr>
      <w:b w:val="0"/>
      <w:szCs w:val="24"/>
    </w:rPr>
  </w:style>
  <w:style w:type="paragraph" w:customStyle="1" w:styleId="AppTAppendixTitle">
    <w:name w:val="AppT Appendix Title"/>
    <w:basedOn w:val="H1HeadingLevel1"/>
    <w:rsid w:val="006D0014"/>
    <w:pPr>
      <w:spacing w:before="0" w:after="0"/>
      <w:outlineLvl w:val="9"/>
    </w:pPr>
    <w:rPr>
      <w:b w:val="0"/>
      <w:sz w:val="36"/>
      <w:szCs w:val="24"/>
    </w:rPr>
  </w:style>
  <w:style w:type="paragraph" w:customStyle="1" w:styleId="ArAuArticleAuthor">
    <w:name w:val="ArAu Article Author"/>
    <w:basedOn w:val="Normal"/>
    <w:rsid w:val="006D0014"/>
    <w:pPr>
      <w:keepNext/>
      <w:keepLines/>
      <w:widowControl w:val="0"/>
      <w:spacing w:before="360" w:line="560" w:lineRule="exact"/>
      <w:jc w:val="right"/>
    </w:pPr>
    <w:rPr>
      <w:b/>
      <w:sz w:val="32"/>
    </w:rPr>
  </w:style>
  <w:style w:type="paragraph" w:customStyle="1" w:styleId="ArFtrArticleFooter">
    <w:name w:val="ArFtr Article Footer"/>
    <w:basedOn w:val="Normal"/>
    <w:qFormat/>
    <w:rsid w:val="006D0014"/>
    <w:pPr>
      <w:spacing w:before="240" w:after="240" w:line="280" w:lineRule="exact"/>
    </w:pPr>
    <w:rPr>
      <w:rFonts w:ascii="Arial" w:hAnsi="Arial"/>
      <w:sz w:val="24"/>
    </w:rPr>
  </w:style>
  <w:style w:type="paragraph" w:customStyle="1" w:styleId="SectITxtSectionIntroText">
    <w:name w:val="SectITxt Section Intro Text"/>
    <w:basedOn w:val="Normal"/>
    <w:rsid w:val="006D0014"/>
    <w:pPr>
      <w:spacing w:before="360" w:after="360" w:line="560" w:lineRule="exact"/>
      <w:ind w:firstLine="720"/>
      <w:contextualSpacing/>
    </w:pPr>
    <w:rPr>
      <w:sz w:val="24"/>
    </w:rPr>
  </w:style>
  <w:style w:type="paragraph" w:customStyle="1" w:styleId="ArInTxtArticleIntroText">
    <w:name w:val="ArInTxt Article Intro Text"/>
    <w:basedOn w:val="SectITxtSectionIntroText"/>
    <w:qFormat/>
    <w:rsid w:val="006D0014"/>
    <w:pPr>
      <w:spacing w:before="120" w:after="120"/>
      <w:ind w:firstLine="0"/>
      <w:contextualSpacing w:val="0"/>
    </w:pPr>
  </w:style>
  <w:style w:type="paragraph" w:customStyle="1" w:styleId="ArOpNtArticleOpeningNote">
    <w:name w:val="ArOpNt Article Opening Note"/>
    <w:basedOn w:val="Normal"/>
    <w:rsid w:val="006D0014"/>
    <w:pPr>
      <w:pBdr>
        <w:top w:val="dotted" w:sz="4" w:space="12" w:color="auto"/>
        <w:left w:val="dotted" w:sz="4" w:space="12" w:color="auto"/>
        <w:bottom w:val="dotted" w:sz="4" w:space="12" w:color="auto"/>
        <w:right w:val="dotted" w:sz="4" w:space="12" w:color="auto"/>
      </w:pBdr>
      <w:spacing w:before="240" w:after="120" w:line="360" w:lineRule="exact"/>
      <w:ind w:left="720" w:right="720"/>
    </w:pPr>
    <w:rPr>
      <w:sz w:val="24"/>
    </w:rPr>
  </w:style>
  <w:style w:type="character" w:customStyle="1" w:styleId="ArOpPhrArticleOpeningPhrase">
    <w:name w:val="ArOpPhr Article Opening Phrase"/>
    <w:qFormat/>
    <w:rsid w:val="006D0014"/>
    <w:rPr>
      <w:smallCaps/>
    </w:rPr>
  </w:style>
  <w:style w:type="paragraph" w:customStyle="1" w:styleId="ArTArticleTitle">
    <w:name w:val="ArT Article Title"/>
    <w:basedOn w:val="Normal"/>
    <w:link w:val="ArTArticleTitleChar"/>
    <w:rsid w:val="006D0014"/>
    <w:pPr>
      <w:keepNext/>
      <w:keepLines/>
      <w:widowControl w:val="0"/>
      <w:spacing w:before="360" w:after="360" w:line="560" w:lineRule="exact"/>
      <w:jc w:val="right"/>
      <w:outlineLvl w:val="0"/>
    </w:pPr>
    <w:rPr>
      <w:rFonts w:ascii="Arial" w:hAnsi="Arial"/>
      <w:b/>
      <w:sz w:val="48"/>
    </w:rPr>
  </w:style>
  <w:style w:type="character" w:customStyle="1" w:styleId="ArTArticleTitleChar">
    <w:name w:val="ArT Article Title Char"/>
    <w:link w:val="ArTArticleTitle"/>
    <w:rsid w:val="006D0014"/>
    <w:rPr>
      <w:rFonts w:ascii="Arial" w:eastAsia="Times New Roman" w:hAnsi="Arial" w:cs="Times New Roman"/>
      <w:b/>
      <w:sz w:val="48"/>
      <w:szCs w:val="20"/>
      <w:lang w:val="en-US"/>
    </w:rPr>
  </w:style>
  <w:style w:type="paragraph" w:customStyle="1" w:styleId="ArSTArticleSubtitle">
    <w:name w:val="ArST Article Subtitle"/>
    <w:basedOn w:val="ArTArticleTitle"/>
    <w:rsid w:val="006D0014"/>
    <w:pPr>
      <w:spacing w:before="0"/>
    </w:pPr>
    <w:rPr>
      <w:b w:val="0"/>
      <w:sz w:val="40"/>
    </w:rPr>
  </w:style>
  <w:style w:type="paragraph" w:customStyle="1" w:styleId="EpigEpigraph">
    <w:name w:val="Epig Epigraph"/>
    <w:basedOn w:val="TxtBodyText"/>
    <w:rsid w:val="006D0014"/>
    <w:pPr>
      <w:spacing w:before="360" w:line="360" w:lineRule="exact"/>
      <w:ind w:left="720" w:right="1440"/>
      <w:jc w:val="right"/>
    </w:pPr>
  </w:style>
  <w:style w:type="paragraph" w:customStyle="1" w:styleId="AtrAttribution">
    <w:name w:val="Atr Attribution"/>
    <w:basedOn w:val="EpigEpigraph"/>
    <w:rsid w:val="006D0014"/>
    <w:pPr>
      <w:spacing w:before="120" w:after="240"/>
    </w:pPr>
    <w:rPr>
      <w:color w:val="7030A0"/>
    </w:rPr>
  </w:style>
  <w:style w:type="character" w:customStyle="1" w:styleId="aubase">
    <w:name w:val="au_base"/>
    <w:rsid w:val="006D0014"/>
    <w:rPr>
      <w:sz w:val="24"/>
    </w:rPr>
  </w:style>
  <w:style w:type="character" w:customStyle="1" w:styleId="aucollab">
    <w:name w:val="au_collab"/>
    <w:rsid w:val="006D0014"/>
    <w:rPr>
      <w:sz w:val="32"/>
      <w:bdr w:val="none" w:sz="0" w:space="0" w:color="auto"/>
      <w:shd w:val="clear" w:color="auto" w:fill="C0C0C0"/>
    </w:rPr>
  </w:style>
  <w:style w:type="character" w:customStyle="1" w:styleId="audeg">
    <w:name w:val="au_deg"/>
    <w:rsid w:val="006D0014"/>
    <w:rPr>
      <w:sz w:val="24"/>
      <w:bdr w:val="none" w:sz="0" w:space="0" w:color="auto"/>
      <w:shd w:val="clear" w:color="auto" w:fill="FFFF00"/>
    </w:rPr>
  </w:style>
  <w:style w:type="character" w:customStyle="1" w:styleId="aufname">
    <w:name w:val="au_fname"/>
    <w:rsid w:val="006D0014"/>
    <w:rPr>
      <w:sz w:val="32"/>
      <w:bdr w:val="none" w:sz="0" w:space="0" w:color="auto"/>
      <w:shd w:val="clear" w:color="auto" w:fill="FFFFCC"/>
    </w:rPr>
  </w:style>
  <w:style w:type="character" w:customStyle="1" w:styleId="aumember">
    <w:name w:val="au_member"/>
    <w:rsid w:val="006D0014"/>
    <w:rPr>
      <w:sz w:val="24"/>
      <w:bdr w:val="none" w:sz="0" w:space="0" w:color="auto"/>
      <w:shd w:val="clear" w:color="auto" w:fill="FF99CC"/>
    </w:rPr>
  </w:style>
  <w:style w:type="character" w:customStyle="1" w:styleId="auprefix">
    <w:name w:val="au_prefix"/>
    <w:rsid w:val="006D0014"/>
    <w:rPr>
      <w:sz w:val="32"/>
      <w:bdr w:val="none" w:sz="0" w:space="0" w:color="auto"/>
      <w:shd w:val="clear" w:color="auto" w:fill="FFCC99"/>
    </w:rPr>
  </w:style>
  <w:style w:type="character" w:customStyle="1" w:styleId="aurole">
    <w:name w:val="au_role"/>
    <w:rsid w:val="006D0014"/>
    <w:rPr>
      <w:sz w:val="32"/>
      <w:bdr w:val="none" w:sz="0" w:space="0" w:color="auto"/>
      <w:shd w:val="clear" w:color="auto" w:fill="808000"/>
    </w:rPr>
  </w:style>
  <w:style w:type="character" w:customStyle="1" w:styleId="ausuffix">
    <w:name w:val="au_suffix"/>
    <w:rsid w:val="006D0014"/>
    <w:rPr>
      <w:sz w:val="32"/>
      <w:bdr w:val="none" w:sz="0" w:space="0" w:color="auto"/>
      <w:shd w:val="clear" w:color="auto" w:fill="FF00FF"/>
    </w:rPr>
  </w:style>
  <w:style w:type="character" w:customStyle="1" w:styleId="ausurname">
    <w:name w:val="au_surname"/>
    <w:rsid w:val="006D0014"/>
    <w:rPr>
      <w:sz w:val="32"/>
      <w:bdr w:val="none" w:sz="0" w:space="0" w:color="auto"/>
      <w:shd w:val="clear" w:color="auto" w:fill="CCFF99"/>
    </w:rPr>
  </w:style>
  <w:style w:type="paragraph" w:customStyle="1" w:styleId="AuBioAuthorBio">
    <w:name w:val="AuBio Author Bio"/>
    <w:basedOn w:val="TxtBodyText"/>
    <w:qFormat/>
    <w:rsid w:val="006D0014"/>
    <w:pPr>
      <w:spacing w:line="360" w:lineRule="exact"/>
    </w:pPr>
    <w:rPr>
      <w:color w:val="CC0099"/>
    </w:rPr>
  </w:style>
  <w:style w:type="paragraph" w:customStyle="1" w:styleId="AuInfoAuthorInfo">
    <w:name w:val="AuInfo Author Info"/>
    <w:basedOn w:val="Normal"/>
    <w:qFormat/>
    <w:rsid w:val="006D0014"/>
    <w:pPr>
      <w:keepNext/>
      <w:keepLines/>
      <w:widowControl w:val="0"/>
      <w:spacing w:before="240" w:after="240" w:line="280" w:lineRule="exact"/>
    </w:pPr>
    <w:rPr>
      <w:color w:val="FF0000"/>
      <w:sz w:val="24"/>
    </w:rPr>
  </w:style>
  <w:style w:type="paragraph" w:customStyle="1" w:styleId="NtCompNotetoCompositor">
    <w:name w:val="NtComp Note to Compositor"/>
    <w:basedOn w:val="TxtBodyText"/>
    <w:rsid w:val="006D0014"/>
    <w:pPr>
      <w:spacing w:before="240" w:after="240" w:line="360" w:lineRule="exact"/>
    </w:pPr>
    <w:rPr>
      <w:b/>
      <w:color w:val="FF0000"/>
      <w:sz w:val="28"/>
    </w:rPr>
  </w:style>
  <w:style w:type="paragraph" w:customStyle="1" w:styleId="NtEdNotetoEditor">
    <w:name w:val="NtEd Note to Editor"/>
    <w:basedOn w:val="NtCompNotetoCompositor"/>
    <w:rsid w:val="006D0014"/>
    <w:rPr>
      <w:color w:val="008000"/>
    </w:rPr>
  </w:style>
  <w:style w:type="paragraph" w:customStyle="1" w:styleId="AuQAuthorQuery">
    <w:name w:val="AuQ Author Query"/>
    <w:basedOn w:val="NtEdNotetoEditor"/>
    <w:qFormat/>
    <w:rsid w:val="006D0014"/>
    <w:rPr>
      <w:color w:val="0070C0"/>
    </w:rPr>
  </w:style>
  <w:style w:type="paragraph" w:customStyle="1" w:styleId="BibAnnBibliographicAnnotation">
    <w:name w:val="BibAnn Bibliographic Annotation"/>
    <w:basedOn w:val="Normal"/>
    <w:rsid w:val="006D0014"/>
    <w:pPr>
      <w:autoSpaceDE w:val="0"/>
      <w:autoSpaceDN w:val="0"/>
      <w:adjustRightInd w:val="0"/>
      <w:spacing w:after="120" w:line="560" w:lineRule="exact"/>
      <w:ind w:left="720"/>
    </w:pPr>
    <w:rPr>
      <w:sz w:val="24"/>
      <w:szCs w:val="24"/>
    </w:rPr>
  </w:style>
  <w:style w:type="paragraph" w:customStyle="1" w:styleId="BibItemBibliographyorReferenceListItem">
    <w:name w:val="BibItem Bibliography or Reference List Item"/>
    <w:basedOn w:val="TxtBodyText"/>
    <w:link w:val="BibItemBibliographyorReferenceListItemChar"/>
    <w:rsid w:val="006D0014"/>
    <w:pPr>
      <w:spacing w:after="120"/>
      <w:ind w:left="720" w:hanging="720"/>
    </w:pPr>
  </w:style>
  <w:style w:type="character" w:customStyle="1" w:styleId="BibItemBibliographyorReferenceListItemChar">
    <w:name w:val="BibItem Bibliography or Reference List Item Char"/>
    <w:link w:val="BibItemBibliographyorReferenceListItem"/>
    <w:rsid w:val="006D0014"/>
    <w:rPr>
      <w:rFonts w:ascii="Times New Roman" w:eastAsia="Times New Roman" w:hAnsi="Times New Roman" w:cs="Times New Roman"/>
      <w:sz w:val="24"/>
      <w:szCs w:val="24"/>
      <w:lang w:val="en-US"/>
    </w:rPr>
  </w:style>
  <w:style w:type="paragraph" w:customStyle="1" w:styleId="BLBulletList">
    <w:name w:val="BL Bullet List"/>
    <w:basedOn w:val="TxtBodyText"/>
    <w:rsid w:val="006D0014"/>
    <w:pPr>
      <w:tabs>
        <w:tab w:val="left" w:pos="240"/>
        <w:tab w:val="left" w:pos="960"/>
      </w:tabs>
      <w:ind w:left="960" w:hanging="240"/>
      <w:contextualSpacing/>
    </w:pPr>
  </w:style>
  <w:style w:type="paragraph" w:customStyle="1" w:styleId="BMTBackmatterTitle">
    <w:name w:val="BMT Backmatter Title"/>
    <w:basedOn w:val="Normal"/>
    <w:next w:val="TxtBodyText"/>
    <w:qFormat/>
    <w:rsid w:val="006D0014"/>
    <w:pPr>
      <w:spacing w:before="120" w:after="240" w:line="560" w:lineRule="exact"/>
      <w:jc w:val="center"/>
    </w:pPr>
    <w:rPr>
      <w:rFonts w:ascii="Arial" w:hAnsi="Arial"/>
      <w:color w:val="984806"/>
      <w:sz w:val="36"/>
    </w:rPr>
  </w:style>
  <w:style w:type="paragraph" w:customStyle="1" w:styleId="BMNBackmatterSectionNumber">
    <w:name w:val="BMN Backmatter Section Number"/>
    <w:basedOn w:val="BMTBackmatterTitle"/>
    <w:next w:val="BMTBackmatterTitle"/>
    <w:qFormat/>
    <w:rsid w:val="006D0014"/>
    <w:pPr>
      <w:spacing w:before="240" w:after="0"/>
    </w:pPr>
    <w:rPr>
      <w:b/>
    </w:rPr>
  </w:style>
  <w:style w:type="paragraph" w:customStyle="1" w:styleId="FNFootnote">
    <w:name w:val="FN Footnote"/>
    <w:basedOn w:val="TxtBodyText"/>
    <w:link w:val="FNFootnoteChar"/>
    <w:qFormat/>
    <w:rsid w:val="006D0014"/>
    <w:pPr>
      <w:spacing w:line="360" w:lineRule="exact"/>
    </w:pPr>
    <w:rPr>
      <w:color w:val="C00000"/>
    </w:rPr>
  </w:style>
  <w:style w:type="character" w:customStyle="1" w:styleId="FNFootnoteChar">
    <w:name w:val="FN Footnote Char"/>
    <w:link w:val="FNFootnote"/>
    <w:rsid w:val="006D0014"/>
    <w:rPr>
      <w:rFonts w:ascii="Times New Roman" w:eastAsia="Times New Roman" w:hAnsi="Times New Roman" w:cs="Times New Roman"/>
      <w:color w:val="C00000"/>
      <w:sz w:val="24"/>
      <w:szCs w:val="24"/>
      <w:lang w:val="en-US"/>
    </w:rPr>
  </w:style>
  <w:style w:type="paragraph" w:customStyle="1" w:styleId="ENEndnote">
    <w:name w:val="EN Endnote"/>
    <w:basedOn w:val="FNFootnote"/>
    <w:link w:val="ENEndnoteChar"/>
    <w:qFormat/>
    <w:rsid w:val="006D0014"/>
    <w:rPr>
      <w:color w:val="000000"/>
    </w:rPr>
  </w:style>
  <w:style w:type="character" w:customStyle="1" w:styleId="ENEndnoteChar">
    <w:name w:val="EN Endnote Char"/>
    <w:link w:val="ENEndnote"/>
    <w:rsid w:val="006D0014"/>
    <w:rPr>
      <w:rFonts w:ascii="Times New Roman" w:eastAsia="Times New Roman" w:hAnsi="Times New Roman" w:cs="Times New Roman"/>
      <w:color w:val="000000"/>
      <w:sz w:val="24"/>
      <w:szCs w:val="24"/>
      <w:lang w:val="en-US"/>
    </w:rPr>
  </w:style>
  <w:style w:type="paragraph" w:customStyle="1" w:styleId="BNBacknote">
    <w:name w:val="BN Backnote"/>
    <w:basedOn w:val="ENEndnote"/>
    <w:qFormat/>
    <w:rsid w:val="006D0014"/>
    <w:rPr>
      <w:color w:val="365F91"/>
    </w:rPr>
  </w:style>
  <w:style w:type="paragraph" w:customStyle="1" w:styleId="BoxBegBeginBoxedorSidebarContent">
    <w:name w:val="BoxBeg Begin Boxed or Sidebar Content"/>
    <w:basedOn w:val="AppBegBeginAppendix"/>
    <w:qFormat/>
    <w:rsid w:val="006D0014"/>
  </w:style>
  <w:style w:type="character" w:customStyle="1" w:styleId="BoxCOBoxorSidebarCallout">
    <w:name w:val="BoxCO Box or Sidebar Callout"/>
    <w:rsid w:val="006D0014"/>
    <w:rPr>
      <w:rFonts w:ascii="Helvetica" w:hAnsi="Helvetica"/>
      <w:b/>
      <w:sz w:val="24"/>
      <w:bdr w:val="none" w:sz="0" w:space="0" w:color="auto"/>
      <w:shd w:val="pct50" w:color="FFFF00" w:fill="auto"/>
    </w:rPr>
  </w:style>
  <w:style w:type="paragraph" w:customStyle="1" w:styleId="BoxEndEndBoxedorSidebarContent">
    <w:name w:val="BoxEnd End Boxed or Sidebar Content"/>
    <w:basedOn w:val="AppEndEndAppendix"/>
    <w:qFormat/>
    <w:rsid w:val="006D0014"/>
  </w:style>
  <w:style w:type="character" w:customStyle="1" w:styleId="BoxMenBoxorSidebarMention">
    <w:name w:val="BoxMen Box or Sidebar Mention"/>
    <w:rsid w:val="006D0014"/>
    <w:rPr>
      <w:color w:val="984806"/>
      <w:u w:val="single"/>
    </w:rPr>
  </w:style>
  <w:style w:type="paragraph" w:customStyle="1" w:styleId="BoxSTBoxSubtitle">
    <w:name w:val="BoxST Box Subtitle"/>
    <w:basedOn w:val="Normal"/>
    <w:qFormat/>
    <w:rsid w:val="006D0014"/>
    <w:pPr>
      <w:spacing w:line="360" w:lineRule="exact"/>
      <w:jc w:val="center"/>
    </w:pPr>
    <w:rPr>
      <w:rFonts w:ascii="Arial" w:eastAsia="Calibri" w:hAnsi="Arial"/>
      <w:color w:val="7030A0"/>
      <w:sz w:val="24"/>
      <w:szCs w:val="22"/>
      <w:lang w:val="en-CA"/>
    </w:rPr>
  </w:style>
  <w:style w:type="paragraph" w:customStyle="1" w:styleId="BoxTBoxTitle">
    <w:name w:val="BoxT Box Title"/>
    <w:basedOn w:val="Normal"/>
    <w:qFormat/>
    <w:rsid w:val="006D0014"/>
    <w:pPr>
      <w:spacing w:line="360" w:lineRule="exact"/>
      <w:jc w:val="center"/>
    </w:pPr>
    <w:rPr>
      <w:rFonts w:ascii="Arial" w:hAnsi="Arial"/>
      <w:color w:val="7030A0"/>
      <w:sz w:val="28"/>
      <w:szCs w:val="24"/>
    </w:rPr>
  </w:style>
  <w:style w:type="paragraph" w:customStyle="1" w:styleId="CaptCaptiondescription">
    <w:name w:val="Capt Caption (description)"/>
    <w:basedOn w:val="Normal"/>
    <w:qFormat/>
    <w:rsid w:val="006D0014"/>
    <w:pPr>
      <w:spacing w:line="240" w:lineRule="exact"/>
      <w:ind w:left="1440" w:right="1440"/>
    </w:pPr>
    <w:rPr>
      <w:rFonts w:ascii="Arial" w:hAnsi="Arial"/>
    </w:rPr>
  </w:style>
  <w:style w:type="paragraph" w:customStyle="1" w:styleId="NotesBegBeginNotes">
    <w:name w:val="NotesBeg Begin Note(s)"/>
    <w:basedOn w:val="AppBegBeginAppendix"/>
    <w:qFormat/>
    <w:rsid w:val="006D0014"/>
  </w:style>
  <w:style w:type="paragraph" w:customStyle="1" w:styleId="CaseBegBeginCaseStudy">
    <w:name w:val="CaseBeg Begin Case Study"/>
    <w:basedOn w:val="NotesBegBeginNotes"/>
    <w:qFormat/>
    <w:rsid w:val="006D0014"/>
  </w:style>
  <w:style w:type="paragraph" w:customStyle="1" w:styleId="NotesEndEndNotes">
    <w:name w:val="NotesEnd End Note(s)"/>
    <w:basedOn w:val="AppEndEndAppendix"/>
    <w:qFormat/>
    <w:rsid w:val="006D0014"/>
  </w:style>
  <w:style w:type="paragraph" w:customStyle="1" w:styleId="CaseEndEndCaseStudy">
    <w:name w:val="CaseEnd End Case Study"/>
    <w:basedOn w:val="NotesEndEndNotes"/>
    <w:qFormat/>
    <w:rsid w:val="006D0014"/>
  </w:style>
  <w:style w:type="paragraph" w:customStyle="1" w:styleId="ChrChronology">
    <w:name w:val="Chr Chronology"/>
    <w:basedOn w:val="TxtBodyText"/>
    <w:rsid w:val="006D0014"/>
    <w:pPr>
      <w:tabs>
        <w:tab w:val="left" w:pos="2448"/>
      </w:tabs>
      <w:spacing w:before="120"/>
      <w:ind w:left="2448" w:hanging="1728"/>
    </w:pPr>
  </w:style>
  <w:style w:type="character" w:customStyle="1" w:styleId="citeapp">
    <w:name w:val="cite_app"/>
    <w:rsid w:val="006D0014"/>
    <w:rPr>
      <w:sz w:val="24"/>
      <w:bdr w:val="none" w:sz="0" w:space="0" w:color="auto"/>
      <w:shd w:val="clear" w:color="auto" w:fill="CCFF33"/>
    </w:rPr>
  </w:style>
  <w:style w:type="character" w:customStyle="1" w:styleId="citebase">
    <w:name w:val="cite_base"/>
    <w:rsid w:val="006D0014"/>
    <w:rPr>
      <w:sz w:val="24"/>
    </w:rPr>
  </w:style>
  <w:style w:type="character" w:customStyle="1" w:styleId="citebox">
    <w:name w:val="cite_box"/>
    <w:rsid w:val="006D0014"/>
    <w:rPr>
      <w:sz w:val="24"/>
    </w:rPr>
  </w:style>
  <w:style w:type="character" w:customStyle="1" w:styleId="citeeq">
    <w:name w:val="cite_eq"/>
    <w:rsid w:val="006D0014"/>
    <w:rPr>
      <w:sz w:val="24"/>
      <w:bdr w:val="none" w:sz="0" w:space="0" w:color="auto"/>
      <w:shd w:val="clear" w:color="auto" w:fill="FFAE37"/>
    </w:rPr>
  </w:style>
  <w:style w:type="character" w:customStyle="1" w:styleId="citefig">
    <w:name w:val="cite_fig"/>
    <w:rsid w:val="006D0014"/>
    <w:rPr>
      <w:color w:val="auto"/>
      <w:sz w:val="24"/>
      <w:bdr w:val="none" w:sz="0" w:space="0" w:color="auto"/>
      <w:shd w:val="clear" w:color="auto" w:fill="CCFFCC"/>
    </w:rPr>
  </w:style>
  <w:style w:type="character" w:customStyle="1" w:styleId="citefn">
    <w:name w:val="cite_fn"/>
    <w:rsid w:val="006D0014"/>
    <w:rPr>
      <w:color w:val="auto"/>
      <w:sz w:val="24"/>
      <w:bdr w:val="none" w:sz="0" w:space="0" w:color="auto"/>
      <w:shd w:val="clear" w:color="auto" w:fill="FF99CC"/>
      <w:vertAlign w:val="baseline"/>
    </w:rPr>
  </w:style>
  <w:style w:type="character" w:customStyle="1" w:styleId="citesec">
    <w:name w:val="cite_sec"/>
    <w:rsid w:val="006D0014"/>
    <w:rPr>
      <w:sz w:val="24"/>
      <w:bdr w:val="none" w:sz="0" w:space="0" w:color="auto"/>
      <w:shd w:val="clear" w:color="auto" w:fill="FFCCCC"/>
    </w:rPr>
  </w:style>
  <w:style w:type="character" w:customStyle="1" w:styleId="citetbl">
    <w:name w:val="cite_tbl"/>
    <w:rsid w:val="006D0014"/>
    <w:rPr>
      <w:color w:val="auto"/>
      <w:sz w:val="24"/>
      <w:bdr w:val="none" w:sz="0" w:space="0" w:color="auto"/>
      <w:shd w:val="clear" w:color="auto" w:fill="FF9999"/>
    </w:rPr>
  </w:style>
  <w:style w:type="character" w:customStyle="1" w:styleId="citetfn">
    <w:name w:val="cite_tfn"/>
    <w:rsid w:val="006D0014"/>
    <w:rPr>
      <w:sz w:val="24"/>
      <w:bdr w:val="none" w:sz="0" w:space="0" w:color="auto"/>
      <w:shd w:val="clear" w:color="auto" w:fill="FBBA79"/>
    </w:rPr>
  </w:style>
  <w:style w:type="paragraph" w:customStyle="1" w:styleId="Deck">
    <w:name w:val="Deck"/>
    <w:basedOn w:val="Normal"/>
    <w:qFormat/>
    <w:rsid w:val="006D0014"/>
    <w:pPr>
      <w:spacing w:line="360" w:lineRule="exact"/>
      <w:ind w:right="2880"/>
    </w:pPr>
    <w:rPr>
      <w:rFonts w:ascii="Arial" w:hAnsi="Arial"/>
      <w:i/>
      <w:sz w:val="28"/>
    </w:rPr>
  </w:style>
  <w:style w:type="paragraph" w:customStyle="1" w:styleId="DeptTDepartmentTitle">
    <w:name w:val="DeptT Department Title"/>
    <w:basedOn w:val="Normal"/>
    <w:qFormat/>
    <w:rsid w:val="006D0014"/>
    <w:pPr>
      <w:pBdr>
        <w:top w:val="single" w:sz="4" w:space="3" w:color="auto"/>
        <w:left w:val="single" w:sz="4" w:space="3" w:color="auto"/>
        <w:bottom w:val="single" w:sz="4" w:space="9" w:color="auto"/>
        <w:right w:val="single" w:sz="4" w:space="3" w:color="auto"/>
      </w:pBdr>
      <w:spacing w:before="120" w:after="240" w:line="560" w:lineRule="exact"/>
      <w:jc w:val="center"/>
    </w:pPr>
    <w:rPr>
      <w:rFonts w:ascii="Arial" w:hAnsi="Arial"/>
      <w:color w:val="E36C0A"/>
      <w:sz w:val="36"/>
    </w:rPr>
  </w:style>
  <w:style w:type="paragraph" w:customStyle="1" w:styleId="DiaDialogue">
    <w:name w:val="Dia Dialogue"/>
    <w:basedOn w:val="TxtBodyText"/>
    <w:rsid w:val="006D0014"/>
    <w:pPr>
      <w:spacing w:line="360" w:lineRule="exact"/>
      <w:ind w:left="2880" w:right="720" w:hanging="2160"/>
      <w:contextualSpacing/>
    </w:pPr>
  </w:style>
  <w:style w:type="paragraph" w:customStyle="1" w:styleId="DiaCNewPara">
    <w:name w:val="DiaCNewPara"/>
    <w:basedOn w:val="DiaDialogue"/>
    <w:rsid w:val="006D0014"/>
    <w:pPr>
      <w:ind w:left="0" w:right="0" w:firstLine="0"/>
      <w:contextualSpacing w:val="0"/>
    </w:pPr>
  </w:style>
  <w:style w:type="paragraph" w:customStyle="1" w:styleId="TxtCContinuationofBodyTextParagraph">
    <w:name w:val="TxtC Continuation of Body Text Paragraph"/>
    <w:basedOn w:val="Normal"/>
    <w:rsid w:val="006D0014"/>
    <w:pPr>
      <w:spacing w:line="560" w:lineRule="exact"/>
    </w:pPr>
    <w:rPr>
      <w:sz w:val="24"/>
      <w:lang w:val="x-none" w:eastAsia="x-none"/>
    </w:rPr>
  </w:style>
  <w:style w:type="paragraph" w:customStyle="1" w:styleId="DiaCSamePara">
    <w:name w:val="DiaCSamePara"/>
    <w:basedOn w:val="TxtCContinuationofBodyTextParagraph"/>
    <w:rsid w:val="006D0014"/>
    <w:rPr>
      <w:szCs w:val="24"/>
    </w:rPr>
  </w:style>
  <w:style w:type="paragraph" w:customStyle="1" w:styleId="EdNoteEditorsNote">
    <w:name w:val="EdNote Editors Note"/>
    <w:basedOn w:val="ArInTxtArticleIntroText"/>
    <w:qFormat/>
    <w:rsid w:val="006D0014"/>
    <w:pPr>
      <w:spacing w:before="240" w:after="240" w:line="280" w:lineRule="exact"/>
      <w:jc w:val="center"/>
    </w:pPr>
    <w:rPr>
      <w:color w:val="FF0000"/>
    </w:rPr>
  </w:style>
  <w:style w:type="paragraph" w:customStyle="1" w:styleId="EndNoteBibliography">
    <w:name w:val="EndNote Bibliography"/>
    <w:basedOn w:val="Normal"/>
    <w:link w:val="EndNoteBibliographyCar"/>
    <w:rsid w:val="006D0014"/>
    <w:pPr>
      <w:spacing w:line="480" w:lineRule="auto"/>
    </w:pPr>
    <w:rPr>
      <w:noProof/>
      <w:sz w:val="24"/>
    </w:rPr>
  </w:style>
  <w:style w:type="character" w:customStyle="1" w:styleId="EndNoteBibliographyCar">
    <w:name w:val="EndNote Bibliography Car"/>
    <w:link w:val="EndNoteBibliography"/>
    <w:rsid w:val="006D0014"/>
    <w:rPr>
      <w:rFonts w:ascii="Times New Roman" w:eastAsia="Times New Roman" w:hAnsi="Times New Roman" w:cs="Times New Roman"/>
      <w:noProof/>
      <w:sz w:val="24"/>
      <w:szCs w:val="20"/>
      <w:lang w:val="en-US"/>
    </w:rPr>
  </w:style>
  <w:style w:type="paragraph" w:customStyle="1" w:styleId="EndNoteBibliographyTitle">
    <w:name w:val="EndNote Bibliography Title"/>
    <w:basedOn w:val="Normal"/>
    <w:link w:val="EndNoteBibliographyTitleCar"/>
    <w:rsid w:val="006D0014"/>
    <w:pPr>
      <w:jc w:val="center"/>
    </w:pPr>
    <w:rPr>
      <w:noProof/>
      <w:sz w:val="24"/>
    </w:rPr>
  </w:style>
  <w:style w:type="character" w:customStyle="1" w:styleId="EndNoteBibliographyTitleCar">
    <w:name w:val="EndNote Bibliography Title Car"/>
    <w:link w:val="EndNoteBibliographyTitle"/>
    <w:rsid w:val="006D0014"/>
    <w:rPr>
      <w:rFonts w:ascii="Times New Roman" w:eastAsia="Times New Roman" w:hAnsi="Times New Roman" w:cs="Times New Roman"/>
      <w:noProof/>
      <w:sz w:val="24"/>
      <w:szCs w:val="20"/>
      <w:lang w:val="en-US"/>
    </w:rPr>
  </w:style>
  <w:style w:type="character" w:styleId="EndnoteReference">
    <w:name w:val="endnote reference"/>
    <w:uiPriority w:val="99"/>
    <w:unhideWhenUsed/>
    <w:rsid w:val="006D0014"/>
    <w:rPr>
      <w:vertAlign w:val="superscript"/>
    </w:rPr>
  </w:style>
  <w:style w:type="paragraph" w:styleId="EndnoteText">
    <w:name w:val="endnote text"/>
    <w:basedOn w:val="Normal"/>
    <w:link w:val="EndnoteTextChar"/>
    <w:uiPriority w:val="99"/>
    <w:unhideWhenUsed/>
    <w:rsid w:val="006D0014"/>
  </w:style>
  <w:style w:type="character" w:customStyle="1" w:styleId="EndnoteTextChar">
    <w:name w:val="Endnote Text Char"/>
    <w:link w:val="EndnoteText"/>
    <w:uiPriority w:val="99"/>
    <w:rsid w:val="006D0014"/>
    <w:rPr>
      <w:rFonts w:ascii="Times New Roman" w:eastAsia="Times New Roman" w:hAnsi="Times New Roman" w:cs="Times New Roman"/>
      <w:sz w:val="20"/>
      <w:szCs w:val="20"/>
      <w:lang w:val="en-US"/>
    </w:rPr>
  </w:style>
  <w:style w:type="character" w:customStyle="1" w:styleId="EnRefEndnoteReference">
    <w:name w:val="EnRef Endnote Reference"/>
    <w:qFormat/>
    <w:rsid w:val="006D0014"/>
    <w:rPr>
      <w:bdr w:val="none" w:sz="0" w:space="0" w:color="auto"/>
      <w:shd w:val="clear" w:color="auto" w:fill="FFC000"/>
      <w:vertAlign w:val="superscript"/>
    </w:rPr>
  </w:style>
  <w:style w:type="paragraph" w:customStyle="1" w:styleId="EqnDisplayEquation">
    <w:name w:val="Eqn Display Equation"/>
    <w:basedOn w:val="TxtBodyText"/>
    <w:rsid w:val="006D0014"/>
    <w:pPr>
      <w:tabs>
        <w:tab w:val="right" w:pos="8640"/>
      </w:tabs>
      <w:spacing w:before="360" w:after="360" w:line="240" w:lineRule="auto"/>
      <w:ind w:left="1440" w:right="720" w:hanging="720"/>
    </w:pPr>
    <w:rPr>
      <w:color w:val="948A54"/>
    </w:rPr>
  </w:style>
  <w:style w:type="paragraph" w:customStyle="1" w:styleId="EqnCDisplayEquationContinued">
    <w:name w:val="EqnC Display Equation Continued"/>
    <w:basedOn w:val="EqnDisplayEquation"/>
    <w:rsid w:val="006D0014"/>
    <w:rPr>
      <w:rFonts w:eastAsia="MS Mincho"/>
    </w:rPr>
  </w:style>
  <w:style w:type="character" w:customStyle="1" w:styleId="EqnInTxt">
    <w:name w:val="EqnInTxt"/>
    <w:qFormat/>
    <w:rsid w:val="006D0014"/>
    <w:rPr>
      <w:color w:val="948A54"/>
    </w:rPr>
  </w:style>
  <w:style w:type="character" w:customStyle="1" w:styleId="EqnMenEquationMention">
    <w:name w:val="EqnMen Equation Mention"/>
    <w:qFormat/>
    <w:rsid w:val="006D0014"/>
    <w:rPr>
      <w:color w:val="948A54"/>
      <w:u w:val="single"/>
    </w:rPr>
  </w:style>
  <w:style w:type="character" w:customStyle="1" w:styleId="EqnNoDisplayEquationNumber">
    <w:name w:val="EqnNo Display Equation Number"/>
    <w:rsid w:val="006D0014"/>
    <w:rPr>
      <w:bdr w:val="none" w:sz="0" w:space="0" w:color="auto"/>
      <w:shd w:val="pct15" w:color="auto" w:fill="FFFFFF"/>
    </w:rPr>
  </w:style>
  <w:style w:type="paragraph" w:customStyle="1" w:styleId="ExtExtractorBlockQuote">
    <w:name w:val="Ext Extract or Block Quote"/>
    <w:basedOn w:val="TxtBodyText"/>
    <w:rsid w:val="006D0014"/>
    <w:pPr>
      <w:ind w:left="720" w:right="720"/>
      <w:contextualSpacing/>
    </w:pPr>
  </w:style>
  <w:style w:type="paragraph" w:customStyle="1" w:styleId="ExtCNewParaContinuationofExtractNewParagraph">
    <w:name w:val="ExtCNewPara Continuation of Extract New Paragraph"/>
    <w:basedOn w:val="ExtExtractorBlockQuote"/>
    <w:qFormat/>
    <w:rsid w:val="006D0014"/>
  </w:style>
  <w:style w:type="paragraph" w:customStyle="1" w:styleId="ExtCSameParaContinuationofExtractSameParagraph">
    <w:name w:val="ExtCSamePara Continuation of Extract Same Paragraph"/>
    <w:basedOn w:val="ExtExtractorBlockQuote"/>
    <w:next w:val="ExtExtractorBlockQuote"/>
    <w:qFormat/>
    <w:rsid w:val="006D0014"/>
    <w:pPr>
      <w:ind w:firstLine="0"/>
    </w:pPr>
    <w:rPr>
      <w:lang w:val="en-CA"/>
    </w:rPr>
  </w:style>
  <w:style w:type="paragraph" w:customStyle="1" w:styleId="ExtEndMarksEndofExtorExtCendingwithanotherstyle">
    <w:name w:val="ExtEnd Marks End of Ext or ExtC ending with another style"/>
    <w:basedOn w:val="Normal"/>
    <w:qFormat/>
    <w:rsid w:val="006D0014"/>
    <w:pPr>
      <w:pBdr>
        <w:bottom w:val="dashed" w:sz="4" w:space="6" w:color="auto"/>
      </w:pBdr>
      <w:spacing w:line="360" w:lineRule="exact"/>
      <w:ind w:left="720" w:right="720"/>
    </w:pPr>
    <w:rPr>
      <w:sz w:val="24"/>
    </w:rPr>
  </w:style>
  <w:style w:type="paragraph" w:customStyle="1" w:styleId="LHListHeading">
    <w:name w:val="LH List Heading"/>
    <w:basedOn w:val="TxtBodyText"/>
    <w:rsid w:val="006D0014"/>
    <w:pPr>
      <w:keepNext/>
      <w:keepLines/>
      <w:spacing w:before="360"/>
      <w:ind w:left="720"/>
    </w:pPr>
    <w:rPr>
      <w:b/>
    </w:rPr>
  </w:style>
  <w:style w:type="paragraph" w:customStyle="1" w:styleId="ExtHeadExtractHeading">
    <w:name w:val="ExtHead Extract Heading"/>
    <w:basedOn w:val="LHListHeading"/>
    <w:next w:val="Normal"/>
    <w:qFormat/>
    <w:rsid w:val="006D0014"/>
  </w:style>
  <w:style w:type="paragraph" w:customStyle="1" w:styleId="FAbstAbstract">
    <w:name w:val="FAbst Abstract"/>
    <w:basedOn w:val="AbstAbstract"/>
    <w:qFormat/>
    <w:rsid w:val="006D0014"/>
    <w:rPr>
      <w:color w:val="FF0000"/>
    </w:rPr>
  </w:style>
  <w:style w:type="paragraph" w:customStyle="1" w:styleId="FAbstTAbstractTitle">
    <w:name w:val="FAbstT Abstract Title"/>
    <w:basedOn w:val="AbstTAbstractTitle"/>
    <w:qFormat/>
    <w:rsid w:val="006D0014"/>
    <w:rPr>
      <w:color w:val="FF0000"/>
    </w:rPr>
  </w:style>
  <w:style w:type="paragraph" w:customStyle="1" w:styleId="TFNTableFootnote">
    <w:name w:val="TFN Table Footnote"/>
    <w:basedOn w:val="Normal"/>
    <w:qFormat/>
    <w:rsid w:val="006D0014"/>
    <w:rPr>
      <w:sz w:val="24"/>
    </w:rPr>
  </w:style>
  <w:style w:type="paragraph" w:customStyle="1" w:styleId="FFNFigureFootnote">
    <w:name w:val="FFN Figure Footnote"/>
    <w:basedOn w:val="TFNTableFootnote"/>
    <w:qFormat/>
    <w:rsid w:val="006D0014"/>
    <w:pPr>
      <w:ind w:left="1440"/>
    </w:pPr>
  </w:style>
  <w:style w:type="character" w:customStyle="1" w:styleId="FigCOFigureCallout">
    <w:name w:val="FigCO Figure Callout"/>
    <w:rsid w:val="006D0014"/>
    <w:rPr>
      <w:rFonts w:ascii="Times New Roman" w:hAnsi="Times New Roman"/>
      <w:b w:val="0"/>
      <w:sz w:val="24"/>
      <w:bdr w:val="none" w:sz="0" w:space="0" w:color="auto"/>
      <w:shd w:val="pct50" w:color="0000FF" w:fill="auto"/>
    </w:rPr>
  </w:style>
  <w:style w:type="paragraph" w:customStyle="1" w:styleId="FigContFigureContinued">
    <w:name w:val="FigCont Figure Continued"/>
    <w:basedOn w:val="CaptCaptiondescription"/>
    <w:rsid w:val="006D0014"/>
  </w:style>
  <w:style w:type="character" w:customStyle="1" w:styleId="FigMenFigureMention">
    <w:name w:val="FigMen Figure Mention"/>
    <w:rsid w:val="006D0014"/>
    <w:rPr>
      <w:color w:val="0000FF"/>
      <w:u w:val="single"/>
    </w:rPr>
  </w:style>
  <w:style w:type="character" w:customStyle="1" w:styleId="FigNFigureNumber">
    <w:name w:val="FigN Figure Number"/>
    <w:qFormat/>
    <w:rsid w:val="006D0014"/>
    <w:rPr>
      <w:b w:val="0"/>
    </w:rPr>
  </w:style>
  <w:style w:type="paragraph" w:customStyle="1" w:styleId="FigTFigureTitle">
    <w:name w:val="FigT Figure Title"/>
    <w:basedOn w:val="Normal"/>
    <w:qFormat/>
    <w:rsid w:val="006D0014"/>
    <w:pPr>
      <w:spacing w:line="360" w:lineRule="exact"/>
      <w:jc w:val="center"/>
      <w:outlineLvl w:val="0"/>
    </w:pPr>
    <w:rPr>
      <w:rFonts w:ascii="Arial" w:hAnsi="Arial"/>
      <w:color w:val="7030A0"/>
      <w:sz w:val="28"/>
    </w:rPr>
  </w:style>
  <w:style w:type="paragraph" w:customStyle="1" w:styleId="FigSTFigureSubtitle">
    <w:name w:val="FigST Figure Subtitle"/>
    <w:basedOn w:val="FigTFigureTitle"/>
    <w:qFormat/>
    <w:rsid w:val="006D0014"/>
    <w:rPr>
      <w:sz w:val="24"/>
    </w:rPr>
  </w:style>
  <w:style w:type="paragraph" w:customStyle="1" w:styleId="KwdsKeywords">
    <w:name w:val="Kwds Keywords"/>
    <w:basedOn w:val="AbstAbstract"/>
    <w:rsid w:val="006D0014"/>
    <w:pPr>
      <w:spacing w:before="120"/>
      <w:jc w:val="right"/>
    </w:pPr>
    <w:rPr>
      <w:color w:val="0070C0"/>
    </w:rPr>
  </w:style>
  <w:style w:type="paragraph" w:customStyle="1" w:styleId="FKwdsKeywords">
    <w:name w:val="FKwds Keywords"/>
    <w:basedOn w:val="KwdsKeywords"/>
    <w:qFormat/>
    <w:rsid w:val="006D0014"/>
    <w:rPr>
      <w:color w:val="FF0000"/>
    </w:rPr>
  </w:style>
  <w:style w:type="character" w:customStyle="1" w:styleId="FnRefFootnoteReference">
    <w:name w:val="FnRef Footnote Reference"/>
    <w:rsid w:val="006D0014"/>
    <w:rPr>
      <w:bdr w:val="none" w:sz="0" w:space="0" w:color="auto"/>
      <w:shd w:val="clear" w:color="auto" w:fill="00B0F0"/>
      <w:vertAlign w:val="superscript"/>
    </w:rPr>
  </w:style>
  <w:style w:type="character" w:styleId="FollowedHyperlink">
    <w:name w:val="FollowedHyperlink"/>
    <w:uiPriority w:val="99"/>
    <w:unhideWhenUsed/>
    <w:rsid w:val="006D0014"/>
    <w:rPr>
      <w:color w:val="800080"/>
      <w:u w:val="single"/>
    </w:rPr>
  </w:style>
  <w:style w:type="paragraph" w:styleId="Footer">
    <w:name w:val="footer"/>
    <w:basedOn w:val="Normal"/>
    <w:link w:val="FooterChar"/>
    <w:uiPriority w:val="99"/>
    <w:unhideWhenUsed/>
    <w:rsid w:val="006D0014"/>
    <w:pPr>
      <w:tabs>
        <w:tab w:val="center" w:pos="4320"/>
        <w:tab w:val="right" w:pos="8640"/>
      </w:tabs>
    </w:pPr>
  </w:style>
  <w:style w:type="character" w:customStyle="1" w:styleId="FooterChar">
    <w:name w:val="Footer Char"/>
    <w:basedOn w:val="DefaultParagraphFont"/>
    <w:link w:val="Footer"/>
    <w:uiPriority w:val="99"/>
    <w:rsid w:val="006D0014"/>
    <w:rPr>
      <w:rFonts w:ascii="Times New Roman" w:eastAsia="Times New Roman" w:hAnsi="Times New Roman" w:cs="Times New Roman"/>
      <w:sz w:val="20"/>
      <w:szCs w:val="20"/>
      <w:lang w:val="en-US"/>
    </w:rPr>
  </w:style>
  <w:style w:type="character" w:styleId="FootnoteReference">
    <w:name w:val="footnote reference"/>
    <w:uiPriority w:val="99"/>
    <w:semiHidden/>
    <w:rsid w:val="006D0014"/>
    <w:rPr>
      <w:vertAlign w:val="superscript"/>
    </w:rPr>
  </w:style>
  <w:style w:type="paragraph" w:styleId="FootnoteText">
    <w:name w:val="footnote text"/>
    <w:basedOn w:val="Normal"/>
    <w:link w:val="FootnoteTextChar"/>
    <w:uiPriority w:val="99"/>
    <w:rsid w:val="006D0014"/>
    <w:rPr>
      <w:lang w:eastAsia="fr-CA"/>
    </w:rPr>
  </w:style>
  <w:style w:type="character" w:customStyle="1" w:styleId="FootnoteTextChar">
    <w:name w:val="Footnote Text Char"/>
    <w:link w:val="FootnoteText"/>
    <w:uiPriority w:val="99"/>
    <w:rsid w:val="006D0014"/>
    <w:rPr>
      <w:rFonts w:ascii="Times New Roman" w:eastAsia="Times New Roman" w:hAnsi="Times New Roman" w:cs="Times New Roman"/>
      <w:sz w:val="20"/>
      <w:szCs w:val="20"/>
      <w:lang w:val="en-US" w:eastAsia="fr-CA"/>
    </w:rPr>
  </w:style>
  <w:style w:type="paragraph" w:customStyle="1" w:styleId="SrcSourceorCreditLine">
    <w:name w:val="Src Source or Credit Line"/>
    <w:basedOn w:val="Normal"/>
    <w:qFormat/>
    <w:rsid w:val="006D0014"/>
    <w:pPr>
      <w:spacing w:after="240" w:line="240" w:lineRule="exact"/>
      <w:jc w:val="center"/>
    </w:pPr>
    <w:rPr>
      <w:rFonts w:ascii="Arial" w:hAnsi="Arial"/>
      <w:color w:val="0070C0"/>
      <w:sz w:val="16"/>
    </w:rPr>
  </w:style>
  <w:style w:type="paragraph" w:customStyle="1" w:styleId="FSrcFigureSource">
    <w:name w:val="FSrc Figure Source"/>
    <w:basedOn w:val="SrcSourceorCreditLine"/>
    <w:rsid w:val="006D0014"/>
  </w:style>
  <w:style w:type="paragraph" w:customStyle="1" w:styleId="Glos">
    <w:name w:val="Glos"/>
    <w:basedOn w:val="TxtBodyText"/>
    <w:qFormat/>
    <w:rsid w:val="006D0014"/>
    <w:pPr>
      <w:ind w:left="720" w:hanging="720"/>
    </w:pPr>
    <w:rPr>
      <w:rFonts w:ascii="Arial" w:hAnsi="Arial"/>
    </w:rPr>
  </w:style>
  <w:style w:type="character" w:customStyle="1" w:styleId="GlosTermGlossaryTerm">
    <w:name w:val="GlosTerm Glossary Term"/>
    <w:qFormat/>
    <w:rsid w:val="006D0014"/>
    <w:rPr>
      <w:b/>
      <w:color w:val="0070C0"/>
    </w:rPr>
  </w:style>
  <w:style w:type="paragraph" w:customStyle="1" w:styleId="H3HeadingLevel3">
    <w:name w:val="H3 Heading Level 3"/>
    <w:basedOn w:val="H2HeadingLevel2"/>
    <w:next w:val="TxtBodyText"/>
    <w:rsid w:val="006D0014"/>
    <w:pPr>
      <w:keepNext/>
      <w:keepLines/>
      <w:widowControl w:val="0"/>
      <w:spacing w:after="120"/>
      <w:ind w:left="720"/>
      <w:outlineLvl w:val="2"/>
    </w:pPr>
    <w:rPr>
      <w:sz w:val="28"/>
    </w:rPr>
  </w:style>
  <w:style w:type="paragraph" w:customStyle="1" w:styleId="H4HeadingLevel4">
    <w:name w:val="H4 Heading Level 4"/>
    <w:basedOn w:val="H3HeadingLevel3"/>
    <w:next w:val="TxtBodyText"/>
    <w:rsid w:val="006D0014"/>
    <w:pPr>
      <w:spacing w:before="240"/>
      <w:ind w:left="0"/>
      <w:outlineLvl w:val="3"/>
    </w:pPr>
    <w:rPr>
      <w:b w:val="0"/>
    </w:rPr>
  </w:style>
  <w:style w:type="paragraph" w:customStyle="1" w:styleId="H5HeadingLevel5">
    <w:name w:val="H5 Heading Level 5"/>
    <w:basedOn w:val="H4HeadingLevel4"/>
    <w:next w:val="TxtBodyText"/>
    <w:rsid w:val="006D0014"/>
    <w:pPr>
      <w:ind w:left="360"/>
      <w:outlineLvl w:val="4"/>
    </w:pPr>
    <w:rPr>
      <w:sz w:val="24"/>
    </w:rPr>
  </w:style>
  <w:style w:type="paragraph" w:customStyle="1" w:styleId="H6HeadingLevel6">
    <w:name w:val="H6 Heading Level 6"/>
    <w:basedOn w:val="H5HeadingLevel5"/>
    <w:next w:val="TxtBodyText"/>
    <w:rsid w:val="006D0014"/>
    <w:pPr>
      <w:ind w:left="720"/>
      <w:outlineLvl w:val="5"/>
    </w:pPr>
    <w:rPr>
      <w:sz w:val="20"/>
    </w:rPr>
  </w:style>
  <w:style w:type="paragraph" w:customStyle="1" w:styleId="HdNtHeadnote">
    <w:name w:val="HdNt Headnote"/>
    <w:basedOn w:val="TxtBodyText"/>
    <w:qFormat/>
    <w:rsid w:val="006D0014"/>
    <w:pPr>
      <w:spacing w:before="120" w:after="120" w:line="360" w:lineRule="exact"/>
      <w:ind w:left="1440" w:right="1440"/>
    </w:pPr>
    <w:rPr>
      <w:rFonts w:ascii="Arial" w:hAnsi="Arial"/>
      <w:sz w:val="22"/>
    </w:rPr>
  </w:style>
  <w:style w:type="paragraph" w:styleId="Header">
    <w:name w:val="header"/>
    <w:basedOn w:val="Normal"/>
    <w:link w:val="HeaderChar"/>
    <w:uiPriority w:val="99"/>
    <w:unhideWhenUsed/>
    <w:rsid w:val="006D0014"/>
    <w:pPr>
      <w:tabs>
        <w:tab w:val="center" w:pos="4320"/>
        <w:tab w:val="right" w:pos="8640"/>
      </w:tabs>
    </w:pPr>
  </w:style>
  <w:style w:type="character" w:customStyle="1" w:styleId="HeaderChar">
    <w:name w:val="Header Char"/>
    <w:basedOn w:val="DefaultParagraphFont"/>
    <w:link w:val="Header"/>
    <w:uiPriority w:val="99"/>
    <w:rsid w:val="006D0014"/>
    <w:rPr>
      <w:rFonts w:ascii="Times New Roman" w:eastAsia="Times New Roman" w:hAnsi="Times New Roman" w:cs="Times New Roman"/>
      <w:sz w:val="20"/>
      <w:szCs w:val="20"/>
      <w:lang w:val="en-US"/>
    </w:rPr>
  </w:style>
  <w:style w:type="paragraph" w:styleId="HTMLPreformatted">
    <w:name w:val="HTML Preformatted"/>
    <w:basedOn w:val="Normal"/>
    <w:link w:val="HTMLPreformattedChar"/>
    <w:uiPriority w:val="99"/>
    <w:semiHidden/>
    <w:unhideWhenUsed/>
    <w:rsid w:val="006D0014"/>
    <w:rPr>
      <w:rFonts w:ascii="Consolas" w:hAnsi="Consolas"/>
    </w:rPr>
  </w:style>
  <w:style w:type="character" w:customStyle="1" w:styleId="HTMLPreformattedChar">
    <w:name w:val="HTML Preformatted Char"/>
    <w:link w:val="HTMLPreformatted"/>
    <w:uiPriority w:val="99"/>
    <w:semiHidden/>
    <w:rsid w:val="006D0014"/>
    <w:rPr>
      <w:rFonts w:ascii="Consolas" w:eastAsia="Times New Roman" w:hAnsi="Consolas" w:cs="Times New Roman"/>
      <w:sz w:val="20"/>
      <w:szCs w:val="20"/>
      <w:lang w:val="en-US"/>
    </w:rPr>
  </w:style>
  <w:style w:type="character" w:styleId="Hyperlink">
    <w:name w:val="Hyperlink"/>
    <w:uiPriority w:val="99"/>
    <w:unhideWhenUsed/>
    <w:rsid w:val="006D0014"/>
    <w:rPr>
      <w:color w:val="0000FF"/>
      <w:u w:val="single"/>
    </w:rPr>
  </w:style>
  <w:style w:type="paragraph" w:customStyle="1" w:styleId="Ind1IndexMainEntry">
    <w:name w:val="Ind1 Index Main Entry"/>
    <w:basedOn w:val="Normal"/>
    <w:qFormat/>
    <w:rsid w:val="006D0014"/>
    <w:pPr>
      <w:spacing w:line="360" w:lineRule="exact"/>
      <w:ind w:left="1440" w:hanging="1440"/>
    </w:pPr>
    <w:rPr>
      <w:rFonts w:ascii="Arial" w:hAnsi="Arial"/>
    </w:rPr>
  </w:style>
  <w:style w:type="paragraph" w:customStyle="1" w:styleId="Ind2IndexSubentry">
    <w:name w:val="Ind2 Index Subentry"/>
    <w:basedOn w:val="Ind1IndexMainEntry"/>
    <w:next w:val="Ind1IndexMainEntry"/>
    <w:qFormat/>
    <w:rsid w:val="006D0014"/>
    <w:pPr>
      <w:ind w:hanging="1080"/>
    </w:pPr>
  </w:style>
  <w:style w:type="paragraph" w:customStyle="1" w:styleId="Ind3IndexSubSubentry">
    <w:name w:val="Ind3 Index SubSubentry"/>
    <w:basedOn w:val="Ind1IndexMainEntry"/>
    <w:next w:val="Ind1IndexMainEntry"/>
    <w:qFormat/>
    <w:rsid w:val="006D0014"/>
    <w:pPr>
      <w:ind w:hanging="720"/>
    </w:pPr>
  </w:style>
  <w:style w:type="paragraph" w:customStyle="1" w:styleId="Ind4IndexSubSubSubentry">
    <w:name w:val="Ind4 Index SubSubSubentry"/>
    <w:basedOn w:val="Ind1IndexMainEntry"/>
    <w:next w:val="Ind1IndexMainEntry"/>
    <w:qFormat/>
    <w:rsid w:val="006D0014"/>
    <w:pPr>
      <w:ind w:hanging="360"/>
    </w:pPr>
  </w:style>
  <w:style w:type="paragraph" w:customStyle="1" w:styleId="IndAlphIndexAlphaBreak">
    <w:name w:val="IndAlph Index Alpha Break"/>
    <w:basedOn w:val="Normal"/>
    <w:qFormat/>
    <w:rsid w:val="006D0014"/>
    <w:pPr>
      <w:shd w:val="clear" w:color="auto" w:fill="E5B8B7"/>
      <w:spacing w:before="240" w:after="120" w:line="360" w:lineRule="exact"/>
      <w:jc w:val="center"/>
    </w:pPr>
    <w:rPr>
      <w:rFonts w:ascii="Arial" w:hAnsi="Arial"/>
      <w:b/>
      <w:sz w:val="24"/>
    </w:rPr>
  </w:style>
  <w:style w:type="character" w:customStyle="1" w:styleId="IndInlineSeeIndexInlineSee">
    <w:name w:val="IndInlineSee Index Inline See"/>
    <w:uiPriority w:val="1"/>
    <w:qFormat/>
    <w:rsid w:val="006D0014"/>
    <w:rPr>
      <w:b w:val="0"/>
      <w:i w:val="0"/>
      <w:color w:val="943634"/>
    </w:rPr>
  </w:style>
  <w:style w:type="paragraph" w:customStyle="1" w:styleId="IndRunInIndexRunInMainEntry">
    <w:name w:val="IndRunIn Index Run In Main Entry"/>
    <w:basedOn w:val="Ind1IndexMainEntry"/>
    <w:qFormat/>
    <w:rsid w:val="006D0014"/>
  </w:style>
  <w:style w:type="character" w:customStyle="1" w:styleId="IndSub2IndexSubentryinMainEntry">
    <w:name w:val="IndSub2 Index Subentry in Main Entry"/>
    <w:uiPriority w:val="1"/>
    <w:qFormat/>
    <w:rsid w:val="006D0014"/>
    <w:rPr>
      <w:u w:val="dash" w:color="548DD4"/>
    </w:rPr>
  </w:style>
  <w:style w:type="paragraph" w:customStyle="1" w:styleId="OthConBegBeginOtherContainer">
    <w:name w:val="OthConBeg Begin Other Container"/>
    <w:basedOn w:val="NotesBegBeginNotes"/>
    <w:qFormat/>
    <w:rsid w:val="006D0014"/>
  </w:style>
  <w:style w:type="paragraph" w:customStyle="1" w:styleId="INSERT-BMTInsertBackmatterMarker">
    <w:name w:val="INSERT-BMT Insert Backmatter Marker"/>
    <w:basedOn w:val="OthConBegBeginOtherContainer"/>
    <w:next w:val="Normal"/>
    <w:qFormat/>
    <w:rsid w:val="006D0014"/>
    <w:pPr>
      <w:shd w:val="thinDiagStripe" w:color="auto" w:fill="auto"/>
    </w:pPr>
  </w:style>
  <w:style w:type="paragraph" w:customStyle="1" w:styleId="IntAInterviewAnswer">
    <w:name w:val="IntA Interview Answer"/>
    <w:basedOn w:val="TxtBodyText"/>
    <w:rsid w:val="006D0014"/>
    <w:rPr>
      <w:color w:val="4BACC6"/>
    </w:rPr>
  </w:style>
  <w:style w:type="character" w:customStyle="1" w:styleId="IntEInterviewee">
    <w:name w:val="IntE Interviewee"/>
    <w:qFormat/>
    <w:rsid w:val="006D0014"/>
    <w:rPr>
      <w:u w:val="dotted"/>
    </w:rPr>
  </w:style>
  <w:style w:type="paragraph" w:customStyle="1" w:styleId="IntQInterviewQuestion">
    <w:name w:val="IntQ Interview Question"/>
    <w:basedOn w:val="TxtBodyText"/>
    <w:rsid w:val="006D0014"/>
    <w:rPr>
      <w:color w:val="000080"/>
    </w:rPr>
  </w:style>
  <w:style w:type="character" w:customStyle="1" w:styleId="IntRInterviewer">
    <w:name w:val="IntR Interviewer"/>
    <w:qFormat/>
    <w:rsid w:val="006D0014"/>
    <w:rPr>
      <w:u w:val="dash"/>
    </w:rPr>
  </w:style>
  <w:style w:type="paragraph" w:customStyle="1" w:styleId="ITColHdIn-textTableColumnHead">
    <w:name w:val="ITColHd In-text Table Column Head"/>
    <w:basedOn w:val="Normal"/>
    <w:rsid w:val="006D0014"/>
    <w:rPr>
      <w:rFonts w:ascii="Arial" w:hAnsi="Arial"/>
      <w:b/>
      <w:sz w:val="24"/>
    </w:rPr>
  </w:style>
  <w:style w:type="paragraph" w:customStyle="1" w:styleId="ITTblIn-textTableBody">
    <w:name w:val="ITTbl In-text Table Body"/>
    <w:basedOn w:val="Normal"/>
    <w:rsid w:val="006D0014"/>
    <w:pPr>
      <w:ind w:left="187" w:hanging="187"/>
    </w:pPr>
    <w:rPr>
      <w:sz w:val="24"/>
    </w:rPr>
  </w:style>
  <w:style w:type="paragraph" w:customStyle="1" w:styleId="LetTxtLetterText">
    <w:name w:val="LetTxt Letter Text"/>
    <w:basedOn w:val="TxtBodyText"/>
    <w:rsid w:val="006D0014"/>
    <w:pPr>
      <w:spacing w:before="240"/>
      <w:ind w:left="720" w:right="720"/>
      <w:contextualSpacing/>
    </w:pPr>
    <w:rPr>
      <w:color w:val="943634"/>
    </w:rPr>
  </w:style>
  <w:style w:type="paragraph" w:customStyle="1" w:styleId="LetAddrLetterAddress">
    <w:name w:val="LetAddr Letter Address"/>
    <w:basedOn w:val="LetTxtLetterText"/>
    <w:rsid w:val="006D0014"/>
    <w:pPr>
      <w:spacing w:after="240"/>
    </w:pPr>
  </w:style>
  <w:style w:type="paragraph" w:customStyle="1" w:styleId="LetAuLetterAuthor">
    <w:name w:val="LetAu Letter Author"/>
    <w:basedOn w:val="LetTxtLetterText"/>
    <w:rsid w:val="006D0014"/>
    <w:pPr>
      <w:spacing w:after="240"/>
    </w:pPr>
  </w:style>
  <w:style w:type="paragraph" w:customStyle="1" w:styleId="LetAuAddLetterAuthorAddress">
    <w:name w:val="LetAuAdd Letter Author Address"/>
    <w:basedOn w:val="LetTxtLetterText"/>
    <w:rsid w:val="006D0014"/>
    <w:pPr>
      <w:spacing w:after="240"/>
    </w:pPr>
  </w:style>
  <w:style w:type="paragraph" w:customStyle="1" w:styleId="LetBegBeginLetter">
    <w:name w:val="LetBeg Begin Letter"/>
    <w:basedOn w:val="OthConBegBeginOtherContainer"/>
    <w:qFormat/>
    <w:rsid w:val="006D0014"/>
  </w:style>
  <w:style w:type="paragraph" w:customStyle="1" w:styleId="LetClosLetterClosing">
    <w:name w:val="LetClos Letter Closing"/>
    <w:basedOn w:val="LetTxtLetterText"/>
    <w:rsid w:val="006D0014"/>
    <w:pPr>
      <w:spacing w:after="240"/>
    </w:pPr>
  </w:style>
  <w:style w:type="paragraph" w:customStyle="1" w:styleId="LetCNewParaContinuationofLetterTextNewParagraph">
    <w:name w:val="LetCNewPara Continuation of Letter Text New Paragraph"/>
    <w:basedOn w:val="LetTxtLetterText"/>
    <w:qFormat/>
    <w:rsid w:val="006D0014"/>
  </w:style>
  <w:style w:type="paragraph" w:customStyle="1" w:styleId="LetCSameParaContinuationofLetterTextSameParagraph">
    <w:name w:val="LetCSamePara Continuation of Letter Text Same Paragraph"/>
    <w:basedOn w:val="LetTxtLetterText"/>
    <w:next w:val="LetTxtLetterText"/>
    <w:qFormat/>
    <w:rsid w:val="006D0014"/>
    <w:pPr>
      <w:ind w:firstLine="0"/>
    </w:pPr>
  </w:style>
  <w:style w:type="paragraph" w:customStyle="1" w:styleId="LetDateLetterDate">
    <w:name w:val="LetDate Letter Date"/>
    <w:basedOn w:val="LetTxtLetterText"/>
    <w:rsid w:val="006D0014"/>
    <w:pPr>
      <w:spacing w:before="360"/>
      <w:jc w:val="right"/>
    </w:pPr>
  </w:style>
  <w:style w:type="paragraph" w:customStyle="1" w:styleId="LetEndEndLetter">
    <w:name w:val="LetEnd End Letter"/>
    <w:basedOn w:val="OthConBegBeginOtherContainer"/>
    <w:qFormat/>
    <w:rsid w:val="006D0014"/>
  </w:style>
  <w:style w:type="paragraph" w:customStyle="1" w:styleId="LetSalLetterSalutation">
    <w:name w:val="LetSal Letter Salutation"/>
    <w:basedOn w:val="LetTxtLetterText"/>
    <w:rsid w:val="006D0014"/>
  </w:style>
  <w:style w:type="paragraph" w:customStyle="1" w:styleId="LgndLegendguidetointerpretingfigure">
    <w:name w:val="Lgnd Legend (guide to interpreting figure)"/>
    <w:basedOn w:val="CaptCaptiondescription"/>
    <w:qFormat/>
    <w:rsid w:val="006D0014"/>
    <w:pPr>
      <w:spacing w:after="240"/>
      <w:ind w:left="5760" w:right="0"/>
      <w:contextualSpacing/>
    </w:pPr>
    <w:rPr>
      <w:rFonts w:cs="Arial"/>
      <w:color w:val="7030A0"/>
    </w:rPr>
  </w:style>
  <w:style w:type="paragraph" w:customStyle="1" w:styleId="NLNumberedList">
    <w:name w:val="NL Numbered List"/>
    <w:basedOn w:val="BLBulletList"/>
    <w:qFormat/>
    <w:rsid w:val="006D0014"/>
    <w:pPr>
      <w:tabs>
        <w:tab w:val="clear" w:pos="240"/>
        <w:tab w:val="clear" w:pos="960"/>
        <w:tab w:val="left" w:pos="480"/>
      </w:tabs>
      <w:ind w:left="1200" w:hanging="480"/>
    </w:pPr>
  </w:style>
  <w:style w:type="paragraph" w:customStyle="1" w:styleId="LLLetteredList">
    <w:name w:val="LL Lettered List"/>
    <w:basedOn w:val="NLNumberedList"/>
    <w:qFormat/>
    <w:rsid w:val="006D0014"/>
  </w:style>
  <w:style w:type="paragraph" w:customStyle="1" w:styleId="MargNMarginalNote">
    <w:name w:val="MargN Marginal Note"/>
    <w:basedOn w:val="TxtBodyText"/>
    <w:qFormat/>
    <w:rsid w:val="006D0014"/>
    <w:pPr>
      <w:ind w:left="-720"/>
    </w:pPr>
  </w:style>
  <w:style w:type="paragraph" w:customStyle="1" w:styleId="MCLMultiColumnList">
    <w:name w:val="MCL MultiColumn List"/>
    <w:basedOn w:val="Normal"/>
    <w:qFormat/>
    <w:rsid w:val="006D0014"/>
    <w:pPr>
      <w:widowControl w:val="0"/>
      <w:tabs>
        <w:tab w:val="left" w:pos="1440"/>
        <w:tab w:val="left" w:pos="5040"/>
      </w:tabs>
      <w:spacing w:line="560" w:lineRule="exact"/>
      <w:ind w:left="3600" w:hanging="2880"/>
    </w:pPr>
    <w:rPr>
      <w:sz w:val="24"/>
    </w:rPr>
  </w:style>
  <w:style w:type="paragraph" w:styleId="NoSpacing">
    <w:name w:val="No Spacing"/>
    <w:uiPriority w:val="1"/>
    <w:qFormat/>
    <w:rsid w:val="006D0014"/>
    <w:pPr>
      <w:spacing w:after="0" w:line="240" w:lineRule="auto"/>
    </w:pPr>
    <w:rPr>
      <w:rFonts w:ascii="Calibri" w:eastAsia="Calibri" w:hAnsi="Calibri" w:cs="Times New Roman"/>
      <w:lang w:val="fr-CA"/>
    </w:rPr>
  </w:style>
  <w:style w:type="paragraph" w:customStyle="1" w:styleId="NoteCNoteContinued">
    <w:name w:val="NoteC Note Continued"/>
    <w:basedOn w:val="ENEndnote"/>
    <w:rsid w:val="006D0014"/>
    <w:rPr>
      <w:rFonts w:eastAsia="MS Mincho"/>
    </w:rPr>
  </w:style>
  <w:style w:type="paragraph" w:customStyle="1" w:styleId="NoteComplexBegin">
    <w:name w:val="NoteComplexBegin"/>
    <w:basedOn w:val="AppBegBeginAppendix"/>
    <w:rsid w:val="006D0014"/>
  </w:style>
  <w:style w:type="paragraph" w:customStyle="1" w:styleId="NoteComplexEnd">
    <w:name w:val="NoteComplexEnd"/>
    <w:basedOn w:val="AppEndEndAppendix"/>
    <w:rsid w:val="006D0014"/>
  </w:style>
  <w:style w:type="character" w:customStyle="1" w:styleId="NumLetLabelNumberorLetterofaNumberedorLetteredParagraph">
    <w:name w:val="NumLetLabel Number or Letter of a Numbered or Lettered Paragraph"/>
    <w:uiPriority w:val="1"/>
    <w:qFormat/>
    <w:rsid w:val="006D0014"/>
    <w:rPr>
      <w:b/>
      <w:color w:val="auto"/>
      <w:u w:val="double"/>
    </w:rPr>
  </w:style>
  <w:style w:type="paragraph" w:customStyle="1" w:styleId="NumLetPara1First-LevelNumberedorLetteredParagraph">
    <w:name w:val="NumLetPara1 First-Level Numbered or Lettered Paragraph"/>
    <w:basedOn w:val="TxtBodyText"/>
    <w:qFormat/>
    <w:rsid w:val="006D0014"/>
    <w:pPr>
      <w:tabs>
        <w:tab w:val="left" w:pos="720"/>
        <w:tab w:val="left" w:pos="1440"/>
      </w:tabs>
      <w:spacing w:after="120" w:line="400" w:lineRule="exact"/>
      <w:ind w:firstLine="0"/>
    </w:pPr>
  </w:style>
  <w:style w:type="paragraph" w:customStyle="1" w:styleId="NumLetPara1ContContinuationofFirst-LevelNumberedorLetteredParagraphGroup">
    <w:name w:val="NumLetPara1Cont Continuation of First-Level Numbered or Lettered Paragraph Group"/>
    <w:basedOn w:val="NumLetPara1First-LevelNumberedorLetteredParagraph"/>
    <w:qFormat/>
    <w:rsid w:val="006D0014"/>
    <w:pPr>
      <w:tabs>
        <w:tab w:val="clear" w:pos="720"/>
        <w:tab w:val="clear" w:pos="1440"/>
      </w:tabs>
      <w:ind w:firstLine="720"/>
    </w:pPr>
  </w:style>
  <w:style w:type="paragraph" w:customStyle="1" w:styleId="NumLetPara2Second-LevelNumberedorLetteredParagraph">
    <w:name w:val="NumLetPara2 Second-Level Numbered or Lettered Paragraph"/>
    <w:basedOn w:val="NumLetPara1First-LevelNumberedorLetteredParagraph"/>
    <w:qFormat/>
    <w:rsid w:val="006D0014"/>
    <w:pPr>
      <w:tabs>
        <w:tab w:val="clear" w:pos="720"/>
        <w:tab w:val="left" w:pos="2160"/>
      </w:tabs>
      <w:ind w:left="720"/>
    </w:pPr>
  </w:style>
  <w:style w:type="paragraph" w:customStyle="1" w:styleId="NumLetPara2ContContinuationofSecond-LevelNumberedorLetteredParagraphGroup">
    <w:name w:val="NumLetPara2Cont Continuation of Second-Level Numbered or Lettered Paragraph Group"/>
    <w:basedOn w:val="NumLetPara2Second-LevelNumberedorLetteredParagraph"/>
    <w:qFormat/>
    <w:rsid w:val="006D0014"/>
    <w:pPr>
      <w:tabs>
        <w:tab w:val="clear" w:pos="1440"/>
        <w:tab w:val="clear" w:pos="2160"/>
      </w:tabs>
      <w:ind w:firstLine="720"/>
    </w:pPr>
  </w:style>
  <w:style w:type="paragraph" w:customStyle="1" w:styleId="NumLetPara3Third-LevelNumberedorLetteredParagraph">
    <w:name w:val="NumLetPara3 Third-Level Numbered or Lettered Paragraph"/>
    <w:basedOn w:val="NumLetPara2Second-LevelNumberedorLetteredParagraph"/>
    <w:qFormat/>
    <w:rsid w:val="006D0014"/>
    <w:pPr>
      <w:tabs>
        <w:tab w:val="clear" w:pos="1440"/>
        <w:tab w:val="left" w:pos="2880"/>
      </w:tabs>
      <w:ind w:left="1440"/>
    </w:pPr>
  </w:style>
  <w:style w:type="paragraph" w:customStyle="1" w:styleId="NumLetPara3ContContinuationofThird-LevelNumberedorLetteredParagraphGroup">
    <w:name w:val="NumLetPara3Cont Continuation of Third-Level Numbered or Lettered Paragraph Group"/>
    <w:basedOn w:val="NumLetPara3Third-LevelNumberedorLetteredParagraph"/>
    <w:qFormat/>
    <w:rsid w:val="006D0014"/>
    <w:pPr>
      <w:tabs>
        <w:tab w:val="clear" w:pos="2160"/>
        <w:tab w:val="clear" w:pos="2880"/>
      </w:tabs>
      <w:ind w:firstLine="720"/>
    </w:pPr>
  </w:style>
  <w:style w:type="paragraph" w:customStyle="1" w:styleId="NumParaSectBegBeginNumberedParagraphSection">
    <w:name w:val="NumParaSectBeg Begin Numbered Paragraph Section"/>
    <w:qFormat/>
    <w:rsid w:val="006D0014"/>
    <w:pPr>
      <w:shd w:val="pct25" w:color="auto" w:fill="auto"/>
      <w:spacing w:before="120" w:after="120" w:line="240" w:lineRule="auto"/>
    </w:pPr>
    <w:rPr>
      <w:rFonts w:ascii="Times New Roman" w:eastAsia="Times New Roman" w:hAnsi="Times New Roman" w:cs="Times New Roman"/>
      <w:sz w:val="24"/>
      <w:szCs w:val="20"/>
      <w:lang w:val="en-US"/>
    </w:rPr>
  </w:style>
  <w:style w:type="paragraph" w:customStyle="1" w:styleId="NumParaSectEndEndNumberedParagraphSection">
    <w:name w:val="NumParaSectEnd End Numbered Paragraph Section"/>
    <w:basedOn w:val="NumParaSectBegBeginNumberedParagraphSection"/>
    <w:qFormat/>
    <w:rsid w:val="006D0014"/>
  </w:style>
  <w:style w:type="character" w:customStyle="1" w:styleId="object">
    <w:name w:val="object"/>
    <w:basedOn w:val="DefaultParagraphFont"/>
    <w:rsid w:val="006D0014"/>
  </w:style>
  <w:style w:type="paragraph" w:customStyle="1" w:styleId="OL1OutlineListLevel1">
    <w:name w:val="OL1 Outline List Level 1"/>
    <w:basedOn w:val="TxtBodyText"/>
    <w:rsid w:val="006D0014"/>
    <w:pPr>
      <w:tabs>
        <w:tab w:val="right" w:pos="547"/>
      </w:tabs>
      <w:spacing w:before="120" w:after="120"/>
      <w:ind w:left="720" w:hanging="720"/>
    </w:pPr>
  </w:style>
  <w:style w:type="paragraph" w:customStyle="1" w:styleId="OL2OutlineListLevel2">
    <w:name w:val="OL2 Outline List Level 2"/>
    <w:basedOn w:val="OL1OutlineListLevel1"/>
    <w:rsid w:val="006D0014"/>
    <w:pPr>
      <w:tabs>
        <w:tab w:val="clear" w:pos="547"/>
        <w:tab w:val="right" w:pos="1267"/>
      </w:tabs>
      <w:spacing w:before="0"/>
      <w:ind w:left="1440"/>
    </w:pPr>
  </w:style>
  <w:style w:type="paragraph" w:customStyle="1" w:styleId="OL3OutlineListLevel3">
    <w:name w:val="OL3 Outline List Level 3"/>
    <w:basedOn w:val="OL1OutlineListLevel1"/>
    <w:rsid w:val="006D0014"/>
    <w:pPr>
      <w:tabs>
        <w:tab w:val="clear" w:pos="547"/>
        <w:tab w:val="right" w:pos="1872"/>
      </w:tabs>
      <w:spacing w:before="0"/>
      <w:ind w:left="2160"/>
    </w:pPr>
  </w:style>
  <w:style w:type="paragraph" w:customStyle="1" w:styleId="OL4OutlineListLevel4">
    <w:name w:val="OL4 Outline List Level 4"/>
    <w:basedOn w:val="OL1OutlineListLevel1"/>
    <w:rsid w:val="006D0014"/>
    <w:pPr>
      <w:tabs>
        <w:tab w:val="clear" w:pos="547"/>
        <w:tab w:val="right" w:pos="2592"/>
      </w:tabs>
      <w:spacing w:before="0"/>
      <w:ind w:left="2880"/>
    </w:pPr>
  </w:style>
  <w:style w:type="paragraph" w:customStyle="1" w:styleId="OthConEndEndOtherContainer">
    <w:name w:val="OthConEnd End Other Container"/>
    <w:basedOn w:val="NotesEndEndNotes"/>
    <w:qFormat/>
    <w:rsid w:val="006D0014"/>
  </w:style>
  <w:style w:type="character" w:customStyle="1" w:styleId="OthInsCOOtherInsertCallout">
    <w:name w:val="OthInsCO Other Insert Callout"/>
    <w:rsid w:val="006D0014"/>
    <w:rPr>
      <w:rFonts w:ascii="Helvetica" w:hAnsi="Helvetica"/>
      <w:b/>
      <w:sz w:val="24"/>
      <w:bdr w:val="none" w:sz="0" w:space="0" w:color="auto"/>
      <w:shd w:val="pct50" w:color="000080" w:fill="auto"/>
    </w:rPr>
  </w:style>
  <w:style w:type="character" w:customStyle="1" w:styleId="OthInsMenOtherInsertMention">
    <w:name w:val="OthInsMen Other Insert Mention"/>
    <w:rsid w:val="006D0014"/>
    <w:rPr>
      <w:color w:val="215868"/>
      <w:u w:val="single"/>
    </w:rPr>
  </w:style>
  <w:style w:type="paragraph" w:customStyle="1" w:styleId="Paragraphe">
    <w:name w:val="Paragraphe"/>
    <w:basedOn w:val="Normal"/>
    <w:qFormat/>
    <w:rsid w:val="006D0014"/>
    <w:pPr>
      <w:spacing w:before="120" w:after="120" w:line="360" w:lineRule="auto"/>
      <w:ind w:firstLine="709"/>
      <w:jc w:val="both"/>
    </w:pPr>
    <w:rPr>
      <w:sz w:val="24"/>
      <w:lang w:eastAsia="fr-FR"/>
    </w:rPr>
  </w:style>
  <w:style w:type="paragraph" w:customStyle="1" w:styleId="ProTxtProtectedText">
    <w:name w:val="ProTxt Protected Text"/>
    <w:basedOn w:val="Normal"/>
    <w:qFormat/>
    <w:rsid w:val="006D0014"/>
    <w:pPr>
      <w:shd w:val="pct15" w:color="auto" w:fill="auto"/>
      <w:spacing w:line="360" w:lineRule="exact"/>
    </w:pPr>
    <w:rPr>
      <w:sz w:val="24"/>
    </w:rPr>
  </w:style>
  <w:style w:type="paragraph" w:customStyle="1" w:styleId="PullQtPullQuote">
    <w:name w:val="PullQt Pull Quote"/>
    <w:basedOn w:val="Normal"/>
    <w:qFormat/>
    <w:rsid w:val="006D0014"/>
    <w:pPr>
      <w:pBdr>
        <w:top w:val="single" w:sz="24" w:space="6" w:color="auto"/>
        <w:bottom w:val="single" w:sz="24" w:space="6" w:color="auto"/>
      </w:pBdr>
      <w:spacing w:before="120" w:after="120" w:line="360" w:lineRule="exact"/>
      <w:ind w:left="2880" w:right="2880"/>
    </w:pPr>
    <w:rPr>
      <w:rFonts w:ascii="Arial" w:hAnsi="Arial"/>
      <w:b/>
      <w:sz w:val="28"/>
    </w:rPr>
  </w:style>
  <w:style w:type="paragraph" w:customStyle="1" w:styleId="RevHdReviewHeading">
    <w:name w:val="RevHd Review Heading"/>
    <w:basedOn w:val="Normal"/>
    <w:qFormat/>
    <w:rsid w:val="006D0014"/>
    <w:pPr>
      <w:spacing w:before="360" w:after="240" w:line="280" w:lineRule="exact"/>
      <w:ind w:left="2880"/>
    </w:pPr>
    <w:rPr>
      <w:rFonts w:ascii="Arial" w:hAnsi="Arial"/>
      <w:b/>
      <w:sz w:val="28"/>
    </w:rPr>
  </w:style>
  <w:style w:type="paragraph" w:customStyle="1" w:styleId="RevItemAuAuthorofReviewedItem">
    <w:name w:val="RevItemAu Author of Reviewed Item"/>
    <w:basedOn w:val="Normal"/>
    <w:qFormat/>
    <w:rsid w:val="006D0014"/>
    <w:pPr>
      <w:spacing w:line="280" w:lineRule="exact"/>
      <w:ind w:left="3600" w:hanging="720"/>
    </w:pPr>
    <w:rPr>
      <w:sz w:val="24"/>
    </w:rPr>
  </w:style>
  <w:style w:type="paragraph" w:customStyle="1" w:styleId="RevItemPubPublisherofReviewedItem">
    <w:name w:val="RevItemPub Publisher of Reviewed Item"/>
    <w:basedOn w:val="Normal"/>
    <w:qFormat/>
    <w:rsid w:val="006D0014"/>
    <w:pPr>
      <w:spacing w:line="280" w:lineRule="exact"/>
      <w:ind w:left="3600" w:hanging="720"/>
    </w:pPr>
    <w:rPr>
      <w:sz w:val="24"/>
    </w:rPr>
  </w:style>
  <w:style w:type="paragraph" w:customStyle="1" w:styleId="RevItemTTitleofReviewedItem">
    <w:name w:val="RevItemT Title of Reviewed Item"/>
    <w:basedOn w:val="Normal"/>
    <w:qFormat/>
    <w:rsid w:val="006D0014"/>
    <w:pPr>
      <w:spacing w:line="280" w:lineRule="exact"/>
      <w:ind w:left="3600" w:hanging="720"/>
    </w:pPr>
    <w:rPr>
      <w:b/>
      <w:sz w:val="24"/>
    </w:rPr>
  </w:style>
  <w:style w:type="paragraph" w:customStyle="1" w:styleId="RHdVVersoRunningHead">
    <w:name w:val="RHdV Verso Running Head"/>
    <w:basedOn w:val="Normal"/>
    <w:qFormat/>
    <w:rsid w:val="006D0014"/>
    <w:pPr>
      <w:spacing w:line="360" w:lineRule="exact"/>
      <w:jc w:val="center"/>
    </w:pPr>
    <w:rPr>
      <w:color w:val="5F497A"/>
      <w:sz w:val="24"/>
    </w:rPr>
  </w:style>
  <w:style w:type="paragraph" w:customStyle="1" w:styleId="RFtRRectoRunningFoot">
    <w:name w:val="RFtR Recto Running Foot"/>
    <w:basedOn w:val="RHdVVersoRunningHead"/>
    <w:qFormat/>
    <w:rsid w:val="006D0014"/>
    <w:rPr>
      <w:color w:val="D99594"/>
    </w:rPr>
  </w:style>
  <w:style w:type="paragraph" w:customStyle="1" w:styleId="RFtVVersoRunningFoot">
    <w:name w:val="RFtV Verso Running Foot"/>
    <w:basedOn w:val="RHdVVersoRunningHead"/>
    <w:qFormat/>
    <w:rsid w:val="006D0014"/>
    <w:rPr>
      <w:color w:val="B2A1C7"/>
    </w:rPr>
  </w:style>
  <w:style w:type="paragraph" w:customStyle="1" w:styleId="RHdRRectoRunningHead">
    <w:name w:val="RHdR Recto Running Head"/>
    <w:basedOn w:val="RHdVVersoRunningHead"/>
    <w:qFormat/>
    <w:rsid w:val="006D0014"/>
    <w:rPr>
      <w:color w:val="943634"/>
    </w:rPr>
  </w:style>
  <w:style w:type="character" w:customStyle="1" w:styleId="RIH1Run-InHeading1">
    <w:name w:val="RIH1 Run-In Heading 1"/>
    <w:qFormat/>
    <w:rsid w:val="006D0014"/>
    <w:rPr>
      <w:b/>
      <w:color w:val="7030A0"/>
    </w:rPr>
  </w:style>
  <w:style w:type="character" w:customStyle="1" w:styleId="RIH2Run-InHeading2">
    <w:name w:val="RIH2 Run-In Heading 2"/>
    <w:qFormat/>
    <w:rsid w:val="006D0014"/>
    <w:rPr>
      <w:b/>
      <w:color w:val="7030A0"/>
      <w:u w:val="dottedHeavy"/>
    </w:rPr>
  </w:style>
  <w:style w:type="paragraph" w:customStyle="1" w:styleId="RvwrReviewer">
    <w:name w:val="Rvwr Reviewer"/>
    <w:basedOn w:val="Normal"/>
    <w:qFormat/>
    <w:rsid w:val="006D0014"/>
    <w:pPr>
      <w:spacing w:before="120" w:after="120" w:line="280" w:lineRule="exact"/>
      <w:ind w:left="3600" w:hanging="720"/>
    </w:pPr>
    <w:rPr>
      <w:color w:val="7030A0"/>
      <w:sz w:val="24"/>
    </w:rPr>
  </w:style>
  <w:style w:type="paragraph" w:customStyle="1" w:styleId="SBSpaceBreak">
    <w:name w:val="SB Space Break"/>
    <w:basedOn w:val="TxtBodyText"/>
    <w:rsid w:val="006D0014"/>
    <w:pPr>
      <w:shd w:val="pct20" w:color="auto" w:fill="FFFFFF"/>
      <w:jc w:val="center"/>
    </w:pPr>
  </w:style>
  <w:style w:type="paragraph" w:customStyle="1" w:styleId="SectTSectionTitle">
    <w:name w:val="SectT Section Title"/>
    <w:basedOn w:val="Normal"/>
    <w:rsid w:val="006D0014"/>
    <w:pPr>
      <w:keepNext/>
      <w:keepLines/>
      <w:spacing w:before="720" w:line="560" w:lineRule="exact"/>
      <w:jc w:val="center"/>
    </w:pPr>
    <w:rPr>
      <w:rFonts w:ascii="Arial" w:hAnsi="Arial"/>
      <w:sz w:val="48"/>
    </w:rPr>
  </w:style>
  <w:style w:type="paragraph" w:customStyle="1" w:styleId="SectSTSectionSubtitle">
    <w:name w:val="SectST Section Subtitle"/>
    <w:basedOn w:val="SectTSectionTitle"/>
    <w:rsid w:val="006D0014"/>
    <w:pPr>
      <w:keepNext w:val="0"/>
      <w:spacing w:before="360"/>
    </w:pPr>
    <w:rPr>
      <w:sz w:val="36"/>
    </w:rPr>
  </w:style>
  <w:style w:type="paragraph" w:customStyle="1" w:styleId="SectITSectionIntroTitle">
    <w:name w:val="SectIT Section Intro Title"/>
    <w:basedOn w:val="SectSTSectionSubtitle"/>
    <w:qFormat/>
    <w:rsid w:val="006D0014"/>
    <w:pPr>
      <w:keepNext/>
    </w:pPr>
    <w:rPr>
      <w:sz w:val="28"/>
    </w:rPr>
  </w:style>
  <w:style w:type="paragraph" w:customStyle="1" w:styleId="SeeorSeeAlsoreferenceinindex">
    <w:name w:val="See or See Also reference in index"/>
    <w:basedOn w:val="Ind1IndexMainEntry"/>
    <w:qFormat/>
    <w:rsid w:val="006D0014"/>
    <w:pPr>
      <w:ind w:hanging="1080"/>
    </w:pPr>
    <w:rPr>
      <w:color w:val="943634"/>
    </w:rPr>
  </w:style>
  <w:style w:type="paragraph" w:customStyle="1" w:styleId="SeeAlsoSubSeeorSeeAlsoIndexEntry">
    <w:name w:val="SeeAlsoSub See or See Also Index Entry"/>
    <w:basedOn w:val="Ind1IndexMainEntry"/>
    <w:next w:val="Ind1IndexMainEntry"/>
    <w:qFormat/>
    <w:rsid w:val="006D0014"/>
    <w:pPr>
      <w:ind w:left="1077" w:hanging="1077"/>
    </w:pPr>
    <w:rPr>
      <w:color w:val="943634"/>
    </w:rPr>
  </w:style>
  <w:style w:type="paragraph" w:customStyle="1" w:styleId="SLSublist">
    <w:name w:val="SL Sublist"/>
    <w:basedOn w:val="BLBulletList"/>
    <w:rsid w:val="006D0014"/>
    <w:pPr>
      <w:tabs>
        <w:tab w:val="clear" w:pos="960"/>
      </w:tabs>
      <w:ind w:left="1920"/>
    </w:pPr>
  </w:style>
  <w:style w:type="character" w:customStyle="1" w:styleId="SpchSpeech">
    <w:name w:val="Spch Speech"/>
    <w:qFormat/>
    <w:rsid w:val="006D0014"/>
    <w:rPr>
      <w:color w:val="365F91"/>
    </w:rPr>
  </w:style>
  <w:style w:type="paragraph" w:customStyle="1" w:styleId="SpDispTxt">
    <w:name w:val="SpDispTxt"/>
    <w:basedOn w:val="TxtBodyText"/>
    <w:qFormat/>
    <w:rsid w:val="006D0014"/>
    <w:rPr>
      <w:rFonts w:ascii="Arial" w:hAnsi="Arial"/>
      <w:color w:val="00B050"/>
      <w:sz w:val="28"/>
    </w:rPr>
  </w:style>
  <w:style w:type="paragraph" w:customStyle="1" w:styleId="SpExSpecialExtract">
    <w:name w:val="SpEx Special Extract"/>
    <w:basedOn w:val="Normal"/>
    <w:rsid w:val="006D0014"/>
    <w:pPr>
      <w:spacing w:before="360" w:after="360" w:line="400" w:lineRule="exact"/>
      <w:ind w:left="720" w:right="720"/>
      <w:contextualSpacing/>
    </w:pPr>
    <w:rPr>
      <w:color w:val="00B050"/>
      <w:sz w:val="24"/>
    </w:rPr>
  </w:style>
  <w:style w:type="paragraph" w:customStyle="1" w:styleId="SpH1SpecialHeading1">
    <w:name w:val="SpH1 Special Heading 1"/>
    <w:basedOn w:val="TxtBodyText"/>
    <w:rsid w:val="006D0014"/>
    <w:pPr>
      <w:spacing w:before="360" w:after="120"/>
    </w:pPr>
    <w:rPr>
      <w:b/>
      <w:color w:val="00B050"/>
      <w:sz w:val="32"/>
    </w:rPr>
  </w:style>
  <w:style w:type="paragraph" w:customStyle="1" w:styleId="SpH2SpecialHeading2">
    <w:name w:val="SpH2 Special Heading 2"/>
    <w:basedOn w:val="SpH1SpecialHeading1"/>
    <w:rsid w:val="006D0014"/>
    <w:rPr>
      <w:sz w:val="28"/>
    </w:rPr>
  </w:style>
  <w:style w:type="paragraph" w:customStyle="1" w:styleId="SpH3SpecialHeading3">
    <w:name w:val="SpH3 Special Heading 3"/>
    <w:basedOn w:val="SpH2SpecialHeading2"/>
    <w:rsid w:val="006D0014"/>
    <w:pPr>
      <w:spacing w:before="240" w:after="0"/>
      <w:ind w:left="1440"/>
    </w:pPr>
    <w:rPr>
      <w:sz w:val="24"/>
    </w:rPr>
  </w:style>
  <w:style w:type="character" w:customStyle="1" w:styleId="SpkrSpeaker">
    <w:name w:val="Spkr Speaker"/>
    <w:qFormat/>
    <w:rsid w:val="006D0014"/>
    <w:rPr>
      <w:smallCaps/>
      <w:color w:val="E36C0A"/>
    </w:rPr>
  </w:style>
  <w:style w:type="paragraph" w:customStyle="1" w:styleId="SpParaSpecialParagraph">
    <w:name w:val="SpPara Special Paragraph"/>
    <w:basedOn w:val="TxtBodyText"/>
    <w:rsid w:val="006D0014"/>
    <w:rPr>
      <w:color w:val="00B050"/>
    </w:rPr>
  </w:style>
  <w:style w:type="character" w:customStyle="1" w:styleId="SpRIHSpecialRun-InHeading">
    <w:name w:val="SpRIH Special Run-In Heading"/>
    <w:qFormat/>
    <w:rsid w:val="006D0014"/>
    <w:rPr>
      <w:b/>
      <w:color w:val="00B050"/>
    </w:rPr>
  </w:style>
  <w:style w:type="character" w:customStyle="1" w:styleId="SpTxtSpecialTextWithinParagraph">
    <w:name w:val="SpTxt Special Text Within Paragraph"/>
    <w:qFormat/>
    <w:rsid w:val="006D0014"/>
    <w:rPr>
      <w:color w:val="00B050"/>
    </w:rPr>
  </w:style>
  <w:style w:type="paragraph" w:customStyle="1" w:styleId="SSLSubsublist">
    <w:name w:val="SSL Subsublist"/>
    <w:basedOn w:val="SLSublist"/>
    <w:qFormat/>
    <w:rsid w:val="006D0014"/>
    <w:pPr>
      <w:ind w:left="2160"/>
    </w:pPr>
  </w:style>
  <w:style w:type="paragraph" w:customStyle="1" w:styleId="StDirStageDirection">
    <w:name w:val="StDir Stage Direction"/>
    <w:basedOn w:val="Normal"/>
    <w:next w:val="AckAcknowledgements"/>
    <w:qFormat/>
    <w:rsid w:val="006D0014"/>
    <w:pPr>
      <w:ind w:left="720"/>
      <w:jc w:val="right"/>
    </w:pPr>
    <w:rPr>
      <w:i/>
      <w:color w:val="984806"/>
    </w:rPr>
  </w:style>
  <w:style w:type="character" w:customStyle="1" w:styleId="StDirInTxtStageDirectioninText">
    <w:name w:val="StDirInTxt Stage Direction in Text"/>
    <w:qFormat/>
    <w:rsid w:val="006D0014"/>
    <w:rPr>
      <w:i/>
      <w:color w:val="984806"/>
    </w:rPr>
  </w:style>
  <w:style w:type="table" w:styleId="TableGrid">
    <w:name w:val="Table Grid"/>
    <w:basedOn w:val="TableNormal"/>
    <w:rsid w:val="006D0014"/>
    <w:pPr>
      <w:spacing w:after="0" w:line="240" w:lineRule="auto"/>
    </w:pPr>
    <w:rPr>
      <w:rFonts w:ascii="Times New Roman" w:eastAsia="Times New Roman" w:hAnsi="Times New Roman" w:cs="Times New Roman"/>
      <w:sz w:val="20"/>
      <w:szCs w:val="20"/>
      <w:lang w:val="en-US" w:eastAsia="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ableofAuthorities">
    <w:name w:val="table of authorities"/>
    <w:basedOn w:val="Normal"/>
    <w:next w:val="Normal"/>
    <w:semiHidden/>
    <w:rsid w:val="006D0014"/>
    <w:pPr>
      <w:ind w:left="200" w:hanging="200"/>
    </w:pPr>
  </w:style>
  <w:style w:type="paragraph" w:styleId="TableofFigures">
    <w:name w:val="table of figures"/>
    <w:basedOn w:val="Normal"/>
    <w:next w:val="Normal"/>
    <w:semiHidden/>
    <w:rsid w:val="006D0014"/>
    <w:pPr>
      <w:ind w:left="400" w:hanging="400"/>
    </w:pPr>
  </w:style>
  <w:style w:type="paragraph" w:customStyle="1" w:styleId="TBTableBody">
    <w:name w:val="TB Table Body"/>
    <w:basedOn w:val="Normal"/>
    <w:rsid w:val="006D0014"/>
    <w:pPr>
      <w:ind w:left="187" w:hanging="187"/>
    </w:pPr>
    <w:rPr>
      <w:sz w:val="24"/>
    </w:rPr>
  </w:style>
  <w:style w:type="character" w:customStyle="1" w:styleId="TblCOTableCallout">
    <w:name w:val="TblCO Table Callout"/>
    <w:rsid w:val="006D0014"/>
    <w:rPr>
      <w:rFonts w:ascii="Times New Roman" w:hAnsi="Times New Roman"/>
      <w:b w:val="0"/>
      <w:sz w:val="24"/>
      <w:bdr w:val="none" w:sz="0" w:space="0" w:color="auto"/>
      <w:shd w:val="pct50" w:color="FFFFFF" w:fill="800080"/>
    </w:rPr>
  </w:style>
  <w:style w:type="character" w:customStyle="1" w:styleId="TblMenTableMention">
    <w:name w:val="TblMen Table Mention"/>
    <w:rsid w:val="006D0014"/>
    <w:rPr>
      <w:color w:val="800080"/>
      <w:u w:val="single"/>
    </w:rPr>
  </w:style>
  <w:style w:type="paragraph" w:customStyle="1" w:styleId="TCHTableColumnHead">
    <w:name w:val="TCH Table Column Head"/>
    <w:basedOn w:val="Normal"/>
    <w:rsid w:val="006D0014"/>
    <w:rPr>
      <w:rFonts w:ascii="Arial" w:hAnsi="Arial"/>
      <w:b/>
      <w:sz w:val="24"/>
    </w:rPr>
  </w:style>
  <w:style w:type="paragraph" w:customStyle="1" w:styleId="TestBegBeginTestSection">
    <w:name w:val="TestBeg Begin Test Section"/>
    <w:basedOn w:val="NotesBegBeginNotes"/>
    <w:qFormat/>
    <w:rsid w:val="006D0014"/>
  </w:style>
  <w:style w:type="paragraph" w:customStyle="1" w:styleId="TestEndEndTestSection">
    <w:name w:val="TestEnd End Test Section"/>
    <w:basedOn w:val="NotesEndEndNotes"/>
    <w:qFormat/>
    <w:rsid w:val="006D0014"/>
    <w:pPr>
      <w:ind w:left="720" w:hanging="720"/>
    </w:pPr>
  </w:style>
  <w:style w:type="paragraph" w:customStyle="1" w:styleId="TIHTableInternalHead">
    <w:name w:val="TIH Table Internal Head"/>
    <w:basedOn w:val="Normal"/>
    <w:rsid w:val="006D0014"/>
    <w:pPr>
      <w:tabs>
        <w:tab w:val="left" w:pos="2218"/>
        <w:tab w:val="left" w:pos="6667"/>
      </w:tabs>
      <w:ind w:left="187" w:hanging="187"/>
    </w:pPr>
    <w:rPr>
      <w:rFonts w:ascii="Arial" w:hAnsi="Arial"/>
      <w:sz w:val="24"/>
    </w:rPr>
  </w:style>
  <w:style w:type="character" w:customStyle="1" w:styleId="TNTableNumber">
    <w:name w:val="TN Table Number"/>
    <w:qFormat/>
    <w:rsid w:val="006D0014"/>
    <w:rPr>
      <w:b/>
      <w:i/>
    </w:rPr>
  </w:style>
  <w:style w:type="paragraph" w:styleId="TOC8">
    <w:name w:val="toc 8"/>
    <w:basedOn w:val="Normal"/>
    <w:next w:val="Normal"/>
    <w:autoRedefine/>
    <w:semiHidden/>
    <w:rsid w:val="006D0014"/>
    <w:pPr>
      <w:ind w:left="1400"/>
    </w:pPr>
  </w:style>
  <w:style w:type="paragraph" w:customStyle="1" w:styleId="TransBegBeginTranslation">
    <w:name w:val="TransBeg Begin Translation"/>
    <w:basedOn w:val="OthConBegBeginOtherContainer"/>
    <w:qFormat/>
    <w:rsid w:val="006D0014"/>
  </w:style>
  <w:style w:type="paragraph" w:customStyle="1" w:styleId="TransEndEndTranslation">
    <w:name w:val="TransEnd End Translation"/>
    <w:basedOn w:val="OthConBegBeginOtherContainer"/>
    <w:qFormat/>
    <w:rsid w:val="006D0014"/>
  </w:style>
  <w:style w:type="paragraph" w:customStyle="1" w:styleId="TSrcTableSource">
    <w:name w:val="TSrc Table Source"/>
    <w:basedOn w:val="SrcSourceorCreditLine"/>
    <w:rsid w:val="006D0014"/>
  </w:style>
  <w:style w:type="paragraph" w:customStyle="1" w:styleId="TSTTableSubtitle">
    <w:name w:val="TST Table Subtitle"/>
    <w:basedOn w:val="Normal"/>
    <w:qFormat/>
    <w:rsid w:val="006D0014"/>
    <w:pPr>
      <w:jc w:val="center"/>
    </w:pPr>
    <w:rPr>
      <w:rFonts w:ascii="Arial" w:hAnsi="Arial"/>
    </w:rPr>
  </w:style>
  <w:style w:type="paragraph" w:customStyle="1" w:styleId="TStbHTableStubHead">
    <w:name w:val="TStbH Table Stub Head"/>
    <w:basedOn w:val="Normal"/>
    <w:rsid w:val="006D0014"/>
    <w:pPr>
      <w:ind w:left="187" w:hanging="187"/>
    </w:pPr>
    <w:rPr>
      <w:b/>
      <w:sz w:val="24"/>
    </w:rPr>
  </w:style>
  <w:style w:type="paragraph" w:customStyle="1" w:styleId="TTTableTitle">
    <w:name w:val="TT Table Title"/>
    <w:basedOn w:val="Normal"/>
    <w:rsid w:val="006D0014"/>
    <w:pPr>
      <w:keepNext/>
      <w:jc w:val="center"/>
      <w:outlineLvl w:val="0"/>
    </w:pPr>
    <w:rPr>
      <w:rFonts w:ascii="Arial" w:eastAsia="MS Mincho" w:hAnsi="Arial"/>
      <w:iCs/>
      <w:color w:val="000000"/>
      <w:sz w:val="22"/>
      <w:szCs w:val="24"/>
    </w:rPr>
  </w:style>
  <w:style w:type="paragraph" w:customStyle="1" w:styleId="Txt2ColumnTwoColumnText">
    <w:name w:val="Txt2Column Two Column Text"/>
    <w:basedOn w:val="TxtBodyText"/>
    <w:qFormat/>
    <w:rsid w:val="006D0014"/>
    <w:pPr>
      <w:ind w:right="4320"/>
    </w:pPr>
  </w:style>
  <w:style w:type="paragraph" w:customStyle="1" w:styleId="ULUnnumberedList">
    <w:name w:val="UL Unnumbered List"/>
    <w:basedOn w:val="LLLetteredList"/>
    <w:qFormat/>
    <w:rsid w:val="006D0014"/>
    <w:pPr>
      <w:tabs>
        <w:tab w:val="clear" w:pos="480"/>
      </w:tabs>
    </w:pPr>
  </w:style>
  <w:style w:type="character" w:customStyle="1" w:styleId="URL">
    <w:name w:val="URL"/>
    <w:qFormat/>
    <w:rsid w:val="006D0014"/>
    <w:rPr>
      <w:color w:val="FF0000"/>
      <w:u w:val="single" w:color="FF0000"/>
    </w:rPr>
  </w:style>
  <w:style w:type="paragraph" w:customStyle="1" w:styleId="VrsVerse">
    <w:name w:val="Vrs Verse"/>
    <w:basedOn w:val="TxtBodyText"/>
    <w:rsid w:val="006D0014"/>
    <w:pPr>
      <w:spacing w:after="240"/>
      <w:ind w:left="2880" w:hanging="1440"/>
      <w:contextualSpacing/>
    </w:pPr>
  </w:style>
  <w:style w:type="paragraph" w:customStyle="1" w:styleId="VrsInVrsVerseNestedinVerse">
    <w:name w:val="VrsInVrs Verse Nested in Verse"/>
    <w:basedOn w:val="VrsVerse"/>
    <w:qFormat/>
    <w:rsid w:val="006D0014"/>
    <w:pPr>
      <w:spacing w:after="160"/>
      <w:ind w:left="4559"/>
    </w:pPr>
  </w:style>
  <w:style w:type="paragraph" w:customStyle="1" w:styleId="VStzaFirstLineofNewStanza">
    <w:name w:val="VStza First Line of New Stanza"/>
    <w:basedOn w:val="VrsVerse"/>
    <w:next w:val="VrsVerse"/>
    <w:qFormat/>
    <w:rsid w:val="006D0014"/>
    <w:pPr>
      <w:spacing w:before="240" w:after="0"/>
    </w:pPr>
  </w:style>
  <w:style w:type="paragraph" w:customStyle="1" w:styleId="VStzaInVrsFirstLineofVerseNestedinVerse">
    <w:name w:val="VStzaInVrs First Line of Verse Nested in Verse"/>
    <w:basedOn w:val="VrsVerse"/>
    <w:qFormat/>
    <w:rsid w:val="006D0014"/>
    <w:pPr>
      <w:spacing w:before="160" w:after="0"/>
      <w:ind w:left="4559"/>
    </w:pPr>
  </w:style>
  <w:style w:type="paragraph" w:customStyle="1" w:styleId="WhrLWhereList">
    <w:name w:val="WhrL Where List"/>
    <w:basedOn w:val="TxtBodyText"/>
    <w:rsid w:val="006D0014"/>
    <w:pPr>
      <w:tabs>
        <w:tab w:val="left" w:pos="2880"/>
      </w:tabs>
    </w:pPr>
    <w:rPr>
      <w:color w:val="7F7F7F"/>
    </w:rPr>
  </w:style>
  <w:style w:type="character" w:customStyle="1" w:styleId="XRefCrossreference">
    <w:name w:val="XRef Crossreference"/>
    <w:qFormat/>
    <w:rsid w:val="006D0014"/>
    <w:rPr>
      <w:color w:val="4BACC6"/>
      <w:u w:val="single" w:color="4BACC6"/>
    </w:rPr>
  </w:style>
  <w:style w:type="character" w:customStyle="1" w:styleId="Untag">
    <w:name w:val="Untag"/>
    <w:rsid w:val="006D0014"/>
  </w:style>
  <w:style w:type="paragraph" w:customStyle="1" w:styleId="FIG-LEG">
    <w:name w:val="FIG-LEG"/>
    <w:basedOn w:val="DFIG51"/>
    <w:qFormat/>
    <w:rsid w:val="006D0014"/>
    <w:pPr>
      <w:spacing w:before="100" w:beforeAutospacing="1" w:after="100" w:afterAutospacing="1" w:line="480" w:lineRule="auto"/>
      <w:ind w:left="360"/>
    </w:pPr>
  </w:style>
  <w:style w:type="paragraph" w:customStyle="1" w:styleId="T1">
    <w:name w:val="T1"/>
    <w:basedOn w:val="TAB51"/>
    <w:qFormat/>
    <w:rsid w:val="00996B16"/>
    <w:pPr>
      <w:spacing w:before="100" w:beforeAutospacing="1" w:after="100" w:afterAutospacing="1" w:line="480" w:lineRule="auto"/>
    </w:pPr>
  </w:style>
  <w:style w:type="paragraph" w:customStyle="1" w:styleId="TFN">
    <w:name w:val="TFN"/>
    <w:basedOn w:val="TXT"/>
    <w:qFormat/>
    <w:rsid w:val="00C10167"/>
    <w:pPr>
      <w:spacing w:line="480" w:lineRule="auto"/>
    </w:pPr>
  </w:style>
  <w:style w:type="character" w:styleId="PlaceholderText">
    <w:name w:val="Placeholder Text"/>
    <w:basedOn w:val="DefaultParagraphFont"/>
    <w:uiPriority w:val="99"/>
    <w:semiHidden/>
    <w:rsid w:val="00E957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7575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customXml" Target="../customXml/item7.xml"/><Relationship Id="rId12" Type="http://schemas.microsoft.com/office/2007/relationships/stylesWithEffects" Target="stylesWithEffect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numbering" Target="numbering.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ickarajt\AppData\Roaming\Microsoft\Templates\UTP.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E604488C-668A-4BAD-AE39-B88322DA250A}"/>
      </w:docPartPr>
      <w:docPartBody>
        <w:p w:rsidR="002A76B4" w:rsidRDefault="00447A41">
          <w:r w:rsidRPr="00C1027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00000001" w:usb1="5000607B"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7A41"/>
    <w:rsid w:val="001C165F"/>
    <w:rsid w:val="002A76B4"/>
    <w:rsid w:val="00447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7A41"/>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7A4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preedit xmlns="http://www.machineedit.net/AMOD/CustomXML/Pre-Edit.htm">[{"b-find":"CBC","e-paracontent":"Baseline Labs: Laboratory assessment should include complete blood count &lt;mark&gt;CBC&lt;\/mark&gt;) with differential, complete metabolic panel (CMP), lactate dehydrogenase (LDH), uric acid, prothrombin time (PT) / partial prothrombin time (PTT), fibrinogen, C-reactive protein (CRP),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therapies).","c-replace":[],"ab-name":"Pre-Edit","a-name":"Small_cap","g-rebookmarkname":"","i-wm":"CBC","d-description":"Abbreviations should be in small caps.","f-bookmark":"BMPRE_ME_Small_cap_100085"},{"b-find":"CMP","e-paracontent":"Baseline Labs: Laboratory assessment should include complete blood count (CBC) with differential, complete metabolic panel &lt;mark&gt;CMP&lt;\/mark&gt;), lactate dehydrogenase (LDH), uric acid, prothrombin time (PT) / partial prothrombin time (PTT), fibrinogen, C-reactive protein (CRP),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therapies).","c-replace":[],"ab-name":"Pre-Edit","a-name":"Small_cap","g-rebookmarkname":"","i-wm":"CMP","d-description":"Abbreviations should be in small caps.","f-bookmark":"BMPRE_ME_Small_cap_100086"},{"b-find":"LDH","e-paracontent":"Baseline Labs: Laboratory assessment should include complete blood count (CBC) with differential, complete metabolic panel (CMP), lactate dehydrogenase &lt;mark&gt;LDH&lt;\/mark&gt;), uric acid, prothrombin time (PT) / partial prothrombin time (PTT), fibrinogen, C-reactive protein (CRP),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therapies).","c-replace":[],"ab-name":"Pre-Edit","a-name":"Small_cap","g-rebookmarkname":"","i-wm":"LDH","d-description":"Abbreviations should be in small caps.","f-bookmark":"BMPRE_ME_Small_cap_100087"},{"b-find":"PT","e-paracontent":"Baseline Labs: Laboratory assessment should include complete blood count (CBC) with differential, complete metabolic panel (CMP), lactate dehydrogenase (LDH), uric acid, prothrombin time &lt;mark&gt;PT&lt;\/mark&gt;) / partial prothrombin time (PTT), fibrinogen, C-reactive protein (CRP),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therapies).","c-replace":[],"ab-name":"Pre-Edit","a-name":"Small_cap","g-rebookmarkname":"","i-wm":"PT","d-description":"Abbreviations should be in small caps.","f-bookmark":"BMPRE_ME_Small_cap_100088"},{"b-find":"PTT","e-paracontent":"Baseline Labs: Laboratory assessment should include complete blood count (CBC) with differential, complete metabolic panel (CMP), lactate dehydrogenase (LDH), uric acid, prothrombin time (PT) / partial prothrombin time &lt;mark&gt;PTT&lt;\/mark&gt;), fibrinogen, C-reactive protein (CRP),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therapies).","c-replace":[],"ab-name":"Pre-Edit","a-name":"Small_cap","g-rebookmarkname":"","i-wm":"PTT","d-description":"Abbreviations should be in small caps.","f-bookmark":"BMPRE_ME_Small_cap_100089"},{"b-find":"CRP","e-paracontent":"Baseline Labs: Laboratory assessment should include complete blood count (CBC) with differential, complete metabolic panel (CMP), lactate dehydrogenase (LDH), uric acid, prothrombin time (PT) / partial prothrombin time (PTT), fibrinogen, C-reactive protein &lt;mark&gt;CRP&lt;\/mark&gt;),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therapies).","c-replace":[],"ab-name":"Pre-Edit","a-name":"Small_cap","g-rebookmarkname":"","i-wm":"CRP","d-description":"Abbreviations should be in small caps.","f-bookmark":"BMPRE_ME_Small_cap_100090"},{"b-find":"TSH","e-paracontent":"Baseline Labs: Laboratory assessment should include complete blood count (CBC) with differential, complete metabolic panel (CMP), lactate dehydrogenase (LDH), uric acid, prothrombin time (PT) / partial prothrombin time (PTT), fibrinogen, C-reactive protein (CRP), ferritin, thyroid-stimulating hormone &lt;mark&gt;TSH&lt;\/mark&gt;)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therapies).","c-replace":[],"ab-name":"Pre-Edit","a-name":"Small_cap","g-rebookmarkname":"","i-wm":"TSH","d-description":"Abbreviations should be in small caps.","f-bookmark":"BMPRE_ME_Small_cap_100091"},{"b-find":"HSV","e-paracontent":"Infectious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&lt;mark&gt;HSV&lt;\/mark&gt;),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","c-replace":[],"ab-name":"Pre-Edit","a-name":"Small_cap","g-rebookmarkname":"","i-wm":"HSV","d-description":"Abbreviations should be in small caps.","f-bookmark":"BMPRE_ME_Small_cap_100128"},{"b-find":"VZV","e-paracontent":"Infectious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&lt;mark&gt;VZV&lt;\/mark&gt;),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","c-replace":[],"ab-name":"Pre-Edit","a-name":"Small_cap","g-rebookmarkname":"","i-wm":"VZV","d-description":"Abbreviations should be in small caps.","f-bookmark":"BMPRE_ME_Small_cap_100129"},{"b-find":"EBV","e-paracontent":"Infectious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&lt;mark&gt;EBV&lt;\/mark&gt;),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","c-replace":[],"ab-name":"Pre-Edit","a-name":"Small_cap","g-rebookmarkname":"","i-wm":"EBV","d-description":"Abbreviations should be in small caps.","f-bookmark":"BMPRE_ME_Small_cap_100130"},{"b-find":"WNV","e-paracontent":"Infectious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 West Nile virus &lt;mark&gt;WNV&lt;\/mark&gt;),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","c-replace":[],"ab-name":"Pre-Edit","a-name":"Small_cap","g-rebookmarkname":"","i-wm":"WNV","d-description":"Abbreviations should be in small caps.","f-bookmark":"BMPRE_ME_Small_cap_100131"},{"b-find":"PCR","e-paracontent":"Infectious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 West Nile virus (WNV), with polymerase chain reaction &lt;mark&gt;PCR&lt;\/mark&gt;)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","c-replace":[],"ab-name":"Pre-Edit","a-name":"Small_cap","g-rebookmarkname":"","i-wm":"PCR","d-description":"Abbreviations should be in small caps.","f-bookmark":"BMPRE_ME_Small_cap_100132"},{"b-find":"LVEF","e-paracontent":"Cardiovascular/Pulmonary Testing: Perform baseline electrocardiogram (EKG), multigated acquisition (MUGA) scan or echocardiogram (ECHO, preferred) for left ventricular ejection fraction &lt;mark&gt;LVEF&lt;\/mark&gt;) assessment and structural abnormalities (e.g. pericardial effusions, wall motion, valvulopathies, etc), and pulmonary function tests (PFTs) with diffusing capacity (DLCO).","c-replace":[],"ab-name":"Pre-Edit","a-name":"Small_cap","g-rebookmarkname":"","i-wm":"LVEF","d-description":"Abbreviations should be in small caps.","f-bookmark":"BMPRE_ME_Small_cap_100169"},{"b-find":"PFTs","e-paracontent":"Cardiovascular/Pulmonary Testing: Perform baseline electrocardiogram (EKG), multigated acquisition (MUGA) scan or echocardiogram (ECHO, preferred) for left ventricular ejection fraction (LVEF) assessment and structural abnormalities (e.g. pericardial effusions, wall motion, valvulopathies, etc), and pulmonary function tests &lt;mark&gt;PFTs&lt;\/mark&gt;) with diffusing capacity (DLCO).","c-replace":[],"ab-name":"Pre-Edit","a-name":"Small_cap","g-rebookmarkname":"","i-wm":"PFTs","d-description":"Abbreviations should be in small caps.","f-bookmark":"BMPRE_ME_Small_cap_100170"},{"b-find":"HLA","e-paracontent":"Human Leukocyte Antigen &lt;mark&gt;HLA&lt;\/mark&gt;) Typing: Required for HLA-restricted therapies (e.g., TCR T-cell therapies) to ensure compatibility.","c-replace":[],"ab-name":"Pre-Edit","a-name":"Small_cap","g-rebookmarkname":"","i-wm":"HLA","d-description":"Abbreviations should be in small caps.","f-bookmark":"BMPRE_ME_Small_cap_100306"},{"b-find":"NRM","e-paracontent":"HCT\u2011CI (Hematopoietic Cell Transplantation\u2013Comorbidity Index): Evaluates comorbidities (e.g., cardiac, pulmonary, hepatic disease, diabetes, prior malignancy; scored 0\u20133+) to predict non\u2011relapse mortality &lt;mark&gt;NRM&lt;\/mark&gt;) and overall survival in allo\u2011HSCT and has been applied to CAR T for DLBCL, ALL, and MM. High scores (≥3) increase NRM risk (HR 1.5\u20132.0) and prompt organ\u2011specific optimization (e.g., cardiology consult for LVEF &lt;50%). Real\u2011world 2025 data show limited predictive value for NRM in LBCL CAR T but confirm clinical utility in elderly MM patients.","c-replace":[],"ab-name":"Pre-Edit","a-name":"Small_cap","g-rebookmarkname":"","i-wm":"NRM","d-description":"Abbreviations should be in small caps.","f-bookmark":"BMPRE_ME_Small_cap_100410"},{"b-find":"CCI","e-paracontent":"IMWG Frailty Index (International Myeloma Working Group Frailty Score): A practical scoring system using age, performance status (ECOG/ADL), and Charlson Comorbidity Index &lt;mark&gt;CCI&lt;\/mark&gt;). Frailty is defined as ≥2 points. Widely used in myeloma, it predicts PFS, OS, and toxicity risk. In BCMA CAR T and bispecific antibody trials, frail patients show comparable CRS/ICANS rates but higher NRM and inferior OS (HR 1.5\u20132.2), supporting tailored optimization and prehabilitation strategies.","c-replace":[],"ab-name":"Pre-Edit","a-name":"Small_cap","g-rebookmarkname":"","i-wm":"CCI","d-description":"Abbreviations should be in small caps.","f-bookmark":"BMPRE_ME_Small_cap_100489"}]</preedit>
</file>

<file path=customXml/item2.xml><?xml version="1.0" encoding="utf-8"?>
<preedit xmlns="http://www.machineedit.net/AMOD/CustomXML/Missing/Misplaced/Duplicate.htm">[{"b-find":"1.Akkad N, Chihara D. License for a CAR T: Examining patient eligibility. Semin Hematol. 2024.","e-paracontent":"&lt;mark&gt;1.Akkad N, Chihara D. License for a CAR T: Examining patient eligibility. Semin Hematol. 2024.&lt;\/mark&gt;","c-replace":[],"ab-name":"Missing Reference Citations","a-name":"Reference","g-rebookmarkname":"","i-wm":"1.&lt;span style=\"padding-left:68px;\"&gt;&lt;\/span&gt;&lt;\/span&gt;&lt;span style=\"font-family:Times New Roman; font-size:12pt\"&gt;Akkad N, Chihara D. License for a CAR T: Examining patient eligibility. Semin Hematol. 2024.","d-description":"Citation for the reference is missing","f-bookmark":"BMMISSING100564"},{"b-find":"13.Warner AB, et al. Expert consensus guidelines on TIL therapy: Management and best practices. J Immunother Cancer. 2024;12:e008735.","e-paracontent":"&lt;mark&gt;13.Warner AB, et al. Expert consensus guidelines on TIL therapy: Management and best practices. J Immunother Cancer. 2024;12:e008735.&lt;\/mark&gt;","c-replace":[],"ab-name":"Missing Reference Citations","a-name":"Reference","g-rebookmarkname":"","i-wm":"13.&lt;span style=\"padding-left:68px;\"&gt;&lt;\/span&gt;&lt;\/span&gt;&lt;span style=\"font-family:Times New Roman; font-size:12pt\"&gt;Warner AB, et al. Expert consensus guidelines on TIL therapy: Management and best practices. J Immunother Cancer. 2024;12:e008735.","d-description":"Citation for the reference is missing","f-bookmark":"BMMISSING100591"},{"b-find":"&lt;Figure&gt;","e-paracontent":"&lt;mark&gt;&lt;Figure&gt;&lt;\/mark&gt;","c-replace":[],"ab-name":"Missing Reference Citations","a-name":"Reference","g-rebookmarkname":"","i-wm":"&amp;lt;Figure&amp;gt;","d-description":"Citation for the reference is missing","f-bookmark":"BMMISSING100595"}]</preedit>
</file>

<file path=customXml/item3.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4.xml><?xml version="1.0" encoding="utf-8"?>
<group data-contentcontrol="true">
  <group EndBk="para10137_36110784136" StartBk="para10113_36110784136" Tag="TableGroup" Title="TableGroup"/>
  <group EndBk="para10165_36110784136" StartBk="para10141_36110784136" Tag="TableGroup" Title="TableGroup"/>
  <group EndBk="para10194_36110784136" StartBk="para10170_36110784136" Tag="TableGroup" Title="TableGroup"/>
  <group EndBk="para10213_36110784136" StartBk="para10198_36110784136" Tag="TableGroup" Title="TableGroup"/>
  <group EndBk="para10108_36110784136" StartBk="para10093_36110784136" Tag="RefGroup" Title="RefGroup"/>
  <group EndBk="para10093_36110784136" StartBk="para10093_36110784136" Tag="Reference1" Title="Reference1"/>
  <group EndBk="para10094_36110784136" StartBk="para10094_36110784136" Tag="Reference2" Title="Reference2"/>
  <group EndBk="para10095_36110784136" StartBk="para10095_36110784136" Tag="Reference3" Title="Reference3"/>
  <group EndBk="para10096_36110784136" StartBk="para10096_36110784136" Tag="Reference4" Title="Reference4"/>
  <group EndBk="para10097_36110784136" StartBk="para10097_36110784136" Tag="Reference5" Title="Reference5"/>
  <group EndBk="para10098_36110784136" StartBk="para10098_36110784136" Tag="Reference6" Title="Reference6"/>
  <group EndBk="para10099_36110784136" StartBk="para10099_36110784136" Tag="Reference7" Title="Reference7"/>
  <group EndBk="para10100_36110784136" StartBk="para10100_36110784136" Tag="Reference8" Title="Reference8"/>
  <group EndBk="para10101_36110784136" StartBk="para10101_36110784136" Tag="Reference9" Title="Reference9"/>
  <group EndBk="para10102_36110784136" StartBk="para10102_36110784136" Tag="Reference10" Title="Reference10"/>
  <group EndBk="para10103_36110784136" StartBk="para10103_36110784136" Tag="Reference11" Title="Reference11"/>
  <group EndBk="para10104_36110784136" StartBk="para10104_36110784136" Tag="Reference12" Title="Reference12"/>
  <group EndBk="para10105_36110784136" StartBk="para10105_36110784136" Tag="Reference13" Title="Reference13"/>
  <group EndBk="para10106_36110784136" StartBk="para10106_36110784136" Tag="Reference14" Title="Reference14"/>
  <group EndBk="para10108_36110784136" StartBk="para10108_36110784136" Tag="Reference15" Title="Reference15"/>
  <group EndBk="para10109_36110784136" StartBk="para10109_36110784136" Tag="FigureCaption" Title="FigureCaption"/>
  <group EndBk="para10113_36110784136" StartBk="para10113_36110784136" Tag="TableCaption" Title="TableCaption"/>
  <group EndBk="para10141_36110784136" StartBk="para10141_36110784136" Tag="TableCaption" Title="TableCaption"/>
  <group EndBk="para10170_36110784136" StartBk="para10170_36110784136" Tag="TableCaption" Title="TableCaption"/>
  <group EndBk="para10198_36110784136" StartBk="para10198_36110784136" Tag="TableCaption" Title="TableCaption"/>
</group>
</file>

<file path=customXml/item5.xml><?xml version="1.0" encoding="utf-8"?>
<preedit xmlns="http://www.machineedit.net/AMOD/CustomXML/Inconsistencies.htm">[{"b-find":"regulatory-approved","e-paracontent":"Patient evaluation for cellular immunotherapies is a fluid and extensive multistep process requiring screening at various stages of treatment planning. Clinical eligibility requirements are largely based on cell therapy type, disease, therapeutic contexts (e.g.,&lt;mark&gt;regulatory-approved&lt;\/mark&gt; product vs. investigational), logistics, and most importantly \u2013 informed consent. For regulatory-approved products, eligibility considerations should caution against strict adherence to stringent trial criteria given evolving \u201creal world\u201d data showcasing efficacy among those deemed \u201cineligible\u201d in seminal registration CAR T trials. Thus, practical data supports cautiously broader eligibility to facilitate access to such patients, stipulating prompt access to multidisciplinary evaluation for optimization of comorbidities. Ultimately, early referral for high-risk patients to specialized cell therapy centers enables timely eligibility assessment, patient/family counseling, caregiver support, and geographic logistics to minimize therapeutic access delays and adverse outcomes.","c-replace":["regulatory-approved","regulatory approved"],"a-name":"ComplexWord","g-rebookmarkname":"","i-wm":"regulatory-approved","d-description":"Hyphenated / Open / Closed forms found.","l-hyphenWordCount":5,"f-bookmark":"BMHYPHEN100004","ab-name":"Inconsistencies","n-withOutSpaceCount":0,"m-withSpaceWordCount":3,"j-groupid":100001},{"b-find":"regulatory-approved","e-paracontent":"Patient evaluation for cellular immunotherapies is a fluid and extensive multistep process requiring screening at various stages of treatment planning. Clinical eligibility requirements are largely based on cell therapy type, disease, therapeutic contexts (e.g., regulatory-approved product vs. investigational), logistics, and most importantly \u2013 informed consent. For&lt;mark&gt;regulatory-approved&lt;\/mark&gt; products, eligibility considerations should caution against strict adherence to stringent trial criteria given evolving \u201creal world\u201d data showcasing efficacy among those deemed \u201cineligible\u201d in seminal registration CAR T trials. Thus, practical data supports cautiously broader eligibility to facilitate access to such patients, stipulating prompt access to multidisciplinary evaluation for optimization of comorbidities. Ultimately, early referral for high-risk patients to specialized cell therapy centers enables timely eligibility assessment, patient/family counseling, caregiver support, and geographic logistics to minimize therapeutic access delays and adverse outcomes.","c-replace":["regulatory-approved","regulatory approved"],"a-name":"ComplexWord","g-rebookmarkname":"","i-wm":"regulatory-approved","d-description":"Hyphenated / Open / Closed forms found.","l-hyphenWordCount":5,"f-bookmark":"BMHYPHEN100005","ab-name":"Inconsistencies","n-withOutSpaceCount":0,"m-withSpaceWordCount":3,"j-groupid":100001},{"b-find":"regulatory-approved","e-paracontent":"Baseline screening is intended to verify patient eligibility across the immunotherapy timeline, typically before cellular collection (~2\u20134 weeks pre-lymphodepletion for CAR T-cells, TCR T-cells, TILs, or investigational therapies), lymphodepletion (~1 week pre-infusion), and/or infusion. Specific criteria and precise timing depend on therapy type (e.g. CAR T-cell therapy vs BiTE), protocol &lt;mark&gt;regulatory-approved&lt;\/mark&gt; vs. investigational), therapy nature (autologous vs. allogeneic), disease type and target expression, and institutional practice guidelines. Early multidisciplinary evaluation involving subspecialists and social work is critical to optimize candidacy and risk assessment which is guided by a complete physical examination, objective diagnostic data, performance status, and neurocognitive assessment. Figure 5.1 provides a visual overview of this timeline which highlight key stages from collection to infusion.","c-replace":["regulatory-approved","regulatory approved"],"a-name":"ComplexWord","g-rebookmarkname":"","i-wm":"regulatory-approved","d-description":"Hyphenated / Open / Closed forms found.","l-hyphenWordCount":5,"f-bookmark":"BMHYPHEN100038","ab-name":"Inconsistencies","n-withOutSpaceCount":0,"m-withSpaceWordCount":3,"j-groupid":100001},{"b-find":"real-world","e-paracontent":"Active CNS involvement, historically a relative contraindication for cellular immunotherapies due to ICANS risk, now shows comparable efficacy/safety in&lt;mark&gt;real-world&lt;\/mark&gt; CAR T-cell data. High-risk patients (e.g., ALL, high grade lymphoma) should be screened with lumbar puncture (to include opening pressures) and MRI brain/spine with debulk via intrathecal/systemic chemotherapy prior to cellular infusion to mitigate neurotoxic risk. Multidisciplinary input from neuro-oncology and enhanced monitoring are critical in such circumstances.  Of note, patients being considered for TILs in the auspices of high dose IL-2 support may require multidisciplinary discussions as CNS metastasis precluded treatment eligibility in most published studies. ","c-replace":["real-world","real world"],"a-name":"ComplexWord","g-rebookmarkname":"","i-wm":"real-world","d-description":"Hyphenated / Open / Closed forms found.","l-hyphenWordCount":4,"f-bookmark":"BMHYPHEN100217","ab-name":"Inconsistencies","n-withOutSpaceCount":0,"m-withSpaceWordCount":2,"j-groupid":100004},{"b-find":"high dose","e-paracontent":"Active CNS involvement, historically a relative contraindication for cellular immunotherapies due to ICANS risk, now shows comparable efficacy/safety in real-world CAR T-cell data. High-risk patients (e.g., ALL, high grade lymphoma) should be screened with lumbar puncture (to include opening pressures) and MRI brain/spine with debulk via intrathecal/systemic chemotherapy prior to cellular infusion to mitigate neurotoxic risk. Multidisciplinary input from neuro-oncology and enhanced monitoring are critical in such circumstances.  Of note, patients being considered for TILs in the auspices of&lt;mark&gt;high dose&lt;\/mark&gt; IL-2 support may require multidisciplinary discussions as CNS metastasis precluded treatment eligibility in most published studies. ","c-replace":["high-dose","high dose"],"a-name":"ComplexWord","g-rebookmarkname":"","i-wm":"high dose","d-description":"Hyphenated / Open / Closed forms found.","l-hyphenWordCount":0,"f-bookmark":"BMHYPHEN100218","ab-name":"Inconsistencies","n-withOutSpaceCount":0,"m-withSpaceWordCount":2,"j-groupid":100010},{"b-find":"regulatory approved","e-paracontent":"Eligibility criteria reflect the unique demands of each cellular immunotherapy incorporating molecular requisites, disease indication, intensity of lymphodepletion, and need for adjuvant potent cytokine support.  In the realm of&lt;mark&gt;regulatory approved&lt;\/mark&gt; products, real-world evidence supports cautious flexibility through multidisciplinary optimization.","c-replace":["regulatory-approved","regulatory approved"],"a-name":"ComplexWord","g-rebookmarkname":"","i-wm":"regulatory approved","d-description":"Hyphenated / Open / Closed forms found.","l-hyphenWordCount":5,"f-bookmark":"BMHYPHEN100229","ab-name":"Inconsistencies","n-withOutSpaceCount":0,"m-withSpaceWordCount":3,"j-groupid":100001},{"b-find":"real-world","e-paracontent":"Eligibility criteria reflect the unique demands of each cellular immunotherapy incorporating molecular requisites, disease indication, intensity of lymphodepletion, and need for adjuvant potent cytokine support.  In the realm of regulatory approved products,&lt;mark&gt;real-world&lt;\/mark&gt; evidence supports cautious flexibility through multidisciplinary optimization.","c-replace":["real-world","real world"],"a-name":"ComplexWord","g-rebookmarkname":"","i-wm":"real-world","d-description":"Hyphenated / Open / Closed forms found.","l-hyphenWordCount":4,"f-bookmark":"BMHYPHEN100230","ab-name":"Inconsistencies","n-withOutSpaceCount":0,"m-withSpaceWordCount":2,"j-groupid":100004},{"b-find":"real-world","e-paracontent":"CAR T-Cell Eligibility: Eligibility for CAR T-cell therapies vary due to diverse cellular constructs and respective indications. Seminal registration trials for B cell malignancies required robust performance status (Eastern Cooperative Oncology Group [ECOG 0\u20131]), minimal comorbidities, and stable disease. However,&lt;mark&gt;real-world&lt;\/mark&gt; data demonstrate efficacy in \u201cfrail\u201d or transplant-ineligible patients, enabling broader post-approval flexibility. At-risk patients with borderline performance status, comorbidities, or cognitive limitations benefit from multidisciplinary frailty assessments, involving geriatrics, physical therapy, nutrition, and social work, to optimize therapeutic access. Bridging therapies (Chapter 7) may stabilize bulky/kinetically active disease to reduce toxicity, though trial-specific exclusions, such as active or uncontrolled infections, remain applicable.","c-replace":["real-world","real world"],"a-name":"ComplexWord","g-rebookmarkname":"","i-wm":"real-world","d-description":"Hyphenated / Open / Closed forms found.","l-hyphenWordCount":4,"f-bookmark":"BMHYPHEN100237","ab-name":"Inconsistencies","n-withOutSpaceCount":0,"m-withSpaceWordCount":2,"j-groupid":100004},{"b-find":"trial-specific","e-paracontent":"CAR T-Cell Eligibility: Eligibility for CAR T-cell therapies vary due to diverse cellular constructs and respective indications. Seminal registration trials for B cell malignancies required robust performance status (Eastern Cooperative Oncology Group [ECOG 0\u20131]), minimal comorbidities, and stable disease. However, real-world data demonstrate efficacy in \u201cfrail\u201d or transplant-ineligible patients, enabling broader post-approval flexibility. At-risk patients with borderline performance status, comorbidities, or cognitive limitations benefit from multidisciplinary frailty assessments, involving geriatrics, physical therapy, nutrition, and social work, to optimize therapeutic access. Bridging therapies (Chapter 7) may stabilize bulky/kinetically active disease to reduce toxicity, though&lt;mark&gt;trial-specific&lt;\/mark&gt; exclusions, such as active or uncontrolled infections, remain applicable.","c-replace":[""],"a-name":"ComplexWord","g-rebookmarkname":"","i-wm":"trial-specific","d-description":"Hyphenated / Open / Closed forms found.","l-hyphenWordCount":4,"f-bookmark":"BMHYPHEN100238","ab-name":"Inconsistencies","n-withOutSpaceCount":0,"m-withSpaceWordCount":1,"j-groupid":100007},{"b-find":"real world","e-paracontent":"TCR T-Cell Eligibility: TCR T-cell eligibility is predicated on HLA compatibility and relevant antigen expression, with investigational trials mandating adequate performance status, preserved organ function, and consideration of lymphodepletion intensity. Although&lt;mark&gt;real world&lt;\/mark&gt; data in regulatory-approved TCR therapies are limited, clinical protocols may cautiously include frail patients with multidisciplinary optimization, as comorbidities do not necessarily preclude efficacy. Comprehensive assessment ensures tolerance of lymphodepletion and infusion, with trial-specific HLA restrictions (e.g., HLA-A*02:01) being critical. Real-world flexibility is emerging but less established compared to CAR T-cells.","c-replace":["real-world","real world"],"a-name":"ComplexWord","g-rebookmarkname":"","i-wm":"real world","d-description":"Hyphenated / Open / Closed forms found.","l-hyphenWordCount":4,"f-bookmark":"BMHYPHEN100253","ab-name":"Inconsistencies","n-withOutSpaceCount":0,"m-withSpaceWordCount":2,"j-groupid":100004},{"b-find":"regulatory-approved","e-paracontent":"TCR T-Cell Eligibility: TCR T-cell eligibility is predicated on HLA compatibility and relevant antigen expression, with investigational trials mandating adequate performance status, preserved organ function, and consideration of lymphodepletion intensity. Although real world data in&lt;mark&gt;regulatory-approved&lt;\/mark&gt; TCR therapies are limited, clinical protocols may cautiously include frail patients with multidisciplinary optimization, as comorbidities do not necessarily preclude efficacy. Comprehensive assessment ensures tolerance of lymphodepletion and infusion, with trial-specific HLA restrictions (e.g., HLA-A*02:01) being critical. Real-world flexibility is emerging but less established compared to CAR T-cells.","c-replace":["regulatory-approved","regulatory approved"],"a-name":"ComplexWord","g-rebookmarkname":"","i-wm":"regulatory-approved","d-description":"Hyphenated / Open / Closed forms found.","l-hyphenWordCount":5,"f-bookmark":"BMHYPHEN100254","ab-name":"Inconsistencies","n-withOutSpaceCount":0,"m-withSpaceWordCount":3,"j-groupid":100001},{"b-find":"trial-specific","e-paracontent":"TCR T-Cell Eligibility: TCR T-cell eligibility is predicated on HLA compatibility and relevant antigen expression, with investigational trials mandating adequate performance status, preserved organ function, and consideration of lymphodepletion intensity. Although real world data in regulatory-approved TCR therapies are limited, clinical protocols may cautiously include frail patients with multidisciplinary optimization, as comorbidities do not necessarily preclude efficacy. Comprehensive assessment ensures tolerance of lymphodepletion and infusion, with&lt;mark&gt;trial-specific&lt;\/mark&gt; HLA restrictions (e.g., HLA-A*02:01) being critical. Real-world flexibility is emerging but less established compared to CAR T-cells.","c-replace":["trial-specific","trial specific"],"a-name":"ComplexWord","g-rebookmarkname":"","i-wm":"trial-specific","d-description":"Hyphenated / Open / Closed forms found.","l-hyphenWordCount":4,"f-bookmark":"BMHYPHEN100255","ab-name":"Inconsistencies","n-withOutSpaceCount":0,"m-withSpaceWordCount":1,"j-groupid":100007},{"b-find":"high-dose","e-paracontent":"TIL Eligibility: TIL therapies impose exquisitely stringent eligibility criteria due to prolonged manufacturing timelines, intensive lymphodepletion, and adjuvant need for&lt;mark&gt;high-dose&lt;\/mark&gt; IL-2 administration. Investigational trials typically exclude frail patients lacking robust performance status, preserved organ function, or those with significant comorbidities (e.g. cardiac or pulmonary disease). Additionally, patients with brain metastasis are typically excluded from studies although should be discussed in a multidisciplinary setting. Regulatory-approved TIL therapies cautiously permit broader inclusion with multidisciplinary optimization. At-risk patients with borderline performance status or impaired organ function require frailty assessment to guide prehabilitation. Sufficient tumor burden is essential for successful harvesting, and strict trial-specific exclusions, such as active infections continue to apply.","c-replace":["high-dose","high dose"],"a-name":"ComplexWord","g-rebookmarkname":"","i-wm":"high-dose","d-description":"Hyphenated / Open / Closed forms found.","l-hyphenWordCount":0,"f-bookmark":"BMHYPHEN100266","ab-name":"Inconsistencies","n-withOutSpaceCount":0,"m-withSpaceWordCount":2,"j-groupid":100010},{"b-find":"trial-specific","e-paracontent":"TIL Eligibility: TIL therapies impose exquisitely stringent eligibility criteria due to prolonged manufacturing timelines, intensive lymphodepletion, and adjuvant need for high-dose IL-2 administration. Investigational trials typically exclude frail patients lacking robust performance status, preserved organ function, or those with significant comorbidities (e.g. cardiac or pulmonary disease). Additionally, patients with brain metastasis are typically excluded from studies although should be discussed in a multidisciplinary setting. Regulatory-approved TIL therapies cautiously permit broader inclusion with multidisciplinary optimization. At-risk patients with borderline performance status or impaired organ function require frailty assessment to guide prehabilitation. Sufficient tumor burden is essential for successful harvesting, and strict&lt;mark&gt;trial-specific&lt;\/mark&gt; exclusions, such as active infections continue to apply.","c-replace":["trial-specific","trial specific"],"a-name":"ComplexWord","g-rebookmarkname":"","i-wm":"trial-specific","d-description":"Hyphenated / Open / Closed forms found.","l-hyphenWordCount":4,"f-bookmark":"BMHYPHEN100267","ab-name":"Inconsistencies","n-withOutSpaceCount":0,"m-withSpaceWordCount":1,"j-groupid":100007},{"b-find":"regulatory-approved","e-paracontent":"BiTE Eligibility: BiTE eligibility, driven by target antigen expression, is less restrictive, often accommodating patients with borderline performance status or impaired organ function. While investigational trials may exclude those with severe comorbidities,&lt;mark&gt;regulatory-approved&lt;\/mark&gt; BiTEs support frail patients through multidisciplinary optimization. Real-world flexibility enables use in high-burden diseases which leverages their off-the-shelf availability and potential role in \u201cbridging\u201d. ","c-replace":["regulatory-approved","regulatory approved"],"a-name":"ComplexWord","g-rebookmarkname":"","i-wm":"regulatory-approved","d-description":"Hyphenated / Open / Closed forms found.","l-hyphenWordCount":5,"f-bookmark":"BMHYPHEN100278","ab-name":"Inconsistencies","n-withOutSpaceCount":0,"m-withSpaceWordCount":3,"j-groupid":100001},{"b-find":"trial-specific","e-paracontent":"Investigational Cell Therapies (NKs, CAR-M, Gamma-Delta T-Cells): Eligibility for investigational therapies is governed by&lt;mark&gt;trial-specific&lt;\/mark&gt; criteria, focusing on disease type, therapy modality, particular cellular construct, lymphodepletion intensity, and biological construct potency. Emerging data suggest potential inclusion of frail patients with optimization depending on above factors, though protocols prioritize antigen expression, infection control, and minimal comorbidities.","c-replace":["trial-specific","trial specific"],"a-name":"ComplexWord","g-rebookmarkname":"","i-wm":"trial-specific","d-description":"Hyphenated / Open / Closed forms found.","l-hyphenWordCount":4,"f-bookmark":"BMHYPHEN100285","ab-name":"Inconsistencies","n-withOutSpaceCount":0,"m-withSpaceWordCount":1,"j-groupid":100007},{"b-find":"regulatory approved","e-paracontent":"Cellular immunotherapy selection varies based on composite of factors including patient fitness, logistics, disease type, disease kinetics, availability of&lt;mark&gt;regulatory approved&lt;\/mark&gt; products, type of cell therapy, and consideration of available outcome data with salvage sequencing strategies to optimize outcomes where applicable (e.g., myeloma and lymphoma \u2013 where both BiTEs and CAR T-cell therapies are approved) (Table 5.2). The following general principles should be considered in totality when adjudicating appropriateness:","c-replace":["regulatory-approved","regulatory approved"],"a-name":"ComplexWord","g-rebookmarkname":"","i-wm":"regulatory approved","d-description":"Hyphenated / Open / Closed forms found.","l-hyphenWordCount":5,"f-bookmark":"BMHYPHEN100320","ab-name":"Inconsistencies","n-withOutSpaceCount":0,"m-withSpaceWordCount":3,"j-groupid":100001},{"b-find":"high dose","e-paracontent":"Minimum organ function standards support leukapheresis, lymphodepletion, and infusion, with requirements varying by therapy intensity (e.g., stricter for TILs compared to CARs).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≥500\u20131,000/µL, platelets ≥50,000/µL, hemoglobin ≥8 g/dL, CrCl ≥30 mL/min (≥45 mL/min for TILs requiring&lt;mark&gt;high dose&lt;\/mark&gt;-IL2, ), bilirubin ≤2 mg/dL, LVEF ≥45% (NYHA Class I-II) but specifics may vary based on product and protocol. ","c-replace":["high-dose","high dose"],"a-name":"ComplexWord","g-rebookmarkname":"","i-wm":"high dose","d-description":"Hyphenated / Open / Closed forms found.","l-hyphenWordCount":0,"f-bookmark":"BMHYPHEN100513","ab-name":"Inconsistencies","n-withOutSpaceCount":0,"m-withSpaceWordCount":2,"j-groupid":100010},{"b-find":"real-world","e-paracontent":"Patient evaluation and selection for cellular immunotherapies demand a tailored approach, considering all therapy types and disease indications. Clinicians should leverage&lt;mark&gt;real-world&lt;\/mark&gt; evidence and multidisciplinary optimization to expand access, avoiding rigid exclusions based on frailty or comorbidities for regulatory approved products given established benefit in real world patients. Comprehensive screening, strategic therapy selection, and proactive risk management ensure safety and efficacy, with criteria that are evolving to reflect therapeutic advances in the field. Regulatory guidance and trial specific protocols should always be followed for updated standards.","c-replace":["real-world","real world"],"a-name":"ComplexWord","g-rebookmarkname":"","i-wm":"real-world","d-description":"Hyphenated / Open / Closed forms found.","l-hyphenWordCount":4,"f-bookmark":"BMHYPHEN100558","ab-name":"Inconsistencies","n-withOutSpaceCount":0,"m-withSpaceWordCount":2,"j-groupid":100004},{"b-find":"regulatory approved","e-paracontent":"Patient evaluation and selection for cellular immunotherapies demand a tailored approach, considering all therapy types and disease indications. Clinicians should leverage real-world evidence and multidisciplinary optimization to expand access, avoiding rigid exclusions based on frailty or comorbidities for&lt;mark&gt;regulatory approved&lt;\/mark&gt; products given established benefit in real world patients. Comprehensive screening, strategic therapy selection, and proactive risk management ensure safety and efficacy, with criteria that are evolving to reflect therapeutic advances in the field. Regulatory guidance and trial specific protocols should always be followed for updated standards.","c-replace":["regulatory-approved","regulatory approved"],"a-name":"ComplexWord","g-rebookmarkname":"","i-wm":"regulatory approved","d-description":"Hyphenated / Open / Closed forms found.","l-hyphenWordCount":5,"f-bookmark":"BMHYPHEN100559","ab-name":"Inconsistencies","n-withOutSpaceCount":0,"m-withSpaceWordCount":3,"j-groupid":100001},{"b-find":"real world","e-paracontent":"Patient evaluation and selection for cellular immunotherapies demand a tailored approach, considering all therapy types and disease indications. Clinicians should leverage real-world evidence and multidisciplinary optimization to expand access, avoiding rigid exclusions based on frailty or comorbidities for regulatory approved products given established benefit in&lt;mark&gt;real world&lt;\/mark&gt; patients. Comprehensive screening, strategic therapy selection, and proactive risk management ensure safety and efficacy, with criteria that are evolving to reflect therapeutic advances in the field. Regulatory guidance and trial specific protocols should always be followed for updated standards.","c-replace":["real-world","real world"],"a-name":"ComplexWord","g-rebookmarkname":"","i-wm":"real world","d-description":"Hyphenated / Open / Closed forms found.","l-hyphenWordCount":4,"f-bookmark":"BMHYPHEN100560","ab-name":"Inconsistencies","n-withOutSpaceCount":0,"m-withSpaceWordCount":2,"j-groupid":100004},{"b-find":"trial specific","e-paracontent":"Patient evaluation and selection for cellular immunotherapies demand a tailored approach, considering all therapy types and disease indications. Clinicians should leverage real-world evidence and multidisciplinary optimization to expand access, avoiding rigid exclusions based on frailty or comorbidities for regulatory approved products given established benefit in real world patients. Comprehensive screening, strategic therapy selection, and proactive risk management ensure safety and efficacy, with criteria that are evolving to reflect therapeutic advances in the field. Regulatory guidance and&lt;mark&gt;trial specific&lt;\/mark&gt; protocols should always be followed for updated standards.","c-replace":["trial-specific","trial specific"],"a-name":"ComplexWord","g-rebookmarkname":"","i-wm":"trial specific","d-description":"Hyphenated / Open / Closed forms found.","l-hyphenWordCount":4,"f-bookmark":"BMHYPHEN100561","ab-name":"Inconsistencies","n-withOutSpaceCount":0,"m-withSpaceWordCount":1,"j-groupid":100007},{"b-find":"high-dose","e-paracontent":"Lymphodepletion, cell therapy-related, adjuvant cytokine-based &lt;mark&gt;high-dose&lt;\/mark&gt; IL-2)","c-replace":["high-dose","high dose"],"a-name":"ComplexWord","g-rebookmarkname":"","i-wm":"high-dose","d-description":"Hyphenated / Open / Closed forms found.","l-hyphenWordCount":0,"f-bookmark":"BMHYPHEN100624","ab-name":"Inconsistencies","n-withOutSpaceCount":0,"m-withSpaceWordCount":2,"j-groupid":100010}]</preedit>
</file>

<file path=customXml/item6.xml><?xml version="1.0" encoding="utf-8"?>
<preedit xmlns="http://www.machineedit.net/AMOD/CustomXML/Abbreviations.htm">[{"b-find":"CAR","e-paracontent":"Patient evaluation for cellular immunotherapies is a fluid and extensive multistep process requiring screening at various stages of treatment planning. Clinical eligibility requirements are largely based on cell therapy type, disease, therapeutic contexts (e.g., regulatory-approved product vs. investigational), logistics, and most importantly \u2013 informed consent. For regulatory-approved products, eligibility considerations should caution against strict adherence to stringent trial criteria given evolving \u201creal world\u201d data showcasing efficacy among those deemed \u201cineligible\u201d in seminal registration&lt;mark&gt;CAR&lt;\/mark&gt; T trials. Thus, practical data supports cautiously broader eligibility to facilitate access to such patients, stipulating prompt access to multidisciplinary evaluation for optimization of comorbidities. Ultimately, early referral for high-risk patients to specialized cell therapy centers enables timely eligibility assessment, patient/family counseling, caregiver support, and geographic logistics to minimize therapeutic access delays and adverse outcomes.","c-replace":[""],"ab-name":"Abbreviations","a-name":"Possible_Abbreviations","g-rebookmarkname":"","i-wm":"CAR","d-description":"Word in all caps may be an abbreviation.","k-color":"","f-bookmark":"BMABBRE100003","j-groupid":1},{"b-find":"TIL","e-paracontent":"Comprehensive informed consent is critical to ensure patients and families understand the risks, benefits, and logistical demands of cellular immunotherapies. Clinicians must detail procedural risks, such as bleeding or infection from biopsies, catheter placement, leukapheresis, or tumor resection for&lt;mark&gt;TIL&lt;\/mark&gt;s; therapy-associated toxicities, including lymphodepletion specific toxicities, CRS, ICANS, or IL-2-induced capillary leak syndrome (where applicable); and on-target/off-tumor. Logistical challenges, including residential proximity to treatment centers (within 1\u20132 hours for 4 weeks post infusion), need for 24/7 caregiver support, and protracted hospitalization may impose psychosocial and financial burdens. Manufacturing uncertainties including delays or failures, risk of disease progression, and potential for long-term genotoxicity risks must be included during the consenting process. Table 5.1 summarizes these components.","c-replace":[""],"ab-name":"Abbreviations","a-name":"Possible_Abbreviations","g-rebookmarkname":"","i-wm":"TIL","d-description":"Word in all caps may be an abbreviation.","k-color":"","f-bookmark":"BMABBRE100014","j-groupid":1},{"b-find":"CRS","e-paracontent":"Comprehensive informed consent is critical to ensure patients and families understand the risks, benefits, and logistical demands of cellular immunotherapies. Clinicians must detail procedural risks, such as bleeding or infection from biopsies, catheter placement, leukapheresis, or tumor resection for TILs; therapy-associated toxicities, including lymphodepletion specific toxicities,&lt;mark&gt;CRS&lt;\/mark&gt;, ICANS, or IL-2-induced capillary leak syndrome (where applicable); and on-target/off-tumor. Logistical challenges, including residential proximity to treatment centers (within 1\u20132 hours for 4 weeks post infusion), need for 24/7 caregiver support, and protracted hospitalization may impose psychosocial and financial burdens. Manufacturing uncertainties including delays or failures, risk of disease progression, and potential for long-term genotoxicity risks must be included during the consenting process. Table 5.1 summarizes these components.","c-replace":[""],"ab-name":"Abbreviations","a-name":"Possible_Abbreviations","g-rebookmarkname":"","i-wm":"CRS","d-description":"Word in all caps may be an abbreviation.","k-color":"","f-bookmark":"BMABBRE100015","j-groupid":1},{"b-find":"ICANS","e-paracontent":"Comprehensive informed consent is critical to ensure patients and families understand the risks, benefits, and logistical demands of cellular immunotherapies. Clinicians must detail procedural risks, such as bleeding or infection from biopsies, catheter placement, leukapheresis, or tumor resection for TILs; therapy-associated toxicities, including lymphodepletion specific toxicities, CRS,&lt;mark&gt;ICANS&lt;\/mark&gt;, or IL-2-induced capillary leak syndrome (where applicable); and on-target/off-tumor. Logistical challenges, including residential proximity to treatment centers (within 1\u20132 hours for 4 weeks post infusion), need for 24/7 caregiver support, and protracted hospitalization may impose psychosocial and financial burdens. Manufacturing uncertainties including delays or failures, risk of disease progression, and potential for long-term genotoxicity risks must be included during the consenting process. Table 5.1 summarizes these components.","c-replace":[""],"ab-name":"Abbreviations","a-name":"Possible_Abbreviations","g-rebookmarkname":"","i-wm":"ICANS","d-description":"Word in all caps may be an abbreviation.","k-color":"","f-bookmark":"BMABBRE100016","j-groupid":1},{"b-find":"IL","e-paracontent":"Comprehensive informed consent is critical to ensure patients and families understand the risks, benefits, and logistical demands of cellular immunotherapies. Clinicians must detail procedural risks, such as bleeding or infection from biopsies, catheter placement, leukapheresis, or tumor resection for TILs; therapy-associated toxicities, including lymphodepletion specific toxicities, CRS, ICANS, or&lt;mark&gt;IL&lt;\/mark&gt;-2-induced capillary leak syndrome (where applicable); and on-target/off-tumor. Logistical challenges, including residential proximity to treatment centers (within 1\u20132 hours for 4 weeks post infusion), need for 24/7 caregiver support, and protracted hospitalization may impose psychosocial and financial burdens. Manufacturing uncertainties including delays or failures, risk of disease progression, and potential for long-term genotoxicity risks must be included during the consenting process. Table 5.1 summarizes these components.","c-replace":[""],"ab-name":"Abbreviations","a-name":"Possible_Abbreviations","g-rebookmarkname":"","i-wm":"IL","d-description":"Word in all caps may be an abbreviation.","k-color":"","f-bookmark":"BMABBRE100017","j-groupid":1},{"b-find":"CAR","e-paracontent":"Baseline screening is intended to verify patient eligibility across the immunotherapy timeline, typically before cellular collection (~2\u20134 weeks pre-lymphodepletion for&lt;mark&gt;CAR&lt;\/mark&gt; T-cells, TCR T-cells, TILs, or investigational therapies), lymphodepletion (~1 week pre-infusion), and/or infusion. Specific criteria and precise timing depend on therapy type (e.g. CAR T-cell therapy vs BiTE), protocol (regulatory-approved vs. investigational), therapy nature (autologous vs. allogeneic), disease type and target expression, and institutional practice guidelines. Early multidisciplinary evaluation involving subspecialists and social work is critical to optimize candidacy and risk assessment which is guided by a complete physical examination, objective diagnostic data, performance status, and neurocognitive assessment. Figure 5.1 provides a visual overview of this timeline which highlight key stages from collection to infusion.","c-replace":[""],"ab-name":"Abbreviations","a-name":"Possible_Abbreviations","g-rebookmarkname":"","i-wm":"CAR","d-description":"Word in all caps may be an abbreviation.","k-color":"","f-bookmark":"BMABBRE100033","j-groupid":1},{"b-find":"TCR","e-paracontent":"Baseline screening is intended to verify patient eligibility across the immunotherapy timeline, typically before cellular collection (~2\u20134 weeks pre-lymphodepletion for CAR T-cells,&lt;mark&gt;TCR&lt;\/mark&gt; T-cells, TILs, or investigational therapies), lymphodepletion (~1 week pre-infusion), and/or infusion. Specific criteria and precise timing depend on therapy type (e.g. CAR T-cell therapy vs BiTE), protocol (regulatory-approved vs. investigational), therapy nature (autologous vs. allogeneic), disease type and target expression, and institutional practice guidelines. Early multidisciplinary evaluation involving subspecialists and social work is critical to optimize candidacy and risk assessment which is guided by a complete physical examination, objective diagnostic data, performance status, and neurocognitive assessment. Figure 5.1 provides a visual overview of this timeline which highlight key stages from collection to infusion.","c-replace":[""],"ab-name":"Abbreviations","a-name":"Possible_Abbreviations","g-rebookmarkname":"","i-wm":"TCR","d-description":"Word in all caps may be an abbreviation.","k-color":"","f-bookmark":"BMABBRE100034","j-groupid":1},{"b-find":"TIL","e-paracontent":"Baseline screening is intended to verify patient eligibility across the immunotherapy timeline, typically before cellular collection (~2\u20134 weeks pre-lymphodepletion for CAR T-cells, TCR T-cells,&lt;mark&gt;TIL&lt;\/mark&gt;s, or investigational therapies), lymphodepletion (~1 week pre-infusion), and/or infusion. Specific criteria and precise timing depend on therapy type (e.g. CAR T-cell therapy vs BiTE), protocol (regulatory-approved vs. investigational), therapy nature (autologous vs. allogeneic), disease type and target expression, and institutional practice guidelines. Early multidisciplinary evaluation involving subspecialists and social work is critical to optimize candidacy and risk assessment which is guided by a complete physical examination, objective diagnostic data, performance status, and neurocognitive assessment. Figure 5.1 provides a visual overview of this timeline which highlight key stages from collection to infusion.","c-replace":[""],"ab-name":"Abbreviations","a-name":"Possible_Abbreviations","g-rebookmarkname":"","i-wm":"TIL","d-description":"Word in all caps may be an abbreviation.","k-color":"","f-bookmark":"BMABBRE100035","j-groupid":1},{"b-find":"CAR","e-paracontent":"Baseline screening is intended to verify patient eligibility across the immunotherapy timeline, typically before cellular collection (~2\u20134 weeks pre-lymphodepletion for CAR T-cells, TCR T-cells, TILs, or investigational therapies), lymphodepletion (~1 week pre-infusion), and/or infusion. Specific criteria and precise timing depend on therapy type (e.g.&lt;mark&gt;CAR&lt;\/mark&gt; T-cell therapy vs BiTE), protocol (regulatory-approved vs. investigational), therapy nature (autologous vs. allogeneic), disease type and target expression, and institutional practice guidelines. Early multidisciplinary evaluation involving subspecialists and social work is critical to optimize candidacy and risk assessment which is guided by a complete physical examination, objective diagnostic data, performance status, and neurocognitive assessment. Figure 5.1 provides a visual overview of this timeline which highlight key stages from collection to infusion.","c-replace":[""],"ab-name":"Abbreviations","a-name":"Possible_Abbreviations","g-rebookmarkname":"","i-wm":"CAR","d-description":"Word in all caps may be an abbreviation.","k-color":"","f-bookmark":"BMABBRE100036","j-groupid":1},{"b-find":"TE","e-paracontent":"Baseline screening is intended to verify patient eligibility across the immunotherapy timeline, typically before cellular collection (~2\u20134 weeks pre-lymphodepletion for CAR T-cells, TCR T-cells, TILs, or investigational therapies), lymphodepletion (~1 week pre-infusion), and/or infusion. Specific criteria and precise timing depend on therapy type (e.g. CAR T-cell therapy vs B&lt;mark&gt;TE&lt;\/mark&gt;), protocol (regulatory-approved vs. investigational), therapy nature (autologous vs. allogeneic), disease type and target expression, and institutional practice guidelines. Early multidisciplinary evaluation involving subspecialists and social work is critical to optimize candidacy and risk assessment which is guided by a complete physical examination, objective diagnostic data, performance status, and neurocognitive assessment. Figure 5.1 provides a visual overview of this timeline which highlight key stages from collection to infusion.","c-replace":[""],"ab-name":"Abbreviations","a-name":"Possible_Abbreviations","g-rebookmarkname":"","i-wm":"TE","d-description":"Word in all caps may be an abbreviation.","k-color":"","f-bookmark":"BMABBRE100037","j-groupid":1},{"b-find":"HD","e-paracontent":"Prior/Active Therapies: Confirm all disease-related treatments with exact regimen/dates, including preceding transplants, targeted therapies, gene-modified therapies, and respective complications (e.g., G&lt;mark&gt;HD&lt;\/mark&gt; after allo-HCT).","c-replace":[""],"ab-name":"Abbreviations","a-name":"Possible_Abbreviations","g-rebookmarkname":"","i-wm":"HD","d-description":"Word in all caps may be an abbreviation.","k-color":"","f-bookmark":"BMABBRE100060","j-groupid":1},{"b-find":"HCT","e-paracontent":"Prior/Active Therapies: Confirm all disease-related treatments with exact regimen/dates, including preceding transplants, targeted therapies, gene-modified therapies, and respective complications (e.g., GvHD after allo&lt;mark&gt;HCT&lt;\/mark&gt;).","c-replace":[""],"ab-name":"Abbreviations","a-name":"Possible_Abbreviations","g-rebookmarkname":"","i-wm":"HCT","d-description":"Word in all caps may be an abbreviation.","k-color":"","f-bookmark":"BMABBRE100061","j-groupid":1},{"b-find":"MRI","e-paracontent":"Comorbidities: Confirm comprehensive medical history with particular focus on functional status, cardiovascular, pulmonary, infectious, autoimmune conditions, thrombotic/bleeding, and neurologic disorders. Comprehensively evaluate the presence of brain metastasis through brain&lt;mark&gt;MRI&lt;\/mark&gt; / LP with close coordination with Neurology to discuss eligibility given risk of accentuated neurotoxicity.","c-replace":[""],"ab-name":"Abbreviations","a-name":"Possible_Abbreviations","g-rebookmarkname":"","i-wm":"MRI","d-description":"Word in all caps may be an abbreviation.","k-color":"","f-bookmark":"BMABBRE100066","j-groupid":1},{"b-find":"LP","e-paracontent":"Comorbidities: Confirm comprehensive medical history with particular focus on functional status, cardiovascular, pulmonary, infectious, autoimmune conditions, thrombotic/bleeding, and neurologic disorders. Comprehensively evaluate the presence of brain metastasis through brain MRI /&lt;mark&gt;LP&lt;\/mark&gt; with close coordination with Neurology to discuss eligibility given risk of accentuated neurotoxicity.","c-replace":[""],"ab-name":"Abbreviations","a-name":"Possible_Abbreviations","g-rebookmarkname":"","i-wm":"LP","d-description":"Word in all caps may be an abbreviation.","k-color":"","f-bookmark":"BMABBRE100067","j-groupid":1},{"b-find":"lactate dehydrogenase (LDH)","e-paracontent":"Baseline Labs: Laboratory assessment should include complete blood count (CBC) with differential, complete metabolic panel (CMP),&lt;mark&gt;lactate dehydrogenase (LDH)&lt;\/mark&gt;, uric acid, prothrombin time (PT) / partial prothrombin time (PTT), fibrinogen, C-reactive protein (CRP),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therapies).","c-replace":["lactate dehydrogenase (LDH)","LDH"],"ab-name":"Abbreviations","a-name":"Abbreviation","g-rebookmarkname":"","i-wm":"lactate dehydrogenase (LDH)","d-description":"An abbreviation must appear with its expanded form first and can then only be reused.","k-color":"#a24c29","f-bookmark":"BMABBRE100074","j-groupid":4},{"b-find":"C-reactive protein (CRP)","e-paracontent":"Baseline Labs: Laboratory assessment should include complete blood count (CBC) with differential, complete metabolic panel (CMP), lactate dehydrogenase (LDH), uric acid, prothrombin time (PT) / partial prothrombin time (PTT), fibrinogen,&lt;mark&gt;C-reactive protein (CRP)&lt;\/mark&gt;,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therapies).","c-replace":["C-reactive protein (CRP)","CRP"],"ab-name":"Abbreviations","a-name":"Abbreviation","g-rebookmarkname":"","i-wm":"C-reactive protein (CRP)","d-description":"An abbreviation must appear with its expanded form first and can then only be reused.","k-color":"#a24c29","f-bookmark":"BMABBRE100075","j-groupid":7},{"b-find":"HLA","e-paracontent":"Baseline Labs: Laboratory assessment should include complete blood count (CBC) with differential, complete metabolic panel (CMP), lactate dehydrogenase (LDH), uric acid, prothrombin time (PT) / partial prothrombin time (PTT), fibrinogen, C-reactive protein (CRP), ferritin, thyroid-stimulating hormone (TSH) with reflex, glucose-6-phosphate dehydrogenase (G6PD) activity (for potential use of dapsone/rasburicase), blood type and screen, pregnancy testing for women with beta-human chorionic gonadotropin (B-HCG), baseline triglycerides, and&lt;mark&gt;HLA&lt;\/mark&gt; typing (for allogeneic donors or TCR-based therapies).","c-replace":["Human Leukocyte Antigen (HLA)","HLA"],"ab-name":"Abbreviations","a-name":"Abbreviation_Used_Before_Definition","g-rebookmarkname":"","i-wm":"HLA","d-description":"An abbreviation is used even before it is defined. Normally an abbreviation is introduced alongwith its expanded form.","k-color":"#a24c29","f-bookmark":"BMABBRE100076","j-groupid":16},{"b-find":"complete blood count (CBC)","e-paracontent":"Baseline Labs: Laboratory assessment should include&lt;mark&gt;complete blood count (CBC)&lt;\/mark&gt; with differential, complete metabolic panel (CMP), lactate dehydrogenase (LDH), uric acid, prothrombin time (PT) / partial prothrombin time (PTT), fibrinogen, C-reactive protein (CRP),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therapies).","c-replace":["complete blood count (CBC)","CBC"],"ab-name":"Abbreviations","a-name":"Abbreviation_Used_Only_Once","g-rebookmarkname":"","i-wm":"complete blood count (CBC)","d-description":"An abbreviation is present with its expanded form, but not used subsequently.","k-color":"#a24c29","f-bookmark":"BMABBRE100077","j-groupid":2},{"b-find":"complete metabolic panel (CMP)","e-paracontent":"Baseline Labs: Laboratory assessment should include complete blood count (CBC) with differential,&lt;mark&gt;complete metabolic panel (CMP)&lt;\/mark&gt;, lactate dehydrogenase (LDH), uric acid, prothrombin time (PT) / partial prothrombin time (PTT), fibrinogen, C-reactive protein (CRP),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therapies).","c-replace":["complete metabolic panel (CMP)","CMP"],"ab-name":"Abbreviations","a-name":"Abbreviation_Used_Only_Once","g-rebookmarkname":"","i-wm":"complete metabolic panel (CMP)","d-description":"An abbreviation is present with its expanded form, but not used subsequently.","k-color":"#a24c29","f-bookmark":"BMABBRE100078","j-groupid":3},{"b-find":"prothrombin time (PT)","e-paracontent":"Baseline Labs: Laboratory assessment should include complete blood count (CBC) with differential, complete metabolic panel (CMP), lactate dehydrogenase (LDH), uric acid,&lt;mark&gt;prothrombin time (PT)&lt;\/mark&gt; / partial prothrombin time (PTT), fibrinogen, C-reactive protein (CRP),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therapies).","c-replace":["prothrombin time (PT)","PT"],"ab-name":"Abbreviations","a-name":"Abbreviation_Used_Only_Once","g-rebookmarkname":"","i-wm":"prothrombin time (PT)","d-description":"An abbreviation is present with its expanded form, but not used subsequently.","k-color":"#a24c29","f-bookmark":"BMABBRE100079","j-groupid":5},{"b-find":"partial prothrombin time (PTT)","e-paracontent":"Baseline Labs: Laboratory assessment should include complete blood count (CBC) with differential, complete metabolic panel (CMP), lactate dehydrogenase (LDH), uric acid, prothrombin time (PT) /&lt;mark&gt;partial prothrombin time (PTT)&lt;\/mark&gt;, fibrinogen, C-reactive protein (CRP),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therapies).","c-replace":["partial prothrombin time (PTT)","PTT"],"ab-name":"Abbreviations","a-name":"Abbreviation_Used_Only_Once","g-rebookmarkname":"","i-wm":"partial prothrombin time (PTT)","d-description":"An abbreviation is present with its expanded form, but not used subsequently.","k-color":"#a24c29","f-bookmark":"BMABBRE100080","j-groupid":6},{"b-find":"thyroid-stimulating hormone (TSH)","e-paracontent":"Baseline Labs: Laboratory assessment should include complete blood count (CBC) with differential, complete metabolic panel (CMP), lactate dehydrogenase (LDH), uric acid, prothrombin time (PT) / partial prothrombin time (PTT), fibrinogen, C-reactive protein (CRP), ferritin,&lt;mark&gt;thyroid-stimulating hormone (TSH)&lt;\/mark&gt;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therapies).","c-replace":["thyroid-stimulating hormone (TSH)","TSH"],"ab-name":"Abbreviations","a-name":"Abbreviation_Used_Only_Once","g-rebookmarkname":"","i-wm":"thyroid-stimulating hormone (TSH)","d-description":"An abbreviation is present with its expanded form, but not used subsequently.","k-color":"#a24c29","f-bookmark":"BMABBRE100081","j-groupid":8},{"b-find":"PD","e-paracontent":"Baseline Labs: Laboratory assessment should include complete blood count (CBC) with differential, complete metabolic panel (CMP), lactate dehydrogenase (LDH), uric acid, prothrombin time (PT) / partial prothrombin time (PTT), fibrinogen, C-reactive protein (CRP), ferritin, thyroid-stimulating hormone (TSH) with reflex, glucose-6-phosphate dehydrogenase (G&lt;mark&gt;PD&lt;\/mark&gt;) activity (for potential use of dapsone/rasburicase), blood type and screen, pregnancy testing for women with beta-human chorionic gonadotropin (B-HCG), baseline triglycerides, and HLA typing (for allogeneic donors or TCR-based therapies).","c-replace":[""],"ab-name":"Abbreviations","a-name":"Possible_Abbreviations","g-rebookmarkname":"","i-wm":"PD","d-description":"Word in all caps may be an abbreviation.","k-color":"","f-bookmark":"BMABBRE100082","j-groupid":1},{"b-find":"HCG","e-paracontent":"Baseline Labs: Laboratory assessment should include complete blood count (CBC) with differential, complete metabolic panel (CMP), lactate dehydrogenase (LDH), uric acid, prothrombin time (PT) / partial prothrombin time (PTT), fibrinogen, C-reactive protein (CRP), ferritin, thyroid-stimulating hormone (TSH) with reflex, glucose-6-phosphate dehydrogenase (G6PD) activity (for potential use of dapsone/rasburicase), blood type and screen, pregnancy testing for women with beta-human chorionic gonadotropin (B&lt;mark&gt;HCG&lt;\/mark&gt;), baseline triglycerides, and HLA typing (for allogeneic donors or TCR-based therapies).","c-replace":[""],"ab-name":"Abbreviations","a-name":"Possible_Abbreviations","g-rebookmarkname":"","i-wm":"HCG","d-description":"Word in all caps may be an abbreviation.","k-color":"","f-bookmark":"BMABBRE100083","j-groupid":1},{"b-find":"TCR","e-paracontent":"Baseline Labs: Laboratory assessment should include complete blood count (CBC) with differential, complete metabolic panel (CMP), lactate dehydrogenase (LDH), uric acid, prothrombin time (PT) / partial prothrombin time (PTT), fibrinogen, C-reactive protein (CRP),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or&lt;mark&gt;TCR&lt;\/mark&gt;-based therapies).","c-replace":[""],"ab-name":"Abbreviations","a-name":"Possible_Abbreviations","g-rebookmarkname":"","i-wm":"TCR","d-description":"Word in all caps may be an abbreviation.","k-color":"","f-bookmark":"BMABBRE100084","j-groupid":1},{"b-find":"herpes simplex virus (HSV)","e-paracontent":"Infectious Disease Work Up: Comprehensive screening must be current prior to leukapheresis/surgical harvesting and within 4 weeks of lymphodepletion, confirming no active or uncontrolled infections. Infectious disease screening uses serology for HIV, hepatitis B/C (HBV/HCV),&lt;mark&gt;herpes simplex virus (HSV)&lt;\/mark&gt;,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","c-replace":["herpes simplex virus (HSV)","HSV"],"ab-name":"Abbreviations","a-name":"Abbreviation_Used_Only_Once","g-rebookmarkname":"","i-wm":"herpes simplex virus (HSV)","d-description":"An abbreviation is present with its expanded form, but not used subsequently.","k-color":"#a24c29","f-bookmark":"BMABBRE100114","j-groupid":9},{"b-find":"varicella-zoster virus (VZV)","e-paracontent":"Infectious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(HSV),&lt;mark&gt;varicella-zoster virus (VZV)&lt;\/mark&gt;,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","c-replace":["varicella-zoster virus (VZV)","VZV"],"ab-name":"Abbreviations","a-name":"Abbreviation_Used_Only_Once","g-rebookmarkname":"","i-wm":"varicella-zoster virus (VZV)","d-description":"An abbreviation is present with its expanded form, but not used subsequently.","k-color":"#a24c29","f-bookmark":"BMABBRE100115","j-groupid":10},{"b-find":"Epstein-Barr virus (EBV)","e-paracontent":"Infectious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(VZV),&lt;mark&gt;Epstein-Barr virus (EBV)&lt;\/mark&gt;,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","c-replace":["Epstein-Barr virus (EBV)","EBV"],"ab-name":"Abbreviations","a-name":"Abbreviation_Used_Only_Once","g-rebookmarkname":"","i-wm":"Epstein-Barr virus (EBV)","d-description":"An abbreviation is present with its expanded form, but not used subsequently.","k-color":"#a24c29","f-bookmark":"BMABBRE100116","j-groupid":11},{"b-find":"West Nile virus (WNV)","e-paracontent":"Infectious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and&lt;mark&gt;West Nile virus (WNV)&lt;\/mark&gt;,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","c-replace":["West Nile virus (WNV)","WNV"],"ab-name":"Abbreviations","a-name":"Abbreviation_Used_Only_Once","g-rebookmarkname":"","i-wm":"West Nile virus (WNV)","d-description":"An abbreviation is present with its expanded form, but not used subsequently.","k-color":"#a24c29","f-bookmark":"BMABBRE100117","j-groupid":12},{"b-find":"polymerase chain reaction (PCR)","e-paracontent":"Infectious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 West Nile virus (WNV), with&lt;mark&gt;polymerase chain reaction (PCR)&lt;\/mark&gt;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","c-replace":["polymerase chain reaction (PCR)","PCR"],"ab-name":"Abbreviations","a-name":"Abbreviation_Used_Only_Once","g-rebookmarkname":"","i-wm":"polymerase chain reaction (PCR)","d-description":"An abbreviation is present with its expanded form, but not used subsequently.","k-color":"#a24c29","f-bookmark":"BMABBRE100118","j-groupid":13},{"b-find":"HIV","e-paracontent":"Infectious Disease Work Up: Comprehensive screening must be current prior to leukapheresis/surgical harvesting and within 4 weeks of lymphodepletion, confirming no active or uncontrolled infections. Infectious disease screening uses serology for&lt;mark&gt;HIV&lt;\/mark&gt;, hepatitis B/C (HBV/HCV), herpes simplex virus (HSV),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","c-replace":[""],"ab-name":"Abbreviations","a-name":"Possible_Abbreviations","g-rebookmarkname":"","i-wm":"HIV","d-description":"Word in all caps may be an abbreviation.","k-color":"","f-bookmark":"BMABBRE100119","j-groupid":1},{"b-find":"HBV","e-paracontent":"Infectious Disease Work Up: Comprehensive screening must be current prior to leukapheresis/surgical harvesting and within 4 weeks of lymphodepletion, confirming no active or uncontrolled infections. Infectious disease screening uses serology for HIV, hepatitis B/C &lt;mark&gt;HBV&lt;\/mark&gt;/HCV), herpes simplex virus (HSV),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","c-replace":[""],"ab-name":"Abbreviations","a-name":"Possible_Abbreviations","g-rebookmarkname":"","i-wm":"HBV","d-description":"Word in all caps may be an abbreviation.","k-color":"","f-bookmark":"BMABBRE100120","j-groupid":1},{"b-find":"HCV","e-paracontent":"Infectious Disease Work Up: Comprehensive screening must be current prior to leukapheresis/surgical harvesting and within 4 weeks of lymphodepletion, confirming no active or uncontrolled infections. Infectious disease screening uses serology for HIV, hepatitis B/C (HBV&lt;mark&gt;HCV&lt;\/mark&gt;), herpes simplex virus (HSV),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","c-replace":[""],"ab-name":"Abbreviations","a-name":"Possible_Abbreviations","g-rebookmarkname":"","i-wm":"HCV","d-description":"Word in all caps may be an abbreviation.","k-color":"","f-bookmark":"BMABBRE100121","j-groupid":1},{"b-find":"CMV","e-paracontent":"Infectious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&lt;mark&gt;CMV&lt;\/mark&gt;),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","c-replace":[""],"ab-name":"Abbreviations","a-name":"Possible_Abbreviations","g-rebookmarkname":"","i-wm":"CMV","d-description":"Word in all caps may be an abbreviation.","k-color":"","f-bookmark":"BMABBRE100122","j-groupid":1},{"b-find":"HTLV","e-paracontent":"Infectious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&lt;mark&gt;HTLV&lt;\/mark&gt;-1/2),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","c-replace":[""],"ab-name":"Abbreviations","a-name":"Possible_Abbreviations","g-rebookmarkname":"","i-wm":"HTLV","d-description":"Word in all caps may be an abbreviation.","k-color":"","f-bookmark":"BMABBRE100123","j-groupid":1},{"b-find":"RPR","e-paracontent":"Infectious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&lt;mark&gt;RPR&lt;\/mark&gt;),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","c-replace":[""],"ab-name":"Abbreviations","a-name":"Possible_Abbreviations","g-rebookmarkname":"","i-wm":"RPR","d-description":"Word in all caps may be an abbreviation.","k-color":"","f-bookmark":"BMABBRE100124","j-groupid":1},{"b-find":"FERON","e-paracontent":"Infectious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 West Nile virus (WNV), with polymerase chain reaction (PCR) confirmation for positive serologies.  Tuberculosis screening (e.g., Quant&lt;mark&gt;FERON&lt;\/mark&gt;,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","c-replace":[""],"ab-name":"Abbreviations","a-name":"Possible_Abbreviations","g-rebookmarkname":"","i-wm":"FERON","d-description":"Word in all caps may be an abbreviation.","k-color":"","f-bookmark":"BMABBRE100125","j-groupid":1},{"b-find":"TIL","e-paracontent":"Infectious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receiving&lt;mark&gt;TIL&lt;\/mark&gt;s may be indicated.  Respiratory viral panel to include for COVID testing should be empirically performed prior leukapheresis, lymphodepletion, and cellular infusion and certainly in symptomatic cases. Additionally, endemic ","c-replace":[""],"ab-name":"Abbreviations","a-name":"Possible_Abbreviations","g-rebookmarkname":"","i-wm":"TIL","d-description":"Word in all caps may be an abbreviation.","k-color":"","f-bookmark":"BMABBRE100126","j-groupid":1},{"b-find":"COVID","e-paracontent":"Infectious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for&lt;mark&gt;COVID&lt;\/mark&gt; testing should be empirically performed prior leukapheresis, lymphodepletion, and cellular infusion and certainly in symptomatic cases. Additionally, endemic ","c-replace":[""],"ab-name":"Abbreviations","a-name":"Possible_Abbreviations","g-rebookmarkname":"","i-wm":"COVID","d-description":"Word in all caps may be an abbreviation.","k-color":"","f-bookmark":"BMABBRE100127","j-groupid":1},{"b-find":"left ventricular ejection fraction (LVEF)","e-paracontent":"Cardiovascular/Pulmonary Testing: Perform baseline electrocardiogram (EKG), multigated acquisition (MUGA) scan or echocardiogram (ECHO, preferred) for&lt;mark&gt;left ventricular ejection fraction (LVEF)&lt;\/mark&gt; assessment and structural abnormalities (e.g. pericardial effusions, wall motion, valvulopathies, etc), and pulmonary function tests (PFTs) with diffusing capacity (DLCO).","c-replace":["left ventricular ejection fraction (LVEF)","LVEF"],"ab-name":"Abbreviations","a-name":"Abbreviation","g-rebookmarkname":"","i-wm":"left ventricular ejection fraction (LVEF)","d-description":"An abbreviation must appear with its expanded form first and can then only be reused.","k-color":"#a24c29","f-bookmark":"BMABBRE100163","j-groupid":14},{"b-find":"pulmonary function tests (PFTs)","e-paracontent":"Cardiovascular/Pulmonary Testing: Perform baseline electrocardiogram (EKG), multigated acquisition (MUGA) scan or echocardiogram (ECHO, preferred) for left ventricular ejection fraction (LVEF) assessment and structural abnormalities (e.g. pericardial effusions, wall motion, valvulopathies, etc), and&lt;mark&gt;pulmonary function tests (PFTs)&lt;\/mark&gt; with diffusing capacity (DLCO).","c-replace":["pulmonary function tests (PFTs)","PFTs"],"ab-name":"Abbreviations","a-name":"Abbreviation_Used_Only_Once","g-rebookmarkname":"","i-wm":"pulmonary function tests (PFTs)","d-description":"An abbreviation is present with its expanded form, but not used subsequently.","k-color":"#a24c29","f-bookmark":"BMABBRE100164","j-groupid":15},{"b-find":"EKG","e-paracontent":"Cardiovascular/Pulmonary Testing: Perform baseline electrocardiogram &lt;mark&gt;EKG&lt;\/mark&gt;), multigated acquisition (MUGA) scan or echocardiogram (ECHO, preferred) for left ventricular ejection fraction (LVEF) assessment and structural abnormalities (e.g. pericardial effusions, wall motion, valvulopathies, etc), and pulmonary function tests (PFTs) with diffusing capacity (DLCO).","c-replace":[""],"ab-name":"Abbreviations","a-name":"Possible_Abbreviations","g-rebookmarkname":"","i-wm":"EKG","d-description":"Word in all caps may be an abbreviation.","k-color":"","f-bookmark":"BMABBRE100165","j-groupid":1},{"b-find":"MUGA","e-paracontent":"Cardiovascular/Pulmonary Testing: Perform baseline electrocardiogram (EKG), multigated acquisition &lt;mark&gt;MUGA&lt;\/mark&gt;) scan or echocardiogram (ECHO, preferred) for left ventricular ejection fraction (LVEF) assessment and structural abnormalities (e.g. pericardial effusions, wall motion, valvulopathies, etc), and pulmonary function tests (PFTs) with diffusing capacity (DLCO).","c-replace":[""],"ab-name":"Abbreviations","a-name":"Possible_Abbreviations","g-rebookmarkname":"","i-wm":"MUGA","d-description":"Word in all caps may be an abbreviation.","k-color":"","f-bookmark":"BMABBRE100166","j-groupid":1},{"b-find":"ECHO","e-paracontent":"Cardiovascular/Pulmonary Testing: Perform baseline electrocardiogram (EKG), multigated acquisition (MUGA) scan or echocardiogram &lt;mark&gt;ECHO&lt;\/mark&gt;, preferred) for left ventricular ejection fraction (LVEF) assessment and structural abnormalities (e.g. pericardial effusions, wall motion, valvulopathies, etc), and pulmonary function tests (PFTs) with diffusing capacity (DLCO).","c-replace":[""],"ab-name":"Abbreviations","a-name":"Possible_Abbreviations","g-rebookmarkname":"","i-wm":"ECHO","d-description":"Word in all caps may be an abbreviation.","k-color":"","f-bookmark":"BMABBRE100167","j-groupid":1},{"b-find":"DLCO","e-paracontent":"Cardiovascular/Pulmonary Testing: Perform baseline electrocardiogram (EKG), multigated acquisition (MUGA) scan or echocardiogram (ECHO, preferred) for left ventricular ejection fraction (LVEF) assessment and structural abnormalities (e.g. pericardial effusions, wall motion, valvulopathies, etc), and pulmonary function tests (PFTs) with diffusing capacity &lt;mark&gt;DLCO&lt;\/mark&gt;).","c-replace":[""],"ab-name":"Abbreviations","a-name":"Possible_Abbreviations","g-rebookmarkname":"","i-wm":"DLCO","d-description":"Word in all caps may be an abbreviation.","k-color":"","f-bookmark":"BMABBRE100168","j-groupid":1},{"b-find":"HCT","e-paracontent":"Vary across protocols/institutional guidelines and type of cellular immunotherapy but include proximal allo&lt;mark&gt;HCT&lt;\/mark&gt; (e.g. &lt;100 days), active GvHD, cellular persistence of previously received gene-modified CAR product (particularly when considering a new gene-modified cellular therapy), synchronous malignancies (often excluding cutaneous squamous cell carcinoma), active/untreated CNS disease (e.g. active malignancy, uncontrolled seizures), uncontrolled infection, active immunosuppression, etc. ","c-replace":[""],"ab-name":"Abbreviations","a-name":"Possible_Abbreviations","g-rebookmarkname":"","i-wm":"HCT","d-description":"Word in all caps may be an abbreviation.","k-color":"","f-bookmark":"BMABBRE100193","j-groupid":1},{"b-find":"HD","e-paracontent":"Vary across protocols/institutional guidelines and type of cellular immunotherapy but include proximal allo-HCT (e.g. &lt;100 days), active G&lt;mark&gt;HD&lt;\/mark&gt;, cellular persistence of previously received gene-modified CAR product (particularly when considering a new gene-modified cellular therapy), synchronous malignancies (often excluding cutaneous squamous cell carcinoma), active/untreated CNS disease (e.g. active malignancy, uncontrolled seizures), uncontrolled infection, active immunosuppression, etc. ","c-replace":[""],"ab-name":"Abbreviations","a-name":"Possible_Abbreviations","g-rebookmarkname":"","i-wm":"HD","d-description":"Word in all caps may be an abbreviation.","k-color":"","f-bookmark":"BMABBRE100194","j-groupid":1},{"b-find":"CAR","e-paracontent":"Vary across protocols/institutional guidelines and type of cellular immunotherapy but include proximal allo-HCT (e.g. &lt;100 days), active GvHD, cellular persistence of previously received gene-modified&lt;mark&gt;CAR&lt;\/mark&gt; product (particularly when considering a new gene-modified cellular therapy), synchronous malignancies (often excluding cutaneous squamous cell carcinoma), active/untreated CNS disease (e.g. active malignancy, uncontrolled seizures), uncontrolled infection, active immunosuppression, etc. ","c-replace":[""],"ab-name":"Abbreviations","a-name":"Possible_Abbreviations","g-rebookmarkname":"","i-wm":"CAR","d-description":"Word in all caps may be an abbreviation.","k-color":"","f-bookmark":"BMABBRE100195","j-groupid":1},{"b-find":"CNS","e-paracontent":"Vary across protocols/institutional guidelines and type of cellular immunotherapy but include proximal allo-HCT (e.g. &lt;100 days), active GvHD, cellular persistence of previously received gene-modified CAR product (particularly when considering a new gene-modified cellular therapy), synchronous malignancies (often excluding cutaneous squamous cell carcinoma), active/untreated&lt;mark&gt;CNS&lt;\/mark&gt; disease (e.g. active malignancy, uncontrolled seizures), uncontrolled infection, active immunosuppression, etc. ","c-replace":[""],"ab-name":"Abbreviations","a-name":"Possible_Abbreviations","g-rebookmarkname":"","i-wm":"CNS","d-description":"Word in all caps may be an abbreviation.","k-color":"","f-bookmark":"BMABBRE100196","j-groupid":1},{"b-find":"CNS","e-paracontent":"Active&lt;mark&gt;CNS&lt;\/mark&gt; involvement, historically a relative contraindication for cellular immunotherapies due to ICANS risk, now shows comparable efficacy/safety in real-world CAR T-cell data. High-risk patients (e.g., ALL, high grade lymphoma) should be screened with lumbar puncture (to include opening pressures) and MRI brain/spine with debulk via intrathecal/systemic chemotherapy prior to cellular infusion to mitigate neurotoxic risk. Multidisciplinary input from neuro-oncology and enhanced monitoring are critical in such circumstances.  Of note, patients being considered for TILs in the auspices of high dose IL-2 support may require multidisciplinary discussions as CNS metastasis precluded treatment eligibility in most published studies. ","c-replace":[""],"ab-name":"Abbreviations","a-name":"Possible_Abbreviations","g-rebookmarkname":"","i-wm":"CNS","d-description":"Word in all caps may be an abbreviation.","k-color":"","f-bookmark":"BMABBRE100209","j-groupid":1},{"b-find":"ICANS","e-paracontent":"Active CNS involvement, historically a relative contraindication for cellular immunotherapies due to&lt;mark&gt;ICANS&lt;\/mark&gt; risk, now shows comparable efficacy/safety in real-world CAR T-cell data. High-risk patients (e.g., ALL, high grade lymphoma) should be screened with lumbar puncture (to include opening pressures) and MRI brain/spine with debulk via intrathecal/systemic chemotherapy prior to cellular infusion to mitigate neurotoxic risk. Multidisciplinary input from neuro-oncology and enhanced monitoring are critical in such circumstances.  Of note, patients being considered for TILs in the auspices of high dose IL-2 support may require multidisciplinary discussions as CNS metastasis precluded treatment eligibility in most published studies. ","c-replace":[""],"ab-name":"Abbreviations","a-name":"Possible_Abbreviations","g-rebookmarkname":"","i-wm":"ICANS","d-description":"Word in all caps may be an abbreviation.","k-color":"","f-bookmark":"BMABBRE100210","j-groupid":1},{"b-find":"CAR","e-paracontent":"Active CNS involvement, historically a relative contraindication for cellular immunotherapies due to ICANS risk, now shows comparable efficacy/safety in real-world&lt;mark&gt;CAR&lt;\/mark&gt; T-cell data. High-risk patients (e.g., ALL, high grade lymphoma) should be screened with lumbar puncture (to include opening pressures) and MRI brain/spine with debulk via intrathecal/systemic chemotherapy prior to cellular infusion to mitigate neurotoxic risk. Multidisciplinary input from neuro-oncology and enhanced monitoring are critical in such circumstances.  Of note, patients being considered for TILs in the auspices of high dose IL-2 support may require multidisciplinary discussions as CNS metastasis precluded treatment eligibility in most published studies. ","c-replace":[""],"ab-name":"Abbreviations","a-name":"Possible_Abbreviations","g-rebookmarkname":"","i-wm":"CAR","d-description":"Word in all caps may be an abbreviation.","k-color":"","f-bookmark":"BMABBRE100211","j-groupid":1},{"b-find":"ALL","e-paracontent":"Active CNS involvement, historically a relative contraindication for cellular immunotherapies due to ICANS risk, now shows comparable efficacy/safety in real-world CAR T-cell data. High-risk patients (e.g.,&lt;mark&gt;ALL&lt;\/mark&gt;, high grade lymphoma) should be screened with lumbar puncture (to include opening pressures) and MRI brain/spine with debulk via intrathecal/systemic chemotherapy prior to cellular infusion to mitigate neurotoxic risk. Multidisciplinary input from neuro-oncology and enhanced monitoring are critical in such circumstances.  Of note, patients being considered for TILs in the auspices of high dose IL-2 support may require multidisciplinary discussions as CNS metastasis precluded treatment eligibility in most published studies. ","c-replace":[""],"ab-name":"Abbreviations","a-name":"Possible_Abbreviations","g-rebookmarkname":"","i-wm":"ALL","d-description":"Word in all caps may be an abbreviation.","k-color":"","f-bookmark":"BMABBRE100212","j-groupid":1},{"b-find":"MRI","e-paracontent":"Active CNS involvement, historically a relative contraindication for cellular immunotherapies due to ICANS risk, now shows comparable efficacy/safety in real-world CAR T-cell data. High-risk patients (e.g., ALL, high grade lymphoma) should be screened with lumbar puncture (to include opening pressures) and&lt;mark&gt;MRI&lt;\/mark&gt; brain/spine with debulk via intrathecal/systemic chemotherapy prior to cellular infusion to mitigate neurotoxic risk. Multidisciplinary input from neuro-oncology and enhanced monitoring are critical in such circumstances.  Of note, patients being considered for TILs in the auspices of high dose IL-2 support may require multidisciplinary discussions as CNS metastasis precluded treatment eligibility in most published studies. ","c-replace":[""],"ab-name":"Abbreviations","a-name":"Possible_Abbreviations","g-rebookmarkname":"","i-wm":"MRI","d-description":"Word in all caps may be an abbreviation.","k-color":"","f-bookmark":"BMABBRE100213","j-groupid":1},{"b-find":"TIL","e-paracontent":"Active CNS involvement, historically a relative contraindication for cellular immunotherapies due to ICANS risk, now shows comparable efficacy/safety in real-world CAR T-cell data. High-risk patients (e.g., ALL, high grade lymphoma) should be screened with lumbar puncture (to include opening pressures) and MRI brain/spine with debulk via intrathecal/systemic chemotherapy prior to cellular infusion to mitigate neurotoxic risk. Multidisciplinary input from neuro-oncology and enhanced monitoring are critical in such circumstances.  Of note, patients being considered for&lt;mark&gt;TIL&lt;\/mark&gt;s in the auspices of high dose IL-2 support may require multidisciplinary discussions as CNS metastasis precluded treatment eligibility in most published studies. ","c-replace":[""],"ab-name":"Abbreviations","a-name":"Possible_Abbreviations","g-rebookmarkname":"","i-wm":"TIL","d-description":"Word in all caps may be an abbreviation.","k-color":"","f-bookmark":"BMABBRE100214","j-groupid":1},{"b-find":"IL","e-paracontent":"Active CNS involvement, historically a relative contraindication for cellular immunotherapies due to ICANS risk, now shows comparable efficacy/safety in real-world CAR T-cell data. High-risk patients (e.g., ALL, high grade lymphoma) should be screened with lumbar puncture (to include opening pressures) and MRI brain/spine with debulk via intrathecal/systemic chemotherapy prior to cellular infusion to mitigate neurotoxic risk. Multidisciplinary input from neuro-oncology and enhanced monitoring are critical in such circumstances.  Of note, patients being considered for TILs in the auspices of high dose&lt;mark&gt;IL&lt;\/mark&gt;-2 support may require multidisciplinary discussions as CNS metastasis precluded treatment eligibility in most published studies. ","c-replace":[""],"ab-name":"Abbreviations","a-name":"Possible_Abbreviations","g-rebookmarkname":"","i-wm":"IL","d-description":"Word in all caps may be an abbreviation.","k-color":"","f-bookmark":"BMABBRE100215","j-groupid":1},{"b-find":"CNS","e-paracontent":"Active CNS involvement, historically a relative contraindication for cellular immunotherapies due to ICANS risk, now shows comparable efficacy/safety in real-world CAR T-cell data. High-risk patients (e.g., ALL, high grade lymphoma) should be screened with lumbar puncture (to include opening pressures) and MRI brain/spine with debulk via intrathecal/systemic chemotherapy prior to cellular infusion to mitigate neurotoxic risk. Multidisciplinary input from neuro-oncology and enhanced monitoring are critical in such circumstances.  Of note, patients being considered for TILs in the auspices of high dose IL-2 support may require multidisciplinary discussions as&lt;mark&gt;CNS&lt;\/mark&gt; metastasis precluded treatment eligibility in most published studies. ","c-replace":[""],"ab-name":"Abbreviations","a-name":"Possible_Abbreviations","g-rebookmarkname":"","i-wm":"CNS","d-description":"Word in all caps may be an abbreviation.","k-color":"","f-bookmark":"BMABBRE100216","j-groupid":1},{"b-find":"CAR","e-paracontent":"&lt;mark&gt;CAR&lt;\/mark&gt; T-Cell Eligibility: Eligibility for CAR T-cell therapies vary due to diverse cellular constructs and respective indications. Seminal registration trials for B cell malignancies required robust performance status (Eastern Cooperative Oncology Group [ECOG 0\u20131]), minimal comorbidities, and stable disease. However, real-world data demonstrate efficacy in \u201cfrail\u201d or transplant-ineligible patients, enabling broader post-approval flexibility. At-risk patients with borderline performance status, comorbidities, or cognitive limitations benefit from multidisciplinary frailty assessments, involving geriatrics, physical therapy, nutrition, and social work, to optimize therapeutic access. Bridging therapies (Chapter 7) may stabilize bulky/kinetically active disease to reduce toxicity, though trial-specific exclusions, such as active or uncontrolled infections, remain applicable.","c-replace":[""],"ab-name":"Abbreviations","a-name":"Possible_Abbreviations","g-rebookmarkname":"","i-wm":"CAR","d-description":"Word in all caps may be an abbreviation.","k-color":"","f-bookmark":"BMABBRE100234","j-groupid":1},{"b-find":"CAR","e-paracontent":"CAR T-Cell Eligibility: Eligibility for&lt;mark&gt;CAR&lt;\/mark&gt; T-cell therapies vary due to diverse cellular constructs and respective indications. Seminal registration trials for B cell malignancies required robust performance status (Eastern Cooperative Oncology Group [ECOG 0\u20131]), minimal comorbidities, and stable disease. However, real-world data demonstrate efficacy in \u201cfrail\u201d or transplant-ineligible patients, enabling broader post-approval flexibility. At-risk patients with borderline performance status, comorbidities, or cognitive limitations benefit from multidisciplinary frailty assessments, involving geriatrics, physical therapy, nutrition, and social work, to optimize therapeutic access. Bridging therapies (Chapter 7) may stabilize bulky/kinetically active disease to reduce toxicity, though trial-specific exclusions, such as active or uncontrolled infections, remain applicable.","c-replace":[""],"ab-name":"Abbreviations","a-name":"Possible_Abbreviations","g-rebookmarkname":"","i-wm":"CAR","d-description":"Word in all caps may be an abbreviation.","k-color":"","f-bookmark":"BMABBRE100235","j-groupid":1},{"b-find":"ECOG","e-paracontent":"CAR T-Cell Eligibility: Eligibility for CAR T-cell therapies vary due to diverse cellular constructs and respective indications. Seminal registration trials for B cell malignancies required robust performance status (Eastern Cooperative Oncology Group &lt;mark&gt;ECOG&lt;\/mark&gt; 0\u20131]), minimal comorbidities, and stable disease. However, real-world data demonstrate efficacy in \u201cfrail\u201d or transplant-ineligible patients, enabling broader post-approval flexibility. At-risk patients with borderline performance status, comorbidities, or cognitive limitations benefit from multidisciplinary frailty assessments, involving geriatrics, physical therapy, nutrition, and social work, to optimize therapeutic access. Bridging therapies (Chapter 7) may stabilize bulky/kinetically active disease to reduce toxicity, though trial-specific exclusions, such as active or uncontrolled infections, remain applicable.","c-replace":[""],"ab-name":"Abbreviations","a-name":"Possible_Abbreviations","g-rebookmarkname":"","i-wm":"ECOG","d-description":"Word in all caps may be an abbreviation.","k-color":"","f-bookmark":"BMABBRE100236","j-groupid":1},{"b-find":"HLA","e-paracontent":"TCR T-Cell Eligibility: TCR T-cell eligibility is predicated on&lt;mark&gt;HLA&lt;\/mark&gt; compatibility and relevant antigen expression, with investigational trials mandating adequate performance status, preserved organ function, and consideration of lymphodepletion intensity. Although real world data in regulatory-approved TCR therapies are limited, clinical protocols may cautiously include frail patients with multidisciplinary optimization, as comorbidities do not necessarily preclude efficacy. Comprehensive assessment ensures tolerance of lymphodepletion and infusion, with trial-specific HLA restrictions (e.g., HLA-A*02:01) being critical. Real-world flexibility is emerging but less established compared to CAR T-cells.","c-replace":["Human Leukocyte Antigen (HLA)","HLA"],"ab-name":"Abbreviations","a-name":"Abbreviation_Used_Before_Definition","g-rebookmarkname":"","i-wm":"HLA","d-description":"An abbreviation is used even before it is defined. Normally an abbreviation is introduced alongwith its expanded form.","k-color":"#a24c29","f-bookmark":"BMABBRE100246","j-groupid":16},{"b-find":"HLA","e-paracontent":"TCR T-Cell Eligibility: TCR T-cell eligibility is predicated on HLA compatibility and relevant antigen expression, with investigational trials mandating adequate performance status, preserved organ function, and consideration of lymphodepletion intensity. Although real world data in regulatory-approved TCR therapies are limited, clinical protocols may cautiously include frail patients with multidisciplinary optimization, as comorbidities do not necessarily preclude efficacy. Comprehensive assessment ensures tolerance of lymphodepletion and infusion, with trial-specific&lt;mark&gt;HLA&lt;\/mark&gt; restrictions (e.g., HLA-A*02:01) being critical. Real-world flexibility is emerging but less established compared to CAR T-cells.","c-replace":["Human Leukocyte Antigen (HLA)","HLA"],"ab-name":"Abbreviations","a-name":"Abbreviation_Used_Before_Definition","g-rebookmarkname":"","i-wm":"HLA","d-description":"An abbreviation is used even before it is defined. Normally an abbreviation is introduced alongwith its expanded form.","k-color":"#a24c29","f-bookmark":"BMABBRE100247","j-groupid":16},{"b-find":"HLA","e-paracontent":"TCR T-Cell Eligibility: TCR T-cell eligibility is predicated on HLA compatibility and relevant antigen expression, with investigational trials mandating adequate performance status, preserved organ function, and consideration of lymphodepletion intensity. Although real world data in regulatory-approved TCR therapies are limited, clinical protocols may cautiously include frail patients with multidisciplinary optimization, as comorbidities do not necessarily preclude efficacy. Comprehensive assessment ensures tolerance of lymphodepletion and infusion, with trial-specific HLA restrictions (e.g.,&lt;mark&gt;HLA&lt;\/mark&gt;-A*02:01) being critical. Real-world flexibility is emerging but less established compared to CAR T-cells.","c-replace":["Human Leukocyte Antigen (HLA)","HLA"],"ab-name":"Abbreviations","a-name":"Abbreviation_Used_Before_Definition","g-rebookmarkname":"","i-wm":"HLA","d-description":"An abbreviation is used even before it is defined. Normally an abbreviation is introduced alongwith its expanded form.","k-color":"#a24c29","f-bookmark":"BMABBRE100248","j-groupid":16},{"b-find":"TCR","e-paracontent":"&lt;mark&gt;TCR&lt;\/mark&gt; T-Cell Eligibility: TCR T-cell eligibility is predicated on HLA compatibility and relevant antigen expression, with investigational trials mandating adequate performance status, preserved organ function, and consideration of lymphodepletion intensity. Although real world data in regulatory-approved TCR therapies are limited, clinical protocols may cautiously include frail patients with multidisciplinary optimization, as comorbidities do not necessarily preclude efficacy. Comprehensive assessment ensures tolerance of lymphodepletion and infusion, with trial-specific HLA restrictions (e.g., HLA-A*02:01) being critical. Real-world flexibility is emerging but less established compared to CAR T-cells.","c-replace":[""],"ab-name":"Abbreviations","a-name":"Possible_Abbreviations","g-rebookmarkname":"","i-wm":"TCR","d-description":"Word in all caps may be an abbreviation.","k-color":"","f-bookmark":"BMABBRE100249","j-groupid":1},{"b-find":"TCR","e-paracontent":"TCR T-Cell Eligibility:&lt;mark&gt;TCR&lt;\/mark&gt; T-cell eligibility is predicated on HLA compatibility and relevant antigen expression, with investigational trials mandating adequate performance status, preserved organ function, and consideration of lymphodepletion intensity. Although real world data in regulatory-approved TCR therapies are limited, clinical protocols may cautiously include frail patients with multidisciplinary optimization, as comorbidities do not necessarily preclude efficacy. Comprehensive assessment ensures tolerance of lymphodepletion and infusion, with trial-specific HLA restrictions (e.g., HLA-A*02:01) being critical. Real-world flexibility is emerging but less established compared to CAR T-cells.","c-replace":[""],"ab-name":"Abbreviations","a-name":"Possible_Abbreviations","g-rebookmarkname":"","i-wm":"TCR","d-description":"Word in all caps may be an abbreviation.","k-color":"","f-bookmark":"BMABBRE100250","j-groupid":1},{"b-find":"TCR","e-paracontent":"TCR T-Cell Eligibility: TCR T-cell eligibility is predicated on HLA compatibility and relevant antigen expression, with investigational trials mandating adequate performance status, preserved organ function, and consideration of lymphodepletion intensity. Although real world data in regulatory-approved&lt;mark&gt;TCR&lt;\/mark&gt; therapies are limited, clinical protocols may cautiously include frail patients with multidisciplinary optimization, as comorbidities do not necessarily preclude efficacy. Comprehensive assessment ensures tolerance of lymphodepletion and infusion, with trial-specific HLA restrictions (e.g., HLA-A*02:01) being critical. Real-world flexibility is emerging but less established compared to CAR T-cells.","c-replace":[""],"ab-name":"Abbreviations","a-name":"Possible_Abbreviations","g-rebookmarkname":"","i-wm":"TCR","d-description":"Word in all caps may be an abbreviation.","k-color":"","f-bookmark":"BMABBRE100251","j-groupid":1},{"b-find":"CAR","e-paracontent":"TCR T-Cell Eligibility: TCR T-cell eligibility is predicated on HLA compatibility and relevant antigen expression, with investigational trials mandating adequate performance status, preserved organ function, and consideration of lymphodepletion intensity. Although real world data in regulatory-approved TCR therapies are limited, clinical protocols may cautiously include frail patients with multidisciplinary optimization, as comorbidities do not necessarily preclude efficacy. Comprehensive assessment ensures tolerance of lymphodepletion and infusion, with trial-specific HLA restrictions (e.g., HLA-A*02:01) being critical. Real-world flexibility is emerging but less established compared to&lt;mark&gt;CAR&lt;\/mark&gt; T-cells.","c-replace":[""],"ab-name":"Abbreviations","a-name":"Possible_Abbreviations","g-rebookmarkname":"","i-wm":"CAR","d-description":"Word in all caps may be an abbreviation.","k-color":"","f-bookmark":"BMABBRE100252","j-groupid":1},{"b-find":"TIL","e-paracontent":"&lt;mark&gt;TIL&lt;\/mark&gt; Eligibility: TIL therapies impose exquisitely stringent eligibility criteria due to prolonged manufacturing timelines, intensive lymphodepletion, and adjuvant need for high-dose IL-2 administration. Investigational trials typically exclude frail patients lacking robust performance status, preserved organ function, or those with significant comorbidities (e.g. cardiac or pulmonary disease). Additionally, patients with brain metastasis are typically excluded from studies although should be discussed in a multidisciplinary setting. Regulatory-approved TIL therapies cautiously permit broader inclusion with multidisciplinary optimization. At-risk patients with borderline performance status or impaired organ function require frailty assessment to guide prehabilitation. Sufficient tumor burden is essential for successful harvesting, and strict trial-specific exclusions, such as active infections continue to apply.","c-replace":[""],"ab-name":"Abbreviations","a-name":"Possible_Abbreviations","g-rebookmarkname":"","i-wm":"TIL","d-description":"Word in all caps may be an abbreviation.","k-color":"","f-bookmark":"BMABBRE100262","j-groupid":1},{"b-find":"TIL","e-paracontent":"TIL Eligibility:&lt;mark&gt;TIL&lt;\/mark&gt; therapies impose exquisitely stringent eligibility criteria due to prolonged manufacturing timelines, intensive lymphodepletion, and adjuvant need for high-dose IL-2 administration. Investigational trials typically exclude frail patients lacking robust performance status, preserved organ function, or those with significant comorbidities (e.g. cardiac or pulmonary disease). Additionally, patients with brain metastasis are typically excluded from studies although should be discussed in a multidisciplinary setting. Regulatory-approved TIL therapies cautiously permit broader inclusion with multidisciplinary optimization. At-risk patients with borderline performance status or impaired organ function require frailty assessment to guide prehabilitation. Sufficient tumor burden is essential for successful harvesting, and strict trial-specific exclusions, such as active infections continue to apply.","c-replace":[""],"ab-name":"Abbreviations","a-name":"Possible_Abbreviations","g-rebookmarkname":"","i-wm":"TIL","d-description":"Word in all caps may be an abbreviation.","k-color":"","f-bookmark":"BMABBRE100263","j-groupid":1},{"b-find":"IL","e-paracontent":"TIL Eligibility: TIL therapies impose exquisitely stringent eligibility criteria due to prolonged manufacturing timelines, intensive lymphodepletion, and adjuvant need for high-dose&lt;mark&gt;IL&lt;\/mark&gt;-2 administration. Investigational trials typically exclude frail patients lacking robust performance status, preserved organ function, or those with significant comorbidities (e.g. cardiac or pulmonary disease). Additionally, patients with brain metastasis are typically excluded from studies although should be discussed in a multidisciplinary setting. Regulatory-approved TIL therapies cautiously permit broader inclusion with multidisciplinary optimization. At-risk patients with borderline performance status or impaired organ function require frailty assessment to guide prehabilitation. Sufficient tumor burden is essential for successful harvesting, and strict trial-specific exclusions, such as active infections continue to apply.","c-replace":[""],"ab-name":"Abbreviations","a-name":"Possible_Abbreviations","g-rebookmarkname":"","i-wm":"IL","d-description":"Word in all caps may be an abbreviation.","k-color":"","f-bookmark":"BMABBRE100264","j-groupid":1},{"b-find":"TIL","e-paracontent":"TIL Eligibility: TIL therapies impose exquisitely stringent eligibility criteria due to prolonged manufacturing timelines, intensive lymphodepletion, and adjuvant need for high-dose IL-2 administration. Investigational trials typically exclude frail patients lacking robust performance status, preserved organ function, or those with significant comorbidities (e.g. cardiac or pulmonary disease). Additionally, patients with brain metastasis are typically excluded from studies although should be discussed in a multidisciplinary setting. Regulatory-approved&lt;mark&gt;TIL&lt;\/mark&gt; therapies cautiously permit broader inclusion with multidisciplinary optimization. At-risk patients with borderline performance status or impaired organ function require frailty assessment to guide prehabilitation. Sufficient tumor burden is essential for successful harvesting, and strict trial-specific exclusions, such as active infections continue to apply.","c-replace":[""],"ab-name":"Abbreviations","a-name":"Possible_Abbreviations","g-rebookmarkname":"","i-wm":"TIL","d-description":"Word in all caps may be an abbreviation.","k-color":"","f-bookmark":"BMABBRE100265","j-groupid":1},{"b-find":"TE","e-paracontent":"B&lt;mark&gt;TE&lt;\/mark&gt; Eligibility: BiTE eligibility, driven by target antigen expression, is less restrictive, often accommodating patients with borderline performance status or impaired organ function. While investigational trials may exclude those with severe comorbidities, regulatory-approved BiTEs support frail patients through multidisciplinary optimization. Real-world flexibility enables use in high-burden diseases which leverages their off-the-shelf availability and potential role in \u201cbridging\u201d. ","c-replace":[""],"ab-name":"Abbreviations","a-name":"Possible_Abbreviations","g-rebookmarkname":"","i-wm":"TE","d-description":"Word in all caps may be an abbreviation.","k-color":"","f-bookmark":"BMABBRE100275","j-groupid":1},{"b-find":"TE","e-paracontent":"BiTE Eligibility: B&lt;mark&gt;TE&lt;\/mark&gt; eligibility, driven by target antigen expression, is less restrictive, often accommodating patients with borderline performance status or impaired organ function. While investigational trials may exclude those with severe comorbidities, regulatory-approved BiTEs support frail patients through multidisciplinary optimization. Real-world flexibility enables use in high-burden diseases which leverages their off-the-shelf availability and potential role in \u201cbridging\u201d. ","c-replace":[""],"ab-name":"Abbreviations","a-name":"Possible_Abbreviations","g-rebookmarkname":"","i-wm":"TE","d-description":"Word in all caps may be an abbreviation.","k-color":"","f-bookmark":"BMABBRE100276","j-groupid":1},{"b-find":"TE","e-paracontent":"BiTE Eligibility: BiTE eligibility, driven by target antigen expression, is less restrictive, often accommodating patients with borderline performance status or impaired organ function. While investigational trials may exclude those with severe comorbidities, regulatory-approved B&lt;mark&gt;TE&lt;\/mark&gt;s support frail patients through multidisciplinary optimization. Real-world flexibility enables use in high-burden diseases which leverages their off-the-shelf availability and potential role in \u201cbridging\u201d. ","c-replace":[""],"ab-name":"Abbreviations","a-name":"Possible_Abbreviations","g-rebookmarkname":"","i-wm":"TE","d-description":"Word in all caps may be an abbreviation.","k-color":"","f-bookmark":"BMABBRE100277","j-groupid":1},{"b-find":"NK","e-paracontent":"Investigational Cell Therapies &lt;mark&gt;NK&lt;\/mark&gt;s, CAR-M, Gamma-Delta T-Cells): Eligibility for investigational therapies is governed by trial-specific criteria, focusing on disease type, therapy modality, particular cellular construct, lymphodepletion intensity, and biological construct potency. Emerging data suggest potential inclusion of frail patients with optimization depending on above factors, though protocols prioritize antigen expression, infection control, and minimal comorbidities.","c-replace":[""],"ab-name":"Abbreviations","a-name":"Possible_Abbreviations","g-rebookmarkname":"","i-wm":"NK","d-description":"Word in all caps may be an abbreviation.","k-color":"","f-bookmark":"BMABBRE100283","j-groupid":1},{"b-find":"CAR","e-paracontent":"Investigational Cell Therapies (NKs,&lt;mark&gt;CAR&lt;\/mark&gt;-M, Gamma-Delta T-Cells): Eligibility for investigational therapies is governed by trial-specific criteria, focusing on disease type, therapy modality, particular cellular construct, lymphodepletion intensity, and biological construct potency. Emerging data suggest potential inclusion of frail patients with optimization depending on above factors, though protocols prioritize antigen expression, infection control, and minimal comorbidities.","c-replace":[""],"ab-name":"Abbreviations","a-name":"Possible_Abbreviations","g-rebookmarkname":"","i-wm":"CAR","d-description":"Word in all caps may be an abbreviation.","k-color":"","f-bookmark":"BMABBRE100284","j-groupid":1},{"b-find":"IHC","e-paracontent":"Antigen Expression: Confirm target antigen via immunohistochemistry &lt;mark&gt;IHC&lt;\/mark&gt;) or flow cytometry per protocol and particularly after targeted therapy exposure to detect antigen escape.","c-replace":[""],"ab-name":"Abbreviations","a-name":"Possible_Abbreviations","g-rebookmarkname":"","i-wm":"IHC","d-description":"Word in all caps may be an abbreviation.","k-color":"","f-bookmark":"BMABBRE100298","j-groupid":1},{"b-find":"Human Leukocyte Antigen (HLA)","e-paracontent":"&lt;mark&gt;Human Leukocyte Antigen (HLA)&lt;\/mark&gt; Typing: Required for HLA-restricted therapies (e.g., TCR T-cell therapies) to ensure compatibility.","c-replace":["Human Leukocyte Antigen (HLA)","HLA"],"ab-name":"Abbreviations","a-name":"Abbreviation","g-rebookmarkname":"","i-wm":"Human Leukocyte Antigen (HLA)","d-description":"An abbreviation must appear with its expanded form first and can then only be reused.","k-color":"#a24c29","f-bookmark":"BMABBRE100303","j-groupid":16},{"b-find":"HLA","e-paracontent":"Human Leukocyte Antigen (HLA) Typing: Required for&lt;mark&gt;HLA&lt;\/mark&gt;-restricted therapies (e.g., TCR T-cell therapies) to ensure compatibility.","c-replace":["Human Leukocyte Antigen (HLA)","HLA"],"ab-name":"Abbreviations","a-name":"Abbreviation","g-rebookmarkname":"","i-wm":"HLA","d-description":"An abbreviation must appear with its expanded form first and can then only be reused.","k-color":"#a24c29","f-bookmark":"BMABBRE100304","j-groupid":16},{"b-find":"TCR","e-paracontent":"Human Leukocyte Antigen (HLA) Typing: Required for HLA-restricted therapies (e.g.,&lt;mark&gt;TCR&lt;\/mark&gt; T-cell therapies) to ensure compatibility.","c-replace":[""],"ab-name":"Abbreviations","a-name":"Possible_Abbreviations","g-rebookmarkname":"","i-wm":"TCR","d-description":"Word in all caps may be an abbreviation.","k-color":"","f-bookmark":"BMABBRE100305","j-groupid":1},{"b-find":"TIL","e-paracontent":"Tumor Burden: For&lt;mark&gt;TIL&lt;\/mark&gt;s, verify resectable tumor burden to ensure sufficient material as smaller lesions risk manufacturing failure.","c-replace":[""],"ab-name":"Abbreviations","a-name":"Possible_Abbreviations","g-rebookmarkname":"","i-wm":"TIL","d-description":"Word in all caps may be an abbreviation.","k-color":"","f-bookmark":"BMABBRE100312","j-groupid":1},{"b-find":"TE","e-paracontent":"Cellular immunotherapy selection varies based on composite of factors including patient fitness, logistics, disease type, disease kinetics, availability of regulatory approved products, type of cell therapy, and consideration of available outcome data with salvage sequencing strategies to optimize outcomes where applicable (e.g., myeloma and lymphoma \u2013 where both B&lt;mark&gt;TE&lt;\/mark&gt;s and CAR T-cell therapies are approved) (Table 5.2). The following general principles should be considered in totality when adjudicating appropriateness:","c-replace":[""],"ab-name":"Abbreviations","a-name":"Possible_Abbreviations","g-rebookmarkname":"","i-wm":"TE","d-description":"Word in all caps may be an abbreviation.","k-color":"","f-bookmark":"BMABBRE100318","j-groupid":1},{"b-find":"CAR","e-paracontent":"Cellular immunotherapy selection varies based on composite of factors including patient fitness, logistics, disease type, disease kinetics, availability of regulatory approved products, type of cell therapy, and consideration of available outcome data with salvage sequencing strategies to optimize outcomes where applicable (e.g., myeloma and lymphoma \u2013 where both BiTEs and&lt;mark&gt;CAR&lt;\/mark&gt; T-cell therapies are approved) (Table 5.2). The following general principles should be considered in totality when adjudicating appropriateness:","c-replace":[""],"ab-name":"Abbreviations","a-name":"Possible_Abbreviations","g-rebookmarkname":"","i-wm":"CAR","d-description":"Word in all caps may be an abbreviation.","k-color":"","f-bookmark":"BMABBRE100319","j-groupid":1},{"b-find":"ECOG","e-paracontent":"Patient Fitness and Comorbidities: Therapeutic considerations should incorporate patient fitness and functional capacity. For frail individuals (age over 70,&lt;mark&gt;ECOG&lt;\/mark&gt; &gt;2, sarcopenia, or cognitive challenges) BiTEs may be preferable due to their generally milder toxicity profile compared to CAR T cells. Among CAR T options, 4-1BB constructs could be favored over CD28 constructs for their potentially reduced CRS risk and linked to more controlled cell expansion. Opt for less intensive lymphodepletion regimens when possible, and leverage multidisciplinary frailty assessments to enhance pre-treatment optimization, ensuring at-risk patients receive suipportive care.","c-replace":[""],"ab-name":"Abbreviations","a-name":"Possible_Abbreviations","g-rebookmarkname":"","i-wm":"ECOG","d-description":"Word in all caps may be an abbreviation.","k-color":"","f-bookmark":"BMABBRE100326","j-groupid":1},{"b-find":"TE","e-paracontent":"Patient Fitness and Comorbidities: Therapeutic considerations should incorporate patient fitness and functional capacity. For frail individuals (age over 70, ECOG &gt;2, sarcopenia, or cognitive challenges) B&lt;mark&gt;TE&lt;\/mark&gt;s may be preferable due to their generally milder toxicity profile compared to CAR T cells. Among CAR T options, 4-1BB constructs could be favored over CD28 constructs for their potentially reduced CRS risk and linked to more controlled cell expansion. Opt for less intensive lymphodepletion regimens when possible, and leverage multidisciplinary frailty assessments to enhance pre-treatment optimization, ensuring at-risk patients receive suipportive care.","c-replace":[""],"ab-name":"Abbreviations","a-name":"Possible_Abbreviations","g-rebookmarkname":"","i-wm":"TE","d-description":"Word in all caps may be an abbreviation.","k-color":"","f-bookmark":"BMABBRE100327","j-groupid":1},{"b-find":"CAR","e-paracontent":"Patient Fitness and Comorbidities: Therapeutic considerations should incorporate patient fitness and functional capacity. For frail individuals (age over 70, ECOG &gt;2, sarcopenia, or cognitive challenges) BiTEs may be preferable due to their generally milder toxicity profile compared to&lt;mark&gt;CAR&lt;\/mark&gt; T cells. Among CAR T options, 4-1BB constructs could be favored over CD28 constructs for their potentially reduced CRS risk and linked to more controlled cell expansion. Opt for less intensive lymphodepletion regimens when possible, and leverage multidisciplinary frailty assessments to enhance pre-treatment optimization, ensuring at-risk patients receive suipportive care.","c-replace":[""],"ab-name":"Abbreviations","a-name":"Possible_Abbreviations","g-rebookmarkname":"","i-wm":"CAR","d-description":"Word in all caps may be an abbreviation.","k-color":"","f-bookmark":"BMABBRE100328","j-groupid":1},{"b-find":"CAR","e-paracontent":"Patient Fitness and Comorbidities: Therapeutic considerations should incorporate patient fitness and functional capacity. For frail individuals (age over 70, ECOG &gt;2, sarcopenia, or cognitive challenges) BiTEs may be preferable due to their generally milder toxicity profile compared to CAR T cells. Among&lt;mark&gt;CAR&lt;\/mark&gt; T options, 4-1BB constructs could be favored over CD28 constructs for their potentially reduced CRS risk and linked to more controlled cell expansion. Opt for less intensive lymphodepletion regimens when possible, and leverage multidisciplinary frailty assessments to enhance pre-treatment optimization, ensuring at-risk patients receive suipportive care.","c-replace":[""],"ab-name":"Abbreviations","a-name":"Possible_Abbreviations","g-rebookmarkname":"","i-wm":"CAR","d-description":"Word in all caps may be an abbreviation.","k-color":"","f-bookmark":"BMABBRE100329","j-groupid":1},{"b-find":"BB","e-paracontent":"Patient Fitness and Comorbidities: Therapeutic considerations should incorporate patient fitness and functional capacity. For frail individuals (age over 70, ECOG &gt;2, sarcopenia, or cognitive challenges) BiTEs may be preferable due to their generally milder toxicity profile compared to CAR T cells. Among CAR T options, 4-&lt;mark&gt;BB&lt;\/mark&gt; constructs could be favored over CD28 constructs for their potentially reduced CRS risk and linked to more controlled cell expansion. Opt for less intensive lymphodepletion regimens when possible, and leverage multidisciplinary frailty assessments to enhance pre-treatment optimization, ensuring at-risk patients receive suipportive care.","c-replace":[""],"ab-name":"Abbreviations","a-name":"Possible_Abbreviations","g-rebookmarkname":"","i-wm":"BB","d-description":"Word in all caps may be an abbreviation.","k-color":"","f-bookmark":"BMABBRE100330","j-groupid":1},{"b-find":"CD","e-paracontent":"Patient Fitness and Comorbidities: Therapeutic considerations should incorporate patient fitness and functional capacity. For frail individuals (age over 70, ECOG &gt;2, sarcopenia, or cognitive challenges) BiTEs may be preferable due to their generally milder toxicity profile compared to CAR T cells. Among CAR T options, 4-1BB constructs could be favored over&lt;mark&gt;CD&lt;\/mark&gt;28 constructs for their potentially reduced CRS risk and linked to more controlled cell expansion. Opt for less intensive lymphodepletion regimens when possible, and leverage multidisciplinary frailty assessments to enhance pre-treatment optimization, ensuring at-risk patients receive suipportive care.","c-replace":[""],"ab-name":"Abbreviations","a-name":"Possible_Abbreviations","g-rebookmarkname":"","i-wm":"CD","d-description":"Word in all caps may be an abbreviation.","k-color":"","f-bookmark":"BMABBRE100331","j-groupid":1},{"b-find":"CRS","e-paracontent":"Patient Fitness and Comorbidities: Therapeutic considerations should incorporate patient fitness and functional capacity. For frail individuals (age over 70, ECOG &gt;2, sarcopenia, or cognitive challenges) BiTEs may be preferable due to their generally milder toxicity profile compared to CAR T cells. Among CAR T options, 4-1BB constructs could be favored over CD28 constructs for their potentially reduced&lt;mark&gt;CRS&lt;\/mark&gt; risk and linked to more controlled cell expansion. Opt for less intensive lymphodepletion regimens when possible, and leverage multidisciplinary frailty assessments to enhance pre-treatment optimization, ensuring at-risk patients receive suipportive care.","c-replace":[""],"ab-name":"Abbreviations","a-name":"Possible_Abbreviations","g-rebookmarkname":"","i-wm":"CRS","d-description":"Word in all caps may be an abbreviation.","k-color":"","f-bookmark":"BMABBRE100332","j-groupid":1},{"b-find":"TE","e-paracontent":"Disease Urgency: Promptly addressing rapid disease progression or significant tumor burden is essential. When manufacturing timelines are a limiting factor, \"off-the-shelf\" therapies such as B&lt;mark&gt;TE&lt;\/mark&gt;s or allogeneic cell products may be optimal, particularly when supported by clinical outcome data. For autologous CAR T-cell treatments, consider constructs with accelerated expansion rates (e.g., CD28-based) if they align with treatment schedules, and incorporate robust bridging strategies \u2014referenced in relevant literature\u2014to maintain disease stability and reduce potential toxicities. In cases where bridging options are restricted, prioritizing BiTEs or allogeneic modalities can help ensure timely therapeutic intervention.","c-replace":[""],"ab-name":"Abbreviations","a-name":"Possible_Abbreviations","g-rebookmarkname":"","i-wm":"TE","d-description":"Word in all caps may be an abbreviation.","k-color":"","f-bookmark":"BMABBRE100346","j-groupid":1},{"b-find":"CAR","e-paracontent":"Disease Urgency: Promptly addressing rapid disease progression or significant tumor burden is essential. When manufacturing timelines are a limiting factor, \"off-the-shelf\" therapies such as BiTEs or allogeneic cell products may be optimal, particularly when supported by clinical outcome data. For autologous&lt;mark&gt;CAR&lt;\/mark&gt; T-cell treatments, consider constructs with accelerated expansion rates (e.g., CD28-based) if they align with treatment schedules, and incorporate robust bridging strategies \u2014referenced in relevant literature\u2014to maintain disease stability and reduce potential toxicities. In cases where bridging options are restricted, prioritizing BiTEs or allogeneic modalities can help ensure timely therapeutic intervention.","c-replace":[""],"ab-name":"Abbreviations","a-name":"Possible_Abbreviations","g-rebookmarkname":"","i-wm":"CAR","d-description":"Word in all caps may be an abbreviation.","k-color":"","f-bookmark":"BMABBRE100347","j-groupid":1},{"b-find":"CD","e-paracontent":"Disease Urgency: Promptly addressing rapid disease progression or significant tumor burden is essential. When manufacturing timelines are a limiting factor, \"off-the-shelf\" therapies such as BiTEs or allogeneic cell products may be optimal, particularly when supported by clinical outcome data. For autologous CAR T-cell treatments, consider constructs with accelerated expansion rates (e.g.,&lt;mark&gt;CD&lt;\/mark&gt;28-based) if they align with treatment schedules, and incorporate robust bridging strategies \u2014referenced in relevant literature\u2014to maintain disease stability and reduce potential toxicities. In cases where bridging options are restricted, prioritizing BiTEs or allogeneic modalities can help ensure timely therapeutic intervention.","c-replace":[""],"ab-name":"Abbreviations","a-name":"Possible_Abbreviations","g-rebookmarkname":"","i-wm":"CD","d-description":"Word in all caps may be an abbreviation.","k-color":"","f-bookmark":"BMABBRE100348","j-groupid":1},{"b-find":"TE","e-paracontent":"Disease Urgency: Promptly addressing rapid disease progression or significant tumor burden is essential. When manufacturing timelines are a limiting factor, \"off-the-shelf\" therapies such as BiTEs or allogeneic cell products may be optimal, particularly when supported by clinical outcome data. For autologous CAR T-cell treatments, consider constructs with accelerated expansion rates (e.g., CD28-based) if they align with treatment schedules, and incorporate robust bridging strategies \u2014referenced in relevant literature\u2014to maintain disease stability and reduce potential toxicities. In cases where bridging options are restricted, prioritizing B&lt;mark&gt;TE&lt;\/mark&gt;s or allogeneic modalities can help ensure timely therapeutic intervention.","c-replace":[""],"ab-name":"Abbreviations","a-name":"Possible_Abbreviations","g-rebookmarkname":"","i-wm":"TE","d-description":"Word in all caps may be an abbreviation.","k-color":"","f-bookmark":"BMABBRE100349","j-groupid":1},{"b-find":"CRP","e-paracontent":"CAR\u2011HEMATOTOX (Chimeric Antigen Receptor Hematotoxicity Score): Uses hematologic markers (ANC, platelets, hemoglobin) and inflammatory markers &lt;mark&gt;CRP&lt;\/mark&gt;,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validation.","c-replace":["C-reactive protein (CRP)","CRP"],"ab-name":"Abbreviations","a-name":"Abbreviation","g-rebookmarkname":"","i-wm":"CRP","d-description":"An abbreviation must appear with its expanded form first and can then only be reused.","k-color":"#a24c29","f-bookmark":"BMABBRE100361","j-groupid":7},{"b-find":"CAR","e-paracontent":"&lt;mark&gt;CAR&lt;\/mark&gt;\u2011HEMATOTOX (Chimeric Antigen Receptor Hematotoxicity Score): Uses hematologic markers (ANC, platelets, hemoglobin) and inflammatory markers (CRP,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validation.","c-replace":[""],"ab-name":"Abbreviations","a-name":"Possible_Abbreviations","g-rebookmarkname":"","i-wm":"CAR","d-description":"Word in all caps may be an abbreviation.","k-color":"","f-bookmark":"BMABBRE100362","j-groupid":1},{"b-find":"HEMATOTOX","e-paracontent":"CAR&lt;mark&gt;HEMATOTOX&lt;\/mark&gt; (Chimeric Antigen Receptor Hematotoxicity Score): Uses hematologic markers (ANC, platelets, hemoglobin) and inflammatory markers (CRP,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validation.","c-replace":[""],"ab-name":"Abbreviations","a-name":"Possible_Abbreviations","g-rebookmarkname":"","i-wm":"HEMATOTOX","d-description":"Word in all caps may be an abbreviation.","k-color":"","f-bookmark":"BMABBRE100363","j-groupid":1},{"b-find":"ANC","e-paracontent":"CAR\u2011HEMATOTOX (Chimeric Antigen Receptor Hematotoxicity Score): Uses hematologic markers &lt;mark&gt;ANC&lt;\/mark&gt;, platelets, hemoglobin) and inflammatory markers (CRP,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validation.","c-replace":[""],"ab-name":"Abbreviations","a-name":"Possible_Abbreviations","g-rebookmarkname":"","i-wm":"ANC","d-description":"Word in all caps may be an abbreviation.","k-color":"","f-bookmark":"BMABBRE100364","j-groupid":1},{"b-find":"CRS","e-paracontent":"CAR\u2011HEMATOTOX (Chimeric Antigen Receptor Hematotoxicity Score): Uses hematologic markers (ANC, platelets, hemoglobin) and inflammatory markers (CRP, ferritin) to predict severe or prolonged cytopenias, higher\u2011grade&lt;mark&gt;CRS&lt;\/mark&gt;/ICANS,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validation.","c-replace":[""],"ab-name":"Abbreviations","a-name":"Possible_Abbreviations","g-rebookmarkname":"","i-wm":"CRS","d-description":"Word in all caps may be an abbreviation.","k-color":"","f-bookmark":"BMABBRE100365","j-groupid":1},{"b-find":"ICANS","e-paracontent":"CAR\u2011HEMATOTOX (Chimeric Antigen Receptor Hematotoxicity Score): Uses hematologic markers (ANC, platelets, hemoglobin) and inflammatory markers (CRP, ferritin) to predict severe or prolonged cytopenias, higher\u2011grade CRS&lt;mark&gt;ICANS&lt;\/mark&gt;,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validation.","c-replace":[""],"ab-name":"Abbreviations","a-name":"Possible_Abbreviations","g-rebookmarkname":"","i-wm":"ICANS","d-description":"Word in all caps may be an abbreviation.","k-color":"","f-bookmark":"BMABBRE100366","j-groupid":1},{"b-find":"CD","e-paracontent":"CAR\u2011HEMATOTOX (Chimeric Antigen Receptor Hematotoxicity Score): Uses hematologic markers (ANC, platelets, hemoglobin) and inflammatory markers (CRP, ferritin) to predict severe or prolonged cytopenias, higher\u2011grade CRS/ICANS, and survival in&lt;mark&gt;CD&lt;\/mark&gt;19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validation.","c-replace":[""],"ab-name":"Abbreviations","a-name":"Possible_Abbreviations","g-rebookmarkname":"","i-wm":"CD","d-description":"Word in all caps may be an abbreviation.","k-color":"","f-bookmark":"BMABBRE100367","j-groupid":1},{"b-find":"CAR","e-paracontent":"CAR\u2011HEMATOTOX (Chimeric Antigen Receptor Hematotoxicity Score): Uses hematologic markers (ANC, platelets, hemoglobin) and inflammatory markers (CRP, ferritin) to predict severe or prolonged cytopenias, higher\u2011grade CRS/ICANS, and survival in CD19&lt;mark&gt;CAR&lt;\/mark&gt;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validation.","c-replace":[""],"ab-name":"Abbreviations","a-name":"Possible_Abbreviations","g-rebookmarkname":"","i-wm":"CAR","d-description":"Word in all caps may be an abbreviation.","k-color":"","f-bookmark":"BMABBRE100368","j-groupid":1},{"b-find":"DLBCL","e-paracontent":"CAR\u2011HEMATOTOX (Chimeric Antigen Receptor Hematotoxicity Score): Uses hematologic markers (ANC, platelets, hemoglobin) and inflammatory markers (CRP, ferritin) to predict severe or prolonged cytopenias, higher\u2011grade CRS/ICANS, and survival in CD19 CAR T\u2011cell therapy for&lt;mark&gt;DLBCL&lt;\/mark&gt;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validation.","c-replace":[""],"ab-name":"Abbreviations","a-name":"Possible_Abbreviations","g-rebookmarkname":"","i-wm":"DLBCL","d-description":"Word in all caps may be an abbreviation.","k-color":"","f-bookmark":"BMABBRE100369","j-groupid":1},{"b-find":"LBCL","e-paracontent":"CAR\u2011HEMATOTOX (Chimeric Antigen Receptor Hematotoxicity Score): Uses hematologic markers (ANC, platelets, hemoglobin) and inflammatory markers (CRP,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in&lt;mark&gt;LBCL&lt;\/mark&gt;,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validation.","c-replace":[""],"ab-name":"Abbreviations","a-name":"Possible_Abbreviations","g-rebookmarkname":"","i-wm":"LBCL","d-description":"Word in all caps may be an abbreviation.","k-color":"","f-bookmark":"BMABBRE100370","j-groupid":1},{"b-find":"ALL","e-paracontent":"CAR\u2011HEMATOTOX (Chimeric Antigen Receptor Hematotoxicity Score): Uses hematologic markers (ANC, platelets, hemoglobin) and inflammatory markers (CRP,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&lt;mark&gt;ALL&lt;\/mark&gt;\u2011HEMATOTOX\u201d variant showing high predictive accuracy for cytopenias in B\u2011ALL. Application in BCMA CAR T for myeloma is promising but remains investigational; extrapolation to TCR T\u2011cells or TILs awaits validation.","c-replace":[""],"ab-name":"Abbreviations","a-name":"Possible_Abbreviations","g-rebookmarkname":"","i-wm":"ALL","d-description":"Word in all caps may be an abbreviation.","k-color":"","f-bookmark":"BMABBRE100371","j-groupid":1},{"b-find":"HEMATOTOX","e-paracontent":"CAR\u2011HEMATOTOX (Chimeric Antigen Receptor Hematotoxicity Score): Uses hematologic markers (ANC, platelets, hemoglobin) and inflammatory markers (CRP,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\u201cALL&lt;mark&gt;HEMATOTOX&lt;\/mark&gt;\u201d variant showing high predictive accuracy for cytopenias in B\u2011ALL. Application in BCMA CAR T for myeloma is promising but remains investigational; extrapolation to TCR T\u2011cells or TILs awaits validation.","c-replace":[""],"ab-name":"Abbreviations","a-name":"Possible_Abbreviations","g-rebookmarkname":"","i-wm":"HEMATOTOX","d-description":"Word in all caps may be an abbreviation.","k-color":"","f-bookmark":"BMABBRE100372","j-groupid":1},{"b-find":"ALL","e-paracontent":"CAR\u2011HEMATOTOX (Chimeric Antigen Receptor Hematotoxicity Score): Uses hematologic markers (ANC, platelets, hemoglobin) and inflammatory markers (CRP,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B&lt;mark&gt;ALL&lt;\/mark&gt;. Application in BCMA CAR T for myeloma is promising but remains investigational; extrapolation to TCR T\u2011cells or TILs awaits validation.","c-replace":[""],"ab-name":"Abbreviations","a-name":"Possible_Abbreviations","g-rebookmarkname":"","i-wm":"ALL","d-description":"Word in all caps may be an abbreviation.","k-color":"","f-bookmark":"BMABBRE100373","j-groupid":1},{"b-find":"TCR","e-paracontent":"CAR\u2011HEMATOTOX (Chimeric Antigen Receptor Hematotoxicity Score): Uses hematologic markers (ANC, platelets, hemoglobin) and inflammatory markers (CRP,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to&lt;mark&gt;TCR&lt;\/mark&gt; T\u2011cells or TILs awaits validation.","c-replace":[""],"ab-name":"Abbreviations","a-name":"Possible_Abbreviations","g-rebookmarkname":"","i-wm":"TCR","d-description":"Word in all caps may be an abbreviation.","k-color":"","f-bookmark":"BMABBRE100374","j-groupid":1},{"b-find":"TIL","e-paracontent":"CAR\u2011HEMATOTOX (Chimeric Antigen Receptor Hematotoxicity Score): Uses hematologic markers (ANC, platelets, hemoglobin) and inflammatory markers (CRP,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or&lt;mark&gt;TIL&lt;\/mark&gt;s awaits validation.","c-replace":[""],"ab-name":"Abbreviations","a-name":"Possible_Abbreviations","g-rebookmarkname":"","i-wm":"TIL","d-description":"Word in all caps may be an abbreviation.","k-color":"","f-bookmark":"BMABBRE100375","j-groupid":1},{"b-find":"NRM","e-paracontent":"HCT\u2011CI (Hematopoietic Cell Transplantation\u2013Comorbidity Index): Evaluates comorbidities (e.g., cardiac, pulmonary, hepatic disease, diabetes, prior malignancy; scored 0\u20133+) to predict non\u2011relapse mortality (NRM) and overall survival in allo\u2011HSCT and has been applied to CAR T for DLBCL, ALL, and MM. High scores (≥3) increase&lt;mark&gt;NRM&lt;\/mark&gt; risk (HR 1.5\u20132.0) and prompt organ\u2011specific optimization (e.g., cardiology consult for LVEF &lt;50%). Real\u2011world 2025 data show limited predictive value for NRM in LBCL CAR T but confirm clinical utility in elderly MM patients.","c-replace":["non\u2011relapse mortality (NRM)","NRM"],"ab-name":"Abbreviations","a-name":"Abbreviation","g-rebookmarkname":"","i-wm":"NRM","d-description":"An abbreviation must appear with its expanded form first and can then only be reused.","k-color":"#a24c29","f-bookmark":"BMABBRE100398","j-groupid":17},{"b-find":"LVEF","e-paracontent":"HCT\u2011CI (Hematopoietic Cell Transplantation\u2013Comorbidity Index): Evaluates comorbidities (e.g., cardiac, pulmonary, hepatic disease, diabetes, prior malignancy; scored 0\u20133+) to predict non\u2011relapse mortality (NRM) and overall survival in allo\u2011HSCT and has been applied to CAR T for DLBCL, ALL, and MM. High scores (≥3) increase NRM risk (HR 1.5\u20132.0) and prompt organ\u2011specific optimization (e.g., cardiology consult for&lt;mark&gt;LVEF&lt;\/mark&gt; &lt;50%). Real\u2011world 2025 data show limited predictive value for NRM in LBCL CAR T but confirm clinical utility in elderly MM patients.","c-replace":["left ventricular ejection fraction (LVEF)","LVEF"],"ab-name":"Abbreviations","a-name":"Abbreviation","g-rebookmarkname":"","i-wm":"LVEF","d-description":"An abbreviation must appear with its expanded form first and can then only be reused.","k-color":"#a24c29","f-bookmark":"BMABBRE100399","j-groupid":14},{"b-find":"NRM","e-paracontent":"HCT\u2011CI (Hematopoietic Cell Transplantation\u2013Comorbidity Index): Evaluates comorbidities (e.g., cardiac, pulmonary, hepatic disease, diabetes, prior malignancy; scored 0\u20133+) to predict non\u2011relapse mortality (NRM) and overall survival in allo\u2011HSCT and has been applied to CAR T for DLBCL, ALL, and MM. High scores (≥3) increase NRM risk (HR 1.5\u20132.0) and prompt organ\u2011specific optimization (e.g., cardiology consult for LVEF &lt;50%). Real\u2011world 2025 data show limited predictive value for&lt;mark&gt;NRM&lt;\/mark&gt; in LBCL CAR T but confirm clinical utility in elderly MM patients.","c-replace":["non\u2011relapse mortality (NRM)","NRM"],"ab-name":"Abbreviations","a-name":"Abbreviation","g-rebookmarkname":"","i-wm":"NRM","d-description":"An abbreviation must appear with its expanded form first and can then only be reused.","k-color":"#a24c29","f-bookmark":"BMABBRE100400","j-groupid":17},{"b-find":"HCT","e-paracontent":"&lt;mark&gt;HCT&lt;\/mark&gt;\u2011CI (Hematopoietic Cell Transplantation\u2013Comorbidity Index): Evaluates comorbidities (e.g., cardiac, pulmonary, hepatic disease, diabetes, prior malignancy; scored 0\u20133+) to predict non\u2011relapse mortality (NRM) and overall survival in allo\u2011HSCT and has been applied to CAR T for DLBCL, ALL, and MM. High scores (≥3) increase NRM risk (HR 1.5\u20132.0) and prompt organ\u2011specific optimization (e.g., cardiology consult for LVEF &lt;50%). Real\u2011world 2025 data show limited predictive value for NRM in LBCL CAR T but confirm clinical utility in elderly MM patients.","c-replace":[""],"ab-name":"Abbreviations","a-name":"Possible_Abbreviations","g-rebookmarkname":"","i-wm":"HCT","d-description":"Word in all caps may be an abbreviation.","k-color":"","f-bookmark":"BMABBRE100401","j-groupid":1},{"b-find":"CI","e-paracontent":"HCT&lt;mark&gt;CI&lt;\/mark&gt; (Hematopoietic Cell Transplantation\u2013Comorbidity Index): Evaluates comorbidities (e.g., cardiac, pulmonary, hepatic disease, diabetes, prior malignancy; scored 0\u20133+) to predict non\u2011relapse mortality (NRM) and overall survival in allo\u2011HSCT and has been applied to CAR T for DLBCL, ALL, and MM. High scores (≥3) increase NRM risk (HR 1.5\u20132.0) and prompt organ\u2011specific optimization (e.g., cardiology consult for LVEF &lt;50%). Real\u2011world 2025 data show limited predictive value for NRM in LBCL CAR T but confirm clinical utility in elderly MM patients.","c-replace":[""],"ab-name":"Abbreviations","a-name":"Possible_Abbreviations","g-rebookmarkname":"","i-wm":"CI","d-description":"Word in all caps may be an abbreviation.","k-color":"","f-bookmark":"BMABBRE100402","j-groupid":1},{"b-find":"HSCT","e-paracontent":"HCT\u2011CI (Hematopoietic Cell Transplantation\u2013Comorbidity Index): Evaluates comorbidities (e.g., cardiac, pulmonary, hepatic disease, diabetes, prior malignancy; scored 0\u20133+) to predict non\u2011relapse mortality (NRM) and overall survival in allo&lt;mark&gt;HSCT&lt;\/mark&gt; and has been applied to CAR T for DLBCL, ALL, and MM. High scores (≥3) increase NRM risk (HR 1.5\u20132.0) and prompt organ\u2011specific optimization (e.g., cardiology consult for LVEF &lt;50%). Real\u2011world 2025 data show limited predictive value for NRM in LBCL CAR T but confirm clinical utility in elderly MM patients.","c-replace":[""],"ab-name":"Abbreviations","a-name":"Possible_Abbreviations","g-rebookmarkname":"","i-wm":"HSCT","d-description":"Word in all caps may be an abbreviation.","k-color":"","f-bookmark":"BMABBRE100403","j-groupid":1},{"b-find":"CAR","e-paracontent":"HCT\u2011CI (Hematopoietic Cell Transplantation\u2013Comorbidity Index): Evaluates comorbidities (e.g., cardiac, pulmonary, hepatic disease, diabetes, prior malignancy; scored 0\u20133+) to predict non\u2011relapse mortality (NRM) and overall survival in allo\u2011HSCT and has been applied to&lt;mark&gt;CAR&lt;\/mark&gt; T for DLBCL, ALL, and MM. High scores (≥3) increase NRM risk (HR 1.5\u20132.0) and prompt organ\u2011specific optimization (e.g., cardiology consult for LVEF &lt;50%). Real\u2011world 2025 data show limited predictive value for NRM in LBCL CAR T but confirm clinical utility in elderly MM patients.","c-replace":[""],"ab-name":"Abbreviations","a-name":"Possible_Abbreviations","g-rebookmarkname":"","i-wm":"CAR","d-description":"Word in all caps may be an abbreviation.","k-color":"","f-bookmark":"BMABBRE100404","j-groupid":1},{"b-find":"DLBCL","e-paracontent":"HCT\u2011CI (Hematopoietic Cell Transplantation\u2013Comorbidity Index): Evaluates comorbidities (e.g., cardiac, pulmonary, hepatic disease, diabetes, prior malignancy; scored 0\u20133+) to predict non\u2011relapse mortality (NRM) and overall survival in allo\u2011HSCT and has been applied to CAR T for&lt;mark&gt;DLBCL&lt;\/mark&gt;, ALL, and MM. High scores (≥3) increase NRM risk (HR 1.5\u20132.0) and prompt organ\u2011specific optimization (e.g., cardiology consult for LVEF &lt;50%). Real\u2011world 2025 data show limited predictive value for NRM in LBCL CAR T but confirm clinical utility in elderly MM patients.","c-replace":[""],"ab-name":"Abbreviations","a-name":"Possible_Abbreviations","g-rebookmarkname":"","i-wm":"DLBCL","d-description":"Word in all caps may be an abbreviation.","k-color":"","f-bookmark":"BMABBRE100405","j-groupid":1},{"b-find":"ALL","e-paracontent":"HCT\u2011CI (Hematopoietic Cell Transplantation\u2013Comorbidity Index): Evaluates comorbidities (e.g., cardiac, pulmonary, hepatic disease, diabetes, prior malignancy; scored 0\u20133+) to predict non\u2011relapse mortality (NRM) and overall survival in allo\u2011HSCT and has been applied to CAR T for DLBCL,&lt;mark&gt;ALL&lt;\/mark&gt;, and MM. High scores (≥3) increase NRM risk (HR 1.5\u20132.0) and prompt organ\u2011specific optimization (e.g., cardiology consult for LVEF &lt;50%). Real\u2011world 2025 data show limited predictive value for NRM in LBCL CAR T but confirm clinical utility in elderly MM patients.","c-replace":[""],"ab-name":"Abbreviations","a-name":"Possible_Abbreviations","g-rebookmarkname":"","i-wm":"ALL","d-description":"Word in all caps may be an abbreviation.","k-color":"","f-bookmark":"BMABBRE100406","j-groupid":1},{"b-find":"MM","e-paracontent":"HCT\u2011CI (Hematopoietic Cell Transplantation\u2013Comorbidity Index): Evaluates comorbidities (e.g., cardiac, pulmonary, hepatic disease, diabetes, prior malignancy; scored 0\u20133+) to predict non\u2011relapse mortality (NRM) and overall survival in allo\u2011HSCT and has been applied to CAR T for DLBCL, ALL, and&lt;mark&gt;MM&lt;\/mark&gt;. High scores (≥3) increase NRM risk (HR 1.5\u20132.0) and prompt organ\u2011specific optimization (e.g., cardiology consult for LVEF &lt;50%). Real\u2011world 2025 data show limited predictive value for NRM in LBCL CAR T but confirm clinical utility in elderly MM patients.","c-replace":[""],"ab-name":"Abbreviations","a-name":"Possible_Abbreviations","g-rebookmarkname":"","i-wm":"MM","d-description":"Word in all caps may be an abbreviation.","k-color":"","f-bookmark":"BMABBRE100407","j-groupid":1},{"b-find":"HR","e-paracontent":"HCT\u2011CI (Hematopoietic Cell Transplantation\u2013Comorbidity Index): Evaluates comorbidities (e.g., cardiac, pulmonary, hepatic disease, diabetes, prior malignancy; scored 0\u20133+) to predict non\u2011relapse mortality (NRM) and overall survival in allo\u2011HSCT and has been applied to CAR T for DLBCL, ALL, and MM. High scores (≥3) increase NRM risk &lt;mark&gt;HR&lt;\/mark&gt; 1.5\u20132.0) and prompt organ\u2011specific optimization (e.g., cardiology consult for LVEF &lt;50%). Real\u2011world 2025 data show limited predictive value for NRM in LBCL CAR T but confirm clinical utility in elderly MM patients.","c-replace":[""],"ab-name":"Abbreviations","a-name":"Possible_Abbreviations","g-rebookmarkname":"","i-wm":"HR","d-description":"Word in all caps may be an abbreviation.","k-color":"","f-bookmark":"BMABBRE100408","j-groupid":1},{"b-find":"MM","e-paracontent":"HCT\u2011CI (Hematopoietic Cell Transplantation\u2013Comorbidity Index): Evaluates comorbidities (e.g., cardiac, pulmonary, hepatic disease, diabetes, prior malignancy; scored 0\u20133+) to predict non\u2011relapse mortality (NRM) and overall survival in allo\u2011HSCT and has been applied to CAR T for DLBCL, ALL, and MM. High scores (≥3) increase NRM risk (HR 1.5\u20132.0) and prompt organ\u2011specific optimization (e.g., cardiology consult for LVEF &lt;50%). Real\u2011world 2025 data show limited predictive value for NRM in LBCL CAR T but confirm clinical utility in elderly&lt;mark&gt;MM&lt;\/mark&gt; patients.","c-replace":[""],"ab-name":"Abbreviations","a-name":"Possible_Abbreviations","g-rebookmarkname":"","i-wm":"MM","d-description":"Word in all caps may be an abbreviation.","k-color":"","f-bookmark":"BMABBRE100409","j-groupid":1},{"b-find":"CIRS","e-paracontent":"&lt;mark&gt;CIRS&lt;\/mark&gt;\u2011G (Cumulative Illness Rating Scale\u2013Geriatric): Quantifies frailty across 18 organ systems (e.g., respiratory, renal, hepatic) and has been studied in CAR T for DLBCL and MM. Frail patients (score &gt;8) face reduced overall survival (HR ~1.8) and higher grade ≥3 CRS rates (20\u201330%), supporting early geriatric referral and prehabilitation. A 2025 study confirmed its role in elderly r/r LBCL (CIRS ≥10: significantly worse OS), underscoring utility for geriatric optimization. Use in TIL or BiTE therapy is under investigation.","c-replace":[""],"ab-name":"Abbreviations","a-name":"Possible_Abbreviations","g-rebookmarkname":"","i-wm":"CIRS","d-description":"Word in all caps may be an abbreviation.","k-color":"","f-bookmark":"BMABBRE100428","j-groupid":1},{"b-find":"CAR","e-paracontent":"CIRS\u2011G (Cumulative Illness Rating Scale\u2013Geriatric): Quantifies frailty across 18 organ systems (e.g., respiratory, renal, hepatic) and has been studied in&lt;mark&gt;CAR&lt;\/mark&gt; T for DLBCL and MM. Frail patients (score &gt;8) face reduced overall survival (HR ~1.8) and higher grade ≥3 CRS rates (20\u201330%), supporting early geriatric referral and prehabilitation. A 2025 study confirmed its role in elderly r/r LBCL (CIRS ≥10: significantly worse OS), underscoring utility for geriatric optimization. Use in TIL or BiTE therapy is under investigation.","c-replace":[""],"ab-name":"Abbreviations","a-name":"Possible_Abbreviations","g-rebookmarkname":"","i-wm":"CAR","d-description":"Word in all caps may be an abbreviation.","k-color":"","f-bookmark":"BMABBRE100429","j-groupid":1},{"b-find":"DLBCL","e-paracontent":"CIRS\u2011G (Cumulative Illness Rating Scale\u2013Geriatric): Quantifies frailty across 18 organ systems (e.g., respiratory, renal, hepatic) and has been studied in CAR T for&lt;mark&gt;DLBCL&lt;\/mark&gt; and MM. Frail patients (score &gt;8) face reduced overall survival (HR ~1.8) and higher grade ≥3 CRS rates (20\u201330%), supporting early geriatric referral and prehabilitation. A 2025 study confirmed its role in elderly r/r LBCL (CIRS ≥10: significantly worse OS), underscoring utility for geriatric optimization. Use in TIL or BiTE therapy is under investigation.","c-replace":[""],"ab-name":"Abbreviations","a-name":"Possible_Abbreviations","g-rebookmarkname":"","i-wm":"DLBCL","d-description":"Word in all caps may be an abbreviation.","k-color":"","f-bookmark":"BMABBRE100430","j-groupid":1},{"b-find":"MM","e-paracontent":"CIRS\u2011G (Cumulative Illness Rating Scale\u2013Geriatric): Quantifies frailty across 18 organ systems (e.g., respiratory, renal, hepatic) and has been studied in CAR T for DLBCL and&lt;mark&gt;MM&lt;\/mark&gt;. Frail patients (score &gt;8) face reduced overall survival (HR ~1.8) and higher grade ≥3 CRS rates (20\u201330%), supporting early geriatric referral and prehabilitation. A 2025 study confirmed its role in elderly r/r LBCL (CIRS ≥10: significantly worse OS), underscoring utility for geriatric optimization. Use in TIL or BiTE therapy is under investigation.","c-replace":[""],"ab-name":"Abbreviations","a-name":"Possible_Abbreviations","g-rebookmarkname":"","i-wm":"MM","d-description":"Word in all caps may be an abbreviation.","k-color":"","f-bookmark":"BMABBRE100431","j-groupid":1},{"b-find":"HR","e-paracontent":"CIRS\u2011G (Cumulative Illness Rating Scale\u2013Geriatric): Quantifies frailty across 18 organ systems (e.g., respiratory, renal, hepatic) and has been studied in CAR T for DLBCL and MM. Frail patients (score &gt;8) face reduced overall survival &lt;mark&gt;HR&lt;\/mark&gt; ~1.8) and higher grade ≥3 CRS rates (20\u201330%), supporting early geriatric referral and prehabilitation. A 2025 study confirmed its role in elderly r/r LBCL (CIRS ≥10: significantly worse OS), underscoring utility for geriatric optimization. Use in TIL or BiTE therapy is under investigation.","c-replace":[""],"ab-name":"Abbreviations","a-name":"Possible_Abbreviations","g-rebookmarkname":"","i-wm":"HR","d-description":"Word in all caps may be an abbreviation.","k-color":"","f-bookmark":"BMABBRE100432","j-groupid":1},{"b-find":"CRS","e-paracontent":"CIRS\u2011G (Cumulative Illness Rating Scale\u2013Geriatric): Quantifies frailty across 18 organ systems (e.g., respiratory, renal, hepatic) and has been studied in CAR T for DLBCL and MM. Frail patients (score &gt;8) face reduced overall survival (HR ~1.8) and higher grade ≥3&lt;mark&gt;CRS&lt;\/mark&gt; rates (20\u201330%), supporting early geriatric referral and prehabilitation. A 2025 study confirmed its role in elderly r/r LBCL (CIRS ≥10: significantly worse OS), underscoring utility for geriatric optimization. Use in TIL or BiTE therapy is under investigation.","c-replace":[""],"ab-name":"Abbreviations","a-name":"Possible_Abbreviations","g-rebookmarkname":"","i-wm":"CRS","d-description":"Word in all caps may be an abbreviation.","k-color":"","f-bookmark":"BMABBRE100433","j-groupid":1},{"b-find":"LBCL","e-paracontent":"CIRS\u2011G (Cumulative Illness Rating Scale\u2013Geriatric): Quantifies frailty across 18 organ systems (e.g., respiratory, renal, hepatic) and has been studied in CAR T for DLBCL and MM. Frail patients (score &gt;8) face reduced overall survival (HR ~1.8) and higher grade ≥3 CRS rates (20\u201330%), supporting early geriatric referral and prehabilitation. A 2025 study confirmed its role in elderly r/r&lt;mark&gt;LBCL&lt;\/mark&gt; (CIRS ≥10: significantly worse OS), underscoring utility for geriatric optimization. Use in TIL or BiTE therapy is under investigation.","c-replace":[""],"ab-name":"Abbreviations","a-name":"Possible_Abbreviations","g-rebookmarkname":"","i-wm":"LBCL","d-description":"Word in all caps may be an abbreviation.","k-color":"","f-bookmark":"BMABBRE100434","j-groupid":1},{"b-find":"CIRS","e-paracontent":"CIRS\u2011G (Cumulative Illness Rating Scale\u2013Geriatric): Quantifies frailty across 18 organ systems (e.g., respiratory, renal, hepatic) and has been studied in CAR T for DLBCL and MM. Frail patients (score &gt;8) face reduced overall survival (HR ~1.8) and higher grade ≥3 CRS rates (20\u201330%), supporting early geriatric referral and prehabilitation. A 2025 study confirmed its role in elderly r/r LBCL &lt;mark&gt;CIRS&lt;\/mark&gt; ≥10: significantly worse OS), underscoring utility for geriatric optimization. Use in TIL or BiTE therapy is under investigation.","c-replace":[""],"ab-name":"Abbreviations","a-name":"Possible_Abbreviations","g-rebookmarkname":"","i-wm":"CIRS","d-description":"Word in all caps may be an abbreviation.","k-color":"","f-bookmark":"BMABBRE100435","j-groupid":1},{"b-find":"OS","e-paracontent":"CIRS\u2011G (Cumulative Illness Rating Scale\u2013Geriatric): Quantifies frailty across 18 organ systems (e.g., respiratory, renal, hepatic) and has been studied in CAR T for DLBCL and MM. Frail patients (score &gt;8) face reduced overall survival (HR ~1.8) and higher grade ≥3 CRS rates (20\u201330%), supporting early geriatric referral and prehabilitation. A 2025 study confirmed its role in elderly r/r LBCL (CIRS ≥10: significantly worse&lt;mark&gt;OS&lt;\/mark&gt;), underscoring utility for geriatric optimization. Use in TIL or BiTE therapy is under investigation.","c-replace":[""],"ab-name":"Abbreviations","a-name":"Possible_Abbreviations","g-rebookmarkname":"","i-wm":"OS","d-description":"Word in all caps may be an abbreviation.","k-color":"","f-bookmark":"BMABBRE100436","j-groupid":1},{"b-find":"TIL","e-paracontent":"CIRS\u2011G (Cumulative Illness Rating Scale\u2013Geriatric): Quantifies frailty across 18 organ systems (e.g., respiratory, renal, hepatic) and has been studied in CAR T for DLBCL and MM. Frail patients (score &gt;8) face reduced overall survival (HR ~1.8) and higher grade ≥3 CRS rates (20\u201330%), supporting early geriatric referral and prehabilitation. A 2025 study confirmed its role in elderly r/r LBCL (CIRS ≥10: significantly worse OS), underscoring utility for geriatric optimization. Use in&lt;mark&gt;TIL&lt;\/mark&gt; or BiTE therapy is under investigation.","c-replace":[""],"ab-name":"Abbreviations","a-name":"Possible_Abbreviations","g-rebookmarkname":"","i-wm":"TIL","d-description":"Word in all caps may be an abbreviation.","k-color":"","f-bookmark":"BMABBRE100437","j-groupid":1},{"b-find":"TE","e-paracontent":"CIRS\u2011G (Cumulative Illness Rating Scale\u2013Geriatric): Quantifies frailty across 18 organ systems (e.g., respiratory, renal, hepatic) and has been studied in CAR T for DLBCL and MM. Frail patients (score &gt;8) face reduced overall survival (HR ~1.8) and higher grade ≥3 CRS rates (20\u201330%), supporting early geriatric referral and prehabilitation. A 2025 study confirmed its role in elderly r/r LBCL (CIRS ≥10: significantly worse OS), underscoring utility for geriatric optimization. Use in TIL or B&lt;mark&gt;TE&lt;\/mark&gt; therapy is under investigation.","c-replace":[""],"ab-name":"Abbreviations","a-name":"Possible_Abbreviations","g-rebookmarkname":"","i-wm":"TE","d-description":"Word in all caps may be an abbreviation.","k-color":"","f-bookmark":"BMABBRE100438","j-groupid":1},{"b-find":"LDH","e-paracontent":"EASIX (Endothelial Activation and Stress Index): A simple formula &lt;mark&gt;LDH&lt;\/mark&gt; × creatinine ÷ platelets) initially developed for allo\u2011HSCT, used to predict endothelial dysfunction, cytopenias, NRM, and infections. In CAR T, high scores (&gt;2) correlate with increased NRM (HR ~1.9) and ICU admission risk. Validated in 2025 for DLBCL and MM CAR T, with ongoing studies testing applicability in TCR T\u2011cells and bispecific T\u2011cell engagers; simplicity makes it attractive in resource\u2011limited settings.","c-replace":["lactate dehydrogenase (LDH)","LDH"],"ab-name":"Abbreviations","a-name":"Abbreviation","g-rebookmarkname":"","i-wm":"LDH","d-description":"An abbreviation must appear with its expanded form first and can then only be reused.","k-color":"#a24c29","f-bookmark":"BMABBRE100454","j-groupid":4},{"b-find":"NRM","e-paracontent":"EASIX (Endothelial Activation and Stress Index): A simple formula (LDH × creatinine ÷ platelets) initially developed for allo\u2011HSCT, used to predict endothelial dysfunction, cytopenias,&lt;mark&gt;NRM&lt;\/mark&gt;, and infections. In CAR T, high scores (&gt;2) correlate with increased NRM (HR ~1.9) and ICU admission risk. Validated in 2025 for DLBCL and MM CAR T, with ongoing studies testing applicability in TCR T\u2011cells and bispecific T\u2011cell engagers; simplicity makes it attractive in resource\u2011limited settings.","c-replace":["non\u2011relapse mortality (NRM)","NRM"],"ab-name":"Abbreviations","a-name":"Abbreviation","g-rebookmarkname":"","i-wm":"NRM","d-description":"An abbreviation must appear with its expanded form first and can then only be reused.","k-color":"#a24c29","f-bookmark":"BMABBRE100455","j-groupid":17},{"b-find":"NRM","e-paracontent":"EASIX (Endothelial Activation and Stress Index): A simple formula (LDH × creatinine ÷ platelets) initially developed for allo\u2011HSCT, used to predict endothelial dysfunction, cytopenias, NRM, and infections. In CAR T, high scores (&gt;2) correlate with increased&lt;mark&gt;NRM&lt;\/mark&gt; (HR ~1.9) and ICU admission risk. Validated in 2025 for DLBCL and MM CAR T, with ongoing studies testing applicability in TCR T\u2011cells and bispecific T\u2011cell engagers; simplicity makes it attractive in resource\u2011limited settings.","c-replace":["non\u2011relapse mortality (NRM)","NRM"],"ab-name":"Abbreviations","a-name":"Abbreviation","g-rebookmarkname":"","i-wm":"NRM","d-description":"An abbreviation must appear with its expanded form first and can then only be reused.","k-color":"#a24c29","f-bookmark":"BMABBRE100456","j-groupid":17},{"b-find":"EASIX","e-paracontent":"&lt;mark&gt;EASIX&lt;\/mark&gt; (Endothelial Activation and Stress Index): A simple formula (LDH × creatinine ÷ platelets) initially developed for allo\u2011HSCT, used to predict endothelial dysfunction, cytopenias, NRM, and infections. In CAR T, high scores (&gt;2) correlate with increased NRM (HR ~1.9) and ICU admission risk. Validated in 2025 for DLBCL and MM CAR T, with ongoing studies testing applicability in TCR T\u2011cells and bispecific T\u2011cell engagers; simplicity makes it attractive in resource\u2011limited settings.","c-replace":[""],"ab-name":"Abbreviations","a-name":"Possible_Abbreviations","g-rebookmarkname":"","i-wm":"EASIX","d-description":"Word in all caps may be an abbreviation.","k-color":"","f-bookmark":"BMABBRE100457","j-groupid":1},{"b-find":"HSCT","e-paracontent":"EASIX (Endothelial Activation and Stress Index): A simple formula (LDH × creatinine ÷ platelets) initially developed for allo&lt;mark&gt;HSCT&lt;\/mark&gt;, used to predict endothelial dysfunction, cytopenias, NRM, and infections. In CAR T, high scores (&gt;2) correlate with increased NRM (HR ~1.9) and ICU admission risk. Validated in 2025 for DLBCL and MM CAR T, with ongoing studies testing applicability in TCR T\u2011cells and bispecific T\u2011cell engagers; simplicity makes it attractive in resource\u2011limited settings.","c-replace":[""],"ab-name":"Abbreviations","a-name":"Possible_Abbreviations","g-rebookmarkname":"","i-wm":"HSCT","d-description":"Word in all caps may be an abbreviation.","k-color":"","f-bookmark":"BMABBRE100458","j-groupid":1},{"b-find":"CAR","e-paracontent":"EASIX (Endothelial Activation and Stress Index): A simple formula (LDH × creatinine ÷ platelets) initially developed for allo\u2011HSCT, used to predict endothelial dysfunction, cytopenias, NRM, and infections. In&lt;mark&gt;CAR&lt;\/mark&gt; T, high scores (&gt;2) correlate with increased NRM (HR ~1.9) and ICU admission risk. Validated in 2025 for DLBCL and MM CAR T, with ongoing studies testing applicability in TCR T\u2011cells and bispecific T\u2011cell engagers; simplicity makes it attractive in resource\u2011limited settings.","c-replace":[""],"ab-name":"Abbreviations","a-name":"Possible_Abbreviations","g-rebookmarkname":"","i-wm":"CAR","d-description":"Word in all caps may be an abbreviation.","k-color":"","f-bookmark":"BMABBRE100459","j-groupid":1},{"b-find":"HR","e-paracontent":"EASIX (Endothelial Activation and Stress Index): A simple formula (LDH × creatinine ÷ platelets) initially developed for allo\u2011HSCT, used to predict endothelial dysfunction, cytopenias, NRM, and infections. In CAR T, high scores (&gt;2) correlate with increased NRM &lt;mark&gt;HR&lt;\/mark&gt; ~1.9) and ICU admission risk. Validated in 2025 for DLBCL and MM CAR T, with ongoing studies testing applicability in TCR T\u2011cells and bispecific T\u2011cell engagers; simplicity makes it attractive in resource\u2011limited settings.","c-replace":[""],"ab-name":"Abbreviations","a-name":"Possible_Abbreviations","g-rebookmarkname":"","i-wm":"HR","d-description":"Word in all caps may be an abbreviation.","k-color":"","f-bookmark":"BMABBRE100460","j-groupid":1},{"b-find":"ICU","e-paracontent":"EASIX (Endothelial Activation and Stress Index): A simple formula (LDH × creatinine ÷ platelets) initially developed for allo\u2011HSCT, used to predict endothelial dysfunction, cytopenias, NRM, and infections. In CAR T, high scores (&gt;2) correlate with increased NRM (HR ~1.9) and&lt;mark&gt;ICU&lt;\/mark&gt; admission risk. Validated in 2025 for DLBCL and MM CAR T, with ongoing studies testing applicability in TCR T\u2011cells and bispecific T\u2011cell engagers; simplicity makes it attractive in resource\u2011limited settings.","c-replace":[""],"ab-name":"Abbreviations","a-name":"Possible_Abbreviations","g-rebookmarkname":"","i-wm":"ICU","d-description":"Word in all caps may be an abbreviation.","k-color":"","f-bookmark":"BMABBRE100461","j-groupid":1},{"b-find":"DLBCL","e-paracontent":"EASIX (Endothelial Activation and Stress Index): A simple formula (LDH × creatinine ÷ platelets) initially developed for allo\u2011HSCT, used to predict endothelial dysfunction, cytopenias, NRM, and infections. In CAR T, high scores (&gt;2) correlate with increased NRM (HR ~1.9) and ICU admission risk. Validated in 2025 for&lt;mark&gt;DLBCL&lt;\/mark&gt; and MM CAR T, with ongoing studies testing applicability in TCR T\u2011cells and bispecific T\u2011cell engagers; simplicity makes it attractive in resource\u2011limited settings.","c-replace":[""],"ab-name":"Abbreviations","a-name":"Possible_Abbreviations","g-rebookmarkname":"","i-wm":"DLBCL","d-description":"Word in all caps may be an abbreviation.","k-color":"","f-bookmark":"BMABBRE100462","j-groupid":1},{"b-find":"TCR","e-paracontent":"EASIX (Endothelial Activation and Stress Index): A simple formula (LDH × creatinine ÷ platelets) initially developed for allo\u2011HSCT, used to predict endothelial dysfunction, cytopenias, NRM, and infections. In CAR T, high scores (&gt;2) correlate with increased NRM (HR ~1.9) and ICU admission risk. Validated in 2025 for DLBCL and MM CAR T, with ongoing studies testing applicability in&lt;mark&gt;TCR&lt;\/mark&gt; T\u2011cells and bispecific T\u2011cell engagers; simplicity makes it attractive in resource\u2011limited settings.","c-replace":[""],"ab-name":"Abbreviations","a-name":"Possible_Abbreviations","g-rebookmarkname":"","i-wm":"TCR","d-description":"Word in all caps may be an abbreviation.","k-color":"","f-bookmark":"BMABBRE100463","j-groupid":1},{"b-find":"NRM","e-paracontent":"IMWG Frailty Index (International Myeloma Working Group Frailty Score): A practical scoring system using age, performance status (ECOG/ADL), and Charlson Comorbidity Index (CCI). Frailty is defined as ≥2 points. Widely used in myeloma, it predicts PFS, OS, and toxicity risk. In BCMA CAR T and bispecific antibody trials, frail patients show comparable CRS/ICANS rates but higher&lt;mark&gt;NRM&lt;\/mark&gt; and inferior OS (HR 1.5\u20132.2), supporting tailored optimization and prehabilitation strategies.","c-replace":["non\u2011relapse mortality (NRM)","NRM"],"ab-name":"Abbreviations","a-name":"Abbreviation","g-rebookmarkname":"","i-wm":"NRM","d-description":"An abbreviation must appear with its expanded form first and can then only be reused.","k-color":"#a24c29","f-bookmark":"BMABBRE100477","j-groupid":17},{"b-find":"Charlson Comorbidity Index (CCI)","e-paracontent":"IMWG Frailty Index (International Myeloma Working Group Frailty Score): A practical scoring system using age, performance status (ECOG/ADL), and&lt;mark&gt;Charlson Comorbidity Index (CCI)&lt;\/mark&gt;. Frailty is defined as ≥2 points. Widely used in myeloma, it predicts PFS, OS, and toxicity risk. In BCMA CAR T and bispecific antibody trials, frail patients show comparable CRS/ICANS rates but higher NRM and inferior OS (HR 1.5\u20132.2), supporting tailored optimization and prehabilitation strategies.","c-replace":["Charlson Comorbidity Index (CCI)","CCI"],"ab-name":"Abbreviations","a-name":"Abbreviation_Defined_Twice_or_More","g-rebookmarkname":"","i-wm":"Charlson Comorbidity Index (CCI)","d-description":"An abbreviation is defined more than once. The definition may also be inconsistent.","k-color":"#a24c29","f-bookmark":"BMABBRE100478","j-groupid":18},{"b-find":"Charlson Comorbidity Index (CCI)","e-paracontent":"IMWG Frailty Index (International Myeloma Working Group Frailty Score): A practical scoring system using age, performance status (ECOG/ADL), and&lt;mark&gt;Charlson Comorbidity Index (CCI)&lt;\/mark&gt;. Frailty is defined as ≥2 points. Widely used in myeloma, it predicts PFS, OS, and toxicity risk. In BCMA CAR T and bispecific antibody trials, frail patients show comparable CRS/ICANS rates but higher NRM and inferior OS (HR 1.5\u20132.2), supporting tailored optimization and prehabilitation strategies.","c-replace":["Charlson Comorbidity Index (CCI)","CCI"],"ab-name":"Abbreviations","a-name":"Abbreviation_Not_Used","g-rebookmarkname":"","i-wm":"Charlson Comorbidity Index (CCI)","d-description":"An abbreviation is written out in full after it is defined.","k-color":"#a24c29","f-bookmark":"BMABBRE100479","j-groupid":18},{"b-find":"IMWG","e-paracontent":"&lt;mark&gt;IMWG&lt;\/mark&gt; Frailty Index (International Myeloma Working Group Frailty Score): A practical scoring system using age, performance status (ECOG/ADL), and Charlson Comorbidity Index (CCI). Frailty is defined as ≥2 points. Widely used in myeloma, it predicts PFS, OS, and toxicity risk. In BCMA CAR T and bispecific antibody trials, frail patients show comparable CRS/ICANS rates but higher NRM and inferior OS (HR 1.5\u20132.2), supporting tailored optimization and prehabilitation strategies.","c-replace":[""],"ab-name":"Abbreviations","a-name":"Possible_Abbreviations","g-rebookmarkname":"","i-wm":"IMWG","d-description":"Word in all caps may be an abbreviation.","k-color":"","f-bookmark":"BMABBRE100480","j-groupid":1},{"b-find":"ECOG","e-paracontent":"IMWG Frailty Index (International Myeloma Working Group Frailty Score): A practical scoring system using age, performance status &lt;mark&gt;ECOG&lt;\/mark&gt;/ADL), and Charlson Comorbidity Index (CCI). Frailty is defined as ≥2 points. Widely used in myeloma, it predicts PFS, OS, and toxicity risk. In BCMA CAR T and bispecific antibody trials, frail patients show comparable CRS/ICANS rates but higher NRM and inferior OS (HR 1.5\u20132.2), supporting tailored optimization and prehabilitation strategies.","c-replace":[""],"ab-name":"Abbreviations","a-name":"Possible_Abbreviations","g-rebookmarkname":"","i-wm":"ECOG","d-description":"Word in all caps may be an abbreviation.","k-color":"","f-bookmark":"BMABBRE100481","j-groupid":1},{"b-find":"ADL","e-paracontent":"IMWG Frailty Index (International Myeloma Working Group Frailty Score): A practical scoring system using age, performance status (ECOG&lt;mark&gt;ADL&lt;\/mark&gt;), and Charlson Comorbidity Index (CCI). Frailty is defined as ≥2 points. Widely used in myeloma, it predicts PFS, OS, and toxicity risk. In BCMA CAR T and bispecific antibody trials, frail patients show comparable CRS/ICANS rates but higher NRM and inferior OS (HR 1.5\u20132.2), supporting tailored optimization and prehabilitation strategies.","c-replace":[""],"ab-name":"Abbreviations","a-name":"Possible_Abbreviations","g-rebookmarkname":"","i-wm":"ADL","d-description":"Word in all caps may be an abbreviation.","k-color":"","f-bookmark":"BMABBRE100482","j-groupid":1},{"b-find":"PFS","e-paracontent":"IMWG Frailty Index (International Myeloma Working Group Frailty Score): A practical scoring system using age, performance status (ECOG/ADL), and Charlson Comorbidity Index (CCI). Frailty is defined as ≥2 points. Widely used in myeloma, it predicts&lt;mark&gt;PFS&lt;\/mark&gt;, OS, and toxicity risk. In BCMA CAR T and bispecific antibody trials, frail patients show comparable CRS/ICANS rates but higher NRM and inferior OS (HR 1.5\u20132.2), supporting tailored optimization and prehabilitation strategies.","c-replace":[""],"ab-name":"Abbreviations","a-name":"Possible_Abbreviations","g-rebookmarkname":"","i-wm":"PFS","d-description":"Word in all caps may be an abbreviation.","k-color":"","f-bookmark":"BMABBRE100483","j-groupid":1},{"b-find":"OS","e-paracontent":"IMWG Frailty Index (International Myeloma Working Group Frailty Score): A practical scoring system using age, performance status (ECOG/ADL), and Charlson Comorbidity Index (CCI). Frailty is defined as ≥2 points. Widely used in myeloma, it predicts PFS,&lt;mark&gt;OS&lt;\/mark&gt;, and toxicity risk. In BCMA CAR T and bispecific antibody trials, frail patients show comparable CRS/ICANS rates but higher NRM and inferior OS (HR 1.5\u20132.2), supporting tailored optimization and prehabilitation strategies.","c-replace":[""],"ab-name":"Abbreviations","a-name":"Possible_Abbreviations","g-rebookmarkname":"","i-wm":"OS","d-description":"Word in all caps may be an abbreviation.","k-color":"","f-bookmark":"BMABBRE100484","j-groupid":1},{"b-find":"CRS","e-paracontent":"IMWG Frailty Index (International Myeloma Working Group Frailty Score): A practical scoring system using age, performance status (ECOG/ADL), and Charlson Comorbidity Index (CCI). Frailty is defined as ≥2 points. Widely used in myeloma, it predicts PFS, OS, and toxicity risk. In BCMA CAR T and bispecific antibody trials, frail patients show comparable&lt;mark&gt;CRS&lt;\/mark&gt;/ICANS rates but higher NRM and inferior OS (HR 1.5\u20132.2), supporting tailored optimization and prehabilitation strategies.","c-replace":[""],"ab-name":"Abbreviations","a-name":"Possible_Abbreviations","g-rebookmarkname":"","i-wm":"CRS","d-description":"Word in all caps may be an abbreviation.","k-color":"","f-bookmark":"BMABBRE100485","j-groupid":1},{"b-find":"ICANS","e-paracontent":"IMWG Frailty Index (International Myeloma Working Group Frailty Score): A practical scoring system using age, performance status (ECOG/ADL), and Charlson Comorbidity Index (CCI). Frailty is defined as ≥2 points. Widely used in myeloma, it predicts PFS, OS, and toxicity risk. In BCMA CAR T and bispecific antibody trials, frail patients show comparable CRS&lt;mark&gt;ICANS&lt;\/mark&gt; rates but higher NRM and inferior OS (HR 1.5\u20132.2), supporting tailored optimization and prehabilitation strategies.","c-replace":[""],"ab-name":"Abbreviations","a-name":"Possible_Abbreviations","g-rebookmarkname":"","i-wm":"ICANS","d-description":"Word in all caps may be an abbreviation.","k-color":"","f-bookmark":"BMABBRE100486","j-groupid":1},{"b-find":"OS","e-paracontent":"IMWG Frailty Index (International Myeloma Working Group Frailty Score): A practical scoring system using age, performance status (ECOG/ADL), and Charlson Comorbidity Index (CCI). Frailty is defined as ≥2 points. Widely used in myeloma, it predicts PFS, OS, and toxicity risk. In BCMA CAR T and bispecific antibody trials, frail patients show comparable CRS/ICANS rates but higher NRM and inferior&lt;mark&gt;OS&lt;\/mark&gt; (HR 1.5\u20132.2), supporting tailored optimization and prehabilitation strategies.","c-replace":[""],"ab-name":"Abbreviations","a-name":"Possible_Abbreviations","g-rebookmarkname":"","i-wm":"OS","d-description":"Word in all caps may be an abbreviation.","k-color":"","f-bookmark":"BMABBRE100487","j-groupid":1},{"b-find":"HR","e-paracontent":"IMWG Frailty Index (International Myeloma Working Group Frailty Score): A practical scoring system using age, performance status (ECOG/ADL), and Charlson Comorbidity Index (CCI). Frailty is defined as ≥2 points. Widely used in myeloma, it predicts PFS, OS, and toxicity risk. In BCMA CAR T and bispecific antibody trials, frail patients show comparable CRS/ICANS rates but higher NRM and inferior OS &lt;mark&gt;HR&lt;\/mark&gt; 1.5\u20132.2), supporting tailored optimization and prehabilitation strategies.","c-replace":[""],"ab-name":"Abbreviations","a-name":"Possible_Abbreviations","g-rebookmarkname":"","i-wm":"HR","d-description":"Word in all caps may be an abbreviation.","k-color":"","f-bookmark":"BMABBRE100488","j-groupid":1},{"b-find":"LVEF","e-paracontent":"Minimum organ function standards support leukapheresis, lymphodepletion, and infusion, with requirements varying by therapy intensity (e.g., stricter for TILs compared to CARs).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≥500\u20131,000/µL, platelets ≥50,000/µL, hemoglobin ≥8 g/dL, CrCl ≥30 mL/min (≥45 mL/min for TILs requiring high dose-IL2, ), bilirubin ≤2 mg/dL,&lt;mark&gt;LVEF&lt;\/mark&gt; ≥45% (NYHA Class I-II) but specifics may vary based on product and protocol. ","c-replace":["left ventricular ejection fraction (LVEF)","LVEF"],"ab-name":"Abbreviations","a-name":"Abbreviation","g-rebookmarkname":"","i-wm":"LVEF","d-description":"An abbreviation must appear with its expanded form first and can then only be reused.","k-color":"#a24c29","f-bookmark":"BMABBRE100505","j-groupid":14},{"b-find":"TIL","e-paracontent":"Minimum organ function standards support leukapheresis, lymphodepletion, and infusion, with requirements varying by therapy intensity (e.g., stricter for&lt;mark&gt;TIL&lt;\/mark&gt;s compared to CARs).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≥500\u20131,000/µL, platelets ≥50,000/µL, hemoglobin ≥8 g/dL, CrCl ≥30 mL/min (≥45 mL/min for TILs requiring high dose-IL2, ), bilirubin ≤2 mg/dL, LVEF ≥45% (NYHA Class I-II) but specifics may vary based on product and protocol. ","c-replace":[""],"ab-name":"Abbreviations","a-name":"Possible_Abbreviations","g-rebookmarkname":"","i-wm":"TIL","d-description":"Word in all caps may be an abbreviation.","k-color":"","f-bookmark":"BMABBRE100506","j-groupid":1},{"b-find":"CAR","e-paracontent":"Minimum organ function standards support leukapheresis, lymphodepletion, and infusion, with requirements varying by therapy intensity (e.g., stricter for TILs compared to&lt;mark&gt;CAR&lt;\/mark&gt;s).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≥500\u20131,000/µL, platelets ≥50,000/µL, hemoglobin ≥8 g/dL, CrCl ≥30 mL/min (≥45 mL/min for TILs requiring high dose-IL2, ), bilirubin ≤2 mg/dL, LVEF ≥45% (NYHA Class I-II) but specifics may vary based on product and protocol. ","c-replace":[""],"ab-name":"Abbreviations","a-name":"Possible_Abbreviations","g-rebookmarkname":"","i-wm":"CAR","d-description":"Word in all caps may be an abbreviation.","k-color":"","f-bookmark":"BMABBRE100507","j-groupid":1},{"b-find":"ANC","e-paracontent":"Minimum organ function standards support leukapheresis, lymphodepletion, and infusion, with requirements varying by therapy intensity (e.g., stricter for TILs compared to CARs). Adequate hematologic reserves (e.g.,&lt;mark&gt;ANC&lt;\/mark&gt;, platelets) mitigate infection and bleeding risks, while preserved cardiopulmonary, hepatic, and renal functions reduce toxicity risks associated with lymphodepletion and cellular therapy-related toxicities. Protocols typically require ANC ≥500\u20131,000/µL, platelets ≥50,000/µL, hemoglobin ≥8 g/dL, CrCl ≥30 mL/min (≥45 mL/min for TILs requiring high dose-IL2, ), bilirubin ≤2 mg/dL, LVEF ≥45% (NYHA Class I-II) but specifics may vary based on product and protocol. ","c-replace":[""],"ab-name":"Abbreviations","a-name":"Possible_Abbreviations","g-rebookmarkname":"","i-wm":"ANC","d-description":"Word in all caps may be an abbreviation.","k-color":"","f-bookmark":"BMABBRE100508","j-groupid":1},{"b-find":"ANC","e-paracontent":"Minimum organ function standards support leukapheresis, lymphodepletion, and infusion, with requirements varying by therapy intensity (e.g., stricter for TILs compared to CARs). Adequate hematologic reserves (e.g., ANC, platelets) mitigate infection and bleeding risks, while preserved cardiopulmonary, hepatic, and renal functions reduce toxicity risks associated with lymphodepletion and cellular therapy-related toxicities. Protocols typically require&lt;mark&gt;ANC&lt;\/mark&gt; ≥500\u20131,000/µL, platelets ≥50,000/µL, hemoglobin ≥8 g/dL, CrCl ≥30 mL/min (≥45 mL/min for TILs requiring high dose-IL2, ), bilirubin ≤2 mg/dL, LVEF ≥45% (NYHA Class I-II) but specifics may vary based on product and protocol. ","c-replace":[""],"ab-name":"Abbreviations","a-name":"Possible_Abbreviations","g-rebookmarkname":"","i-wm":"ANC","d-description":"Word in all caps may be an abbreviation.","k-color":"","f-bookmark":"BMABBRE100509","j-groupid":1},{"b-find":"TIL","e-paracontent":"Minimum organ function standards support leukapheresis, lymphodepletion, and infusion, with requirements varying by therapy intensity (e.g., stricter for TILs compared to CARs).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≥500\u20131,000/µL, platelets ≥50,000/µL, hemoglobin ≥8 g/dL, CrCl ≥30 mL/min (≥45 mL/min for&lt;mark&gt;TIL&lt;\/mark&gt;s requiring high dose-IL2, ), bilirubin ≤2 mg/dL, LVEF ≥45% (NYHA Class I-II) but specifics may vary based on product and protocol. ","c-replace":[""],"ab-name":"Abbreviations","a-name":"Possible_Abbreviations","g-rebookmarkname":"","i-wm":"TIL","d-description":"Word in all caps may be an abbreviation.","k-color":"","f-bookmark":"BMABBRE100510","j-groupid":1},{"b-find":"IL","e-paracontent":"Minimum organ function standards support leukapheresis, lymphodepletion, and infusion, with requirements varying by therapy intensity (e.g., stricter for TILs compared to CARs).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≥500\u20131,000/µL, platelets ≥50,000/µL, hemoglobin ≥8 g/dL, CrCl ≥30 mL/min (≥45 mL/min for TILs requiring high dose&lt;mark&gt;IL&lt;\/mark&gt;2, ), bilirubin ≤2 mg/dL, LVEF ≥45% (NYHA Class I-II) but specifics may vary based on product and protocol. ","c-replace":[""],"ab-name":"Abbreviations","a-name":"Possible_Abbreviations","g-rebookmarkname":"","i-wm":"IL","d-description":"Word in all caps may be an abbreviation.","k-color":"","f-bookmark":"BMABBRE100511","j-groupid":1},{"b-find":"NYHA","e-paracontent":"Minimum organ function standards support leukapheresis, lymphodepletion, and infusion, with requirements varying by therapy intensity (e.g., stricter for TILs compared to CARs).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≥500\u20131,000/µL, platelets ≥50,000/µL, hemoglobin ≥8 g/dL, CrCl ≥30 mL/min (≥45 mL/min for TILs requiring high dose-IL2, ), bilirubin ≤2 mg/dL, LVEF ≥45% &lt;mark&gt;NYHA&lt;\/mark&gt; Class I-II) but specifics may vary based on product and protocol. ","c-replace":[""],"ab-name":"Abbreviations","a-name":"Possible_Abbreviations","g-rebookmarkname":"","i-wm":"NYHA","d-description":"Word in all caps may be an abbreviation.","k-color":"","f-bookmark":"BMABBRE100512","j-groupid":1},{"b-find":"TIL","e-paracontent":"After consent and exhaustive baseline screening, patients may undergo leukapheresis or&lt;mark&gt;TIL&lt;\/mark&gt; harvesting (typically 2\u20134 weeks prior to lymphodepletion) if clinically stable and meeting hematologic/clinical criteria. Pre-collection evaluation should confirm current infectious serologic status, exclude active infections, ensure adequate vascular access, and verify avoidance of lymphotoxic drugs within the protocol-specified washout period (typically 2-4 weeks but varies based on drug\u2019s pharmacokinetics and lymphocyte impact; Table 5.4):","c-replace":[""],"ab-name":"Abbreviations","a-name":"Possible_Abbreviations","g-rebookmarkname":"","i-wm":"TIL","d-description":"Word in all caps may be an abbreviation.","k-color":"","f-bookmark":"BMABBRE100533","j-groupid":1},{"b-find":"CD","e-paracontent":"Cellular Material: For leukapheresis, higher baseline&lt;mark&gt;CD&lt;\/mark&gt;3 counts (≥500/µL) correlate with improved manufacturing yield for autologous cellular therapies; for TILs, larger resectable tumor results in more successful manufacturing.","c-replace":[""],"ab-name":"Abbreviations","a-name":"Possible_Abbreviations","g-rebookmarkname":"","i-wm":"CD","d-description":"Word in all caps may be an abbreviation.","k-color":"","f-bookmark":"BMABBRE100544","j-groupid":1},{"b-find":"TIL","e-paracontent":"Cellular Material: For leukapheresis, higher baseline CD3 counts (≥500/µL) correlate with improved manufacturing yield for autologous cellular therapies; for&lt;mark&gt;TIL&lt;\/mark&gt;s, larger resectable tumor results in more successful manufacturing.","c-replace":[""],"ab-name":"Abbreviations","a-name":"Possible_Abbreviations","g-rebookmarkname":"","i-wm":"TIL","d-description":"Word in all caps may be an abbreviation.","k-color":"","f-bookmark":"BMABBRE100545","j-groupid":1},{"b-find":"PICC","e-paracontent":"Venous Access: Dual/triple-lumen catheter (e.g.,&lt;mark&gt;PICC&lt;\/mark&gt;, CVC) for leukapheresis/infusion.","c-replace":[""],"ab-name":"Abbreviations","a-name":"Possible_Abbreviations","g-rebookmarkname":"","i-wm":"PICC","d-description":"Word in all caps may be an abbreviation.","k-color":"","f-bookmark":"BMABBRE100553","j-groupid":1},{"b-find":"CVC","e-paracontent":"Venous Access: Dual/triple-lumen catheter (e.g., PICC,&lt;mark&gt;CVC&lt;\/mark&gt;) for leukapheresis/infusion.","c-replace":[""],"ab-name":"Abbreviations","a-name":"Possible_Abbreviations","g-rebookmarkname":"","i-wm":"CVC","d-description":"Word in all caps may be an abbreviation.","k-color":"","f-bookmark":"BMABBRE100554","j-groupid":1},{"b-find":"LD","e-paracontent":"Consideration of cellular therapy requires complex coordination between patient, disease centers, manufacturing labs, cell therapy clinical team (outpatient and inpatient), and study sponsor (for clinical trial patients). Timeline illustrates key stages of patient evaluation and treatment for cellular immunotherapies, including collection, lymphodepletion, and infusion with special note of ensuring active eligibility assessments at critical time points including baseline screening, pre-cellular procurement, pre-lymphodepletion, and prior to cellular therapy administration. &lt;mark&gt;LD&lt;\/mark&gt;= Lymphodepletion; IEC = Immune Effector Cell","c-replace":[""],"ab-name":"Abbreviations","a-name":"Possible_Abbreviations","g-rebookmarkname":"","i-wm":"LD","d-description":"Word in all caps may be an abbreviation.","k-color":"","f-bookmark":"BMABBRE100600","j-groupid":1},{"b-find":"IEC","e-paracontent":"Consideration of cellular therapy requires complex coordination between patient, disease centers, manufacturing labs, cell therapy clinical team (outpatient and inpatient), and study sponsor (for clinical trial patients). Timeline illustrates key stages of patient evaluation and treatment for cellular immunotherapies, including collection, lymphodepletion, and infusion with special note of ensuring active eligibility assessments at critical time points including baseline screening, pre-cellular procurement, pre-lymphodepletion, and prior to cellular therapy administration.  LD= Lymphodepletion;&lt;mark&gt;IEC&lt;\/mark&gt; = Immune Effector Cell","c-replace":[""],"ab-name":"Abbreviations","a-name":"Possible_Abbreviations","g-rebookmarkname":"","i-wm":"IEC","d-description":"Word in all caps may be an abbreviation.","k-color":"","f-bookmark":"BMABBRE100601","j-groupid":1},{"b-find":"PICC","e-paracontent":"Biopsies,&lt;mark&gt;PICC&lt;\/mark&gt;/CVC placement, leukapheresis, TIL harvesting (varies by therapy type)","c-replace":[""],"ab-name":"Abbreviations","a-name":"Possible_Abbreviations","g-rebookmarkname":"","i-wm":"PICC","d-description":"Word in all caps may be an abbreviation.","k-color":"","f-bookmark":"BMABBRE100618","j-groupid":1},{"b-find":"CVC","e-paracontent":"Biopsies, PICC&lt;mark&gt;CVC&lt;\/mark&gt; placement, leukapheresis, TIL harvesting (varies by therapy type)","c-replace":[""],"ab-name":"Abbreviations","a-name":"Possible_Abbreviations","g-rebookmarkname":"","i-wm":"CVC","d-description":"Word in all caps may be an abbreviation.","k-color":"","f-bookmark":"BMABBRE100619","j-groupid":1},{"b-find":"TIL","e-paracontent":"Biopsies, PICC/CVC placement, leukapheresis,&lt;mark&gt;TIL&lt;\/mark&gt; harvesting (varies by therapy type)","c-replace":[""],"ab-name":"Abbreviations","a-name":"Possible_Abbreviations","g-rebookmarkname":"","i-wm":"TIL","d-description":"Word in all caps may be an abbreviation.","k-color":"","f-bookmark":"BMABBRE100620","j-groupid":1},{"b-find":"IL","e-paracontent":"Lymphodepletion, cell therapy-related, adjuvant cytokine-based (high-dose&lt;mark&gt;IL&lt;\/mark&gt;-2)","c-replace":[""],"ab-name":"Abbreviations","a-name":"Possible_Abbreviations","g-rebookmarkname":"","i-wm":"IL","d-description":"Word in all caps may be an abbreviation.","k-color":"","f-bookmark":"BMABBRE100623","j-groupid":1},{"b-find":"CRS","e-paracontent":"Cytopenias requiring transfusion support, infectious risks, bleeding; severe multiorgan dysfunction from lymphodepletion&lt;mark&gt;CRS&lt;\/mark&gt;, ICANS, HLH, potential for on-target/off-tumor effects, ICU requirements, fatality","c-replace":[""],"ab-name":"Abbreviations","a-name":"Possible_Abbreviations","g-rebookmarkname":"","i-wm":"CRS","d-description":"Word in all caps may be an abbreviation.","k-color":"","f-bookmark":"BMABBRE100628","j-groupid":1},{"b-find":"ICANS","e-paracontent":"Cytopenias requiring transfusion support, infectious risks, bleeding; severe multiorgan dysfunction from lymphodepletion/CRS,&lt;mark&gt;ICANS&lt;\/mark&gt;, HLH, potential for on-target/off-tumor effects, ICU requirements, fatality","c-replace":[""],"ab-name":"Abbreviations","a-name":"Possible_Abbreviations","g-rebookmarkname":"","i-wm":"ICANS","d-description":"Word in all caps may be an abbreviation.","k-color":"","f-bookmark":"BMABBRE100629","j-groupid":1},{"b-find":"HLH","e-paracontent":"Cytopenias requiring transfusion support, infectious risks, bleeding; severe multiorgan dysfunction from lymphodepletion/CRS, ICANS,&lt;mark&gt;HLH&lt;\/mark&gt;, potential for on-target/off-tumor effects, ICU requirements, fatality","c-replace":[""],"ab-name":"Abbreviations","a-name":"Possible_Abbreviations","g-rebookmarkname":"","i-wm":"HLH","d-description":"Word in all caps may be an abbreviation.","k-color":"","f-bookmark":"BMABBRE100630","j-groupid":1},{"b-find":"ICU","e-paracontent":"Cytopenias requiring transfusion support, infectious risks, bleeding; severe multiorgan dysfunction from lymphodepletion/CRS, ICANS, HLH, potential for on-target/off-tumor effects,&lt;mark&gt;ICU&lt;\/mark&gt; requirements, fatality","c-replace":[""],"ab-name":"Abbreviations","a-name":"Possible_Abbreviations","g-rebookmarkname":"","i-wm":"ICU","d-description":"Word in all caps may be an abbreviation.","k-color":"","f-bookmark":"BMABBRE100631","j-groupid":1},{"b-find":"ICANS","e-paracontent":"Lodging requirements (within 1\u20132 hours of treatment center for 2-4 weeks), 24/7 caregiver support, protracted hospitalization needs, restriction on activity (e.g., driving restrictions due to&lt;mark&gt;ICANS&lt;\/mark&gt;), frequent clinic visits","c-replace":[""],"ab-name":"Abbreviations","a-name":"Possible_Abbreviations","g-rebookmarkname":"","i-wm":"ICANS","d-description":"Word in all caps may be an abbreviation.","k-color":"","f-bookmark":"BMABBRE100636","j-groupid":1},{"b-find":"TE","e-paracontent":"- B&lt;mark&gt;TE&lt;\/mark&gt;s ","c-replace":[""],"ab-name":"Abbreviations","a-name":"Possible_Abbreviations","g-rebookmarkname":"","i-wm":"TE","d-description":"Word in all caps may be an abbreviation.","k-color":"","f-bookmark":"BMABBRE100650","j-groupid":1},{"b-find":"CD","e-paracontent":"-&lt;mark&gt;CD&lt;\/mark&gt;28 CAR T (less preferred)","c-replace":[""],"ab-name":"Abbreviations","a-name":"Possible_Abbreviations","g-rebookmarkname":"","i-wm":"CD","d-description":"Word in all caps may be an abbreviation.","k-color":"","f-bookmark":"BMABBRE100654","j-groupid":1},{"b-find":"CAR","e-paracontent":"- CD28&lt;mark&gt;CAR&lt;\/mark&gt; T (less preferred)","c-replace":[""],"ab-name":"Abbreviations","a-name":"Possible_Abbreviations","g-rebookmarkname":"","i-wm":"CAR","d-description":"Word in all caps may be an abbreviation.","k-color":"","f-bookmark":"BMABBRE100655","j-groupid":1},{"b-find":"TE","e-paracontent":"- B&lt;mark&gt;TE&lt;\/mark&gt;s preferred for milder toxicity ","c-replace":[""],"ab-name":"Abbreviations","a-name":"Possible_Abbreviations","g-rebookmarkname":"","i-wm":"TE","d-description":"Word in all caps may be an abbreviation.","k-color":"","f-bookmark":"BMABBRE100658","j-groupid":1},{"b-find":"CRS","e-paracontent":"- 4-1BB CAR T for reduced&lt;mark&gt;CRS&lt;\/mark&gt; risk - Less intensive lymphodepletion - Multidisciplinary frailty assessment","c-replace":[""],"ab-name":"Abbreviations","a-name":"Possible_Abbreviations","g-rebookmarkname":"","i-wm":"CRS","d-description":"Word in all caps may be an abbreviation.","k-color":"","f-bookmark":"BMABBRE100661","j-groupid":1},{"b-find":"TE","e-paracontent":"- B&lt;mark&gt;TE&lt;\/mark&gt;s ","c-replace":[""],"ab-name":"Abbreviations","a-name":"Possible_Abbreviations","g-rebookmarkname":"","i-wm":"TE","d-description":"Word in all caps may be an abbreviation.","k-color":"","f-bookmark":"BMABBRE100664","j-groupid":1},{"b-find":"CD","e-paracontent":"-&lt;mark&gt;CD&lt;\/mark&gt;28 CAR T (fast expansion) ","c-replace":[""],"ab-name":"Abbreviations","a-name":"Possible_Abbreviations","g-rebookmarkname":"","i-wm":"CD","d-description":"Word in all caps may be an abbreviation.","k-color":"","f-bookmark":"BMABBRE100668","j-groupid":1},{"b-find":"CAR","e-paracontent":"- CD28&lt;mark&gt;CAR&lt;\/mark&gt; T (fast expansion) ","c-replace":[""],"ab-name":"Abbreviations","a-name":"Possible_Abbreviations","g-rebookmarkname":"","i-wm":"CAR","d-description":"Word in all caps may be an abbreviation.","k-color":"","f-bookmark":"BMABBRE100669","j-groupid":1},{"b-find":"CAR","e-paracontent":"- Autologous&lt;mark&gt;CAR&lt;\/mark&gt; T (short manufacturing)","c-replace":[""],"ab-name":"Abbreviations","a-name":"Possible_Abbreviations","g-rebookmarkname":"","i-wm":"CAR","d-description":"Word in all caps may be an abbreviation.","k-color":"","f-bookmark":"BMABBRE100674","j-groupid":1},{"b-find":"TE","e-paracontent":"- Bridging strategies (see Chapter 7) - Prioritize B&lt;mark&gt;TE&lt;\/mark&gt;s/allogeneic with limited bridging options","c-replace":[""],"ab-name":"Abbreviations","a-name":"Possible_Abbreviations","g-rebookmarkname":"","i-wm":"TE","d-description":"Word in all caps may be an abbreviation.","k-color":"","f-bookmark":"BMABBRE100678","j-groupid":1},{"b-find":"CAR","e-paracontent":"Clinical decision pathways for selecting cellular immunotherapies should integrate disease indications, kinetics, patient frailty, and treatment logistics. Rapid disease progression prompts consideration of bridging therapies and rapid-expansion or off-the-shelf products. Frailty status influences&lt;mark&gt;CAR&lt;\/mark&gt; T cell costimulatory domain selection and choice of alternative cellular therapies. Patient logistics and preferences\u2014including treatment frequency and proximity to treatment centers\u2014are paramount in final therapy decisions. All therapeutic selection should weigh available efficacy data and sequencing.  ","c-replace":[""],"ab-name":"Abbreviations","a-name":"Possible_Abbreviations","g-rebookmarkname":"","i-wm":"CAR","d-description":"Word in all caps may be an abbreviation.","k-color":"","f-bookmark":"BMABBRE100686","j-groupid":1},{"b-find":"CRP","e-paracontent":"ANC, platelets, hemoglobin,&lt;mark&gt;CRP&lt;\/mark&gt;, ferritin","c-replace":["C-reactive protein (CRP)","CRP"],"ab-name":"Abbreviations","a-name":"Abbreviation","g-rebookmarkname":"","i-wm":"CRP","d-description":"An abbreviation must appear with its expanded form first and can then only be reused.","k-color":"#a24c29","f-bookmark":"BMABBRE100695","j-groupid":7},{"b-find":"ANC","e-paracontent":"&lt;mark&gt;ANC&lt;\/mark&gt;, platelets, hemoglobin, CRP, ferritin","c-replace":[""],"ab-name":"Abbreviations","a-name":"Possible_Abbreviations","g-rebookmarkname":"","i-wm":"ANC","d-description":"Word in all caps may be an abbreviation.","k-color":"","f-bookmark":"BMABBRE100696","j-groupid":1},{"b-find":"CRS","e-paracontent":"Predict cytopenias,&lt;mark&gt;CRS&lt;\/mark&gt;/ICANS, survival in CAR-T","c-replace":[""],"ab-name":"Abbreviations","a-name":"Possible_Abbreviations","g-rebookmarkname":"","i-wm":"CRS","d-description":"Word in all caps may be an abbreviation.","k-color":"","f-bookmark":"BMABBRE100698","j-groupid":1},{"b-find":"ICANS","e-paracontent":"Predict cytopenias, CRS&lt;mark&gt;ICANS&lt;\/mark&gt;, survival in CAR-T","c-replace":[""],"ab-name":"Abbreviations","a-name":"Possible_Abbreviations","g-rebookmarkname":"","i-wm":"ICANS","d-description":"Word in all caps may be an abbreviation.","k-color":"","f-bookmark":"BMABBRE100699","j-groupid":1},{"b-find":"CAR","e-paracontent":"Predict cytopenias, CRS/ICANS, survival in&lt;mark&gt;CAR&lt;\/mark&gt;-T","c-replace":[""],"ab-name":"Abbreviations","a-name":"Possible_Abbreviations","g-rebookmarkname":"","i-wm":"CAR","d-description":"Word in all caps may be an abbreviation.","k-color":"","f-bookmark":"BMABBRE100700","j-groupid":1},{"b-find":"DLBCL","e-paracontent":"&lt;mark&gt;DLBCL&lt;\/mark&gt;, B-ALL (ALL variant), MM (under study)","c-replace":[""],"ab-name":"Abbreviations","a-name":"Possible_Abbreviations","g-rebookmarkname":"","i-wm":"DLBCL","d-description":"Word in all caps may be an abbreviation.","k-color":"","f-bookmark":"BMABBRE100702","j-groupid":1},{"b-find":"ALL","e-paracontent":"DLBCL, B&lt;mark&gt;ALL&lt;\/mark&gt; (ALL variant), MM (under study)","c-replace":[""],"ab-name":"Abbreviations","a-name":"Possible_Abbreviations","g-rebookmarkname":"","i-wm":"ALL","d-description":"Word in all caps may be an abbreviation.","k-color":"","f-bookmark":"BMABBRE100703","j-groupid":1},{"b-find":"ALL","e-paracontent":"DLBCL, B-ALL &lt;mark&gt;ALL&lt;\/mark&gt; variant), MM (under study)","c-replace":[""],"ab-name":"Abbreviations","a-name":"Possible_Abbreviations","g-rebookmarkname":"","i-wm":"ALL","d-description":"Word in all caps may be an abbreviation.","k-color":"","f-bookmark":"BMABBRE100704","j-groupid":1},{"b-find":"MM","e-paracontent":"DLBCL, B-ALL (ALL variant),&lt;mark&gt;MM&lt;\/mark&gt; (under study)","c-replace":[""],"ab-name":"Abbreviations","a-name":"Possible_Abbreviations","g-rebookmarkname":"","i-wm":"MM","d-description":"Word in all caps may be an abbreviation.","k-color":"","f-bookmark":"BMABBRE100705","j-groupid":1},{"b-find":"HCT","e-paracontent":"&lt;mark&gt;HCT&lt;\/mark&gt; \u2013 CI","c-replace":[""],"ab-name":"Abbreviations","a-name":"Possible_Abbreviations","g-rebookmarkname":"","i-wm":"HCT","d-description":"Word in all caps may be an abbreviation.","k-color":"","f-bookmark":"BMABBRE100711","j-groupid":1},{"b-find":"CI","e-paracontent":"HCT \u2013&lt;mark&gt;CI&lt;\/mark&gt;","c-replace":[""],"ab-name":"Abbreviations","a-name":"Possible_Abbreviations","g-rebookmarkname":"","i-wm":"CI","d-description":"Word in all caps may be an abbreviation.","k-color":"","f-bookmark":"BMABBRE100712","j-groupid":1},{"b-find":"NRM","e-paracontent":"Predict&lt;mark&gt;NRM&lt;\/mark&gt; and OS post allo-HSCT and CAR-T","c-replace":["non\u2011relapse mortality (NRM)","NRM"],"ab-name":"Abbreviations","a-name":"Abbreviation","g-rebookmarkname":"","i-wm":"NRM","d-description":"An abbreviation must appear with its expanded form first and can then only be reused.","k-color":"#a24c29","f-bookmark":"BMABBRE100713","j-groupid":17},{"b-find":"OS","e-paracontent":"Predict NRM and&lt;mark&gt;OS&lt;\/mark&gt; post allo-HSCT and CAR-T","c-replace":[""],"ab-name":"Abbreviations","a-name":"Possible_Abbreviations","g-rebookmarkname":"","i-wm":"OS","d-description":"Word in all caps may be an abbreviation.","k-color":"","f-bookmark":"BMABBRE100714","j-groupid":1},{"b-find":"HSCT","e-paracontent":"Predict NRM and OS post allo&lt;mark&gt;HSCT&lt;\/mark&gt; and CAR-T","c-replace":[""],"ab-name":"Abbreviations","a-name":"Possible_Abbreviations","g-rebookmarkname":"","i-wm":"HSCT","d-description":"Word in all caps may be an abbreviation.","k-color":"","f-bookmark":"BMABBRE100715","j-groupid":1},{"b-find":"CAR","e-paracontent":"Predict NRM and OS post allo-HSCT and&lt;mark&gt;CAR&lt;\/mark&gt;-T","c-replace":[""],"ab-name":"Abbreviations","a-name":"Possible_Abbreviations","g-rebookmarkname":"","i-wm":"CAR","d-description":"Word in all caps may be an abbreviation.","k-color":"","f-bookmark":"BMABBRE100716","j-groupid":1},{"b-find":"HSCT","e-paracontent":"Allo&lt;mark&gt;HSCT&lt;\/mark&gt; (original), CAR-T (DLBCL, ALL, MM)","c-replace":[""],"ab-name":"Abbreviations","a-name":"Possible_Abbreviations","g-rebookmarkname":"","i-wm":"HSCT","d-description":"Word in all caps may be an abbreviation.","k-color":"","f-bookmark":"BMABBRE100718","j-groupid":1},{"b-find":"CAR","e-paracontent":"Allo-HSCT (original),&lt;mark&gt;CAR&lt;\/mark&gt;-T (DLBCL, ALL, MM)","c-replace":[""],"ab-name":"Abbreviations","a-name":"Possible_Abbreviations","g-rebookmarkname":"","i-wm":"CAR","d-description":"Word in all caps may be an abbreviation.","k-color":"","f-bookmark":"BMABBRE100719","j-groupid":1},{"b-find":"DLBCL","e-paracontent":"Allo-HSCT (original), CAR-T &lt;mark&gt;DLBCL&lt;\/mark&gt;, ALL, MM)","c-replace":[""],"ab-name":"Abbreviations","a-name":"Possible_Abbreviations","g-rebookmarkname":"","i-wm":"DLBCL","d-description":"Word in all caps may be an abbreviation.","k-color":"","f-bookmark":"BMABBRE100720","j-groupid":1},{"b-find":"ALL","e-paracontent":"Allo-HSCT (original), CAR-T (DLBCL,&lt;mark&gt;ALL&lt;\/mark&gt;, MM)","c-replace":[""],"ab-name":"Abbreviations","a-name":"Possible_Abbreviations","g-rebookmarkname":"","i-wm":"ALL","d-description":"Word in all caps may be an abbreviation.","k-color":"","f-bookmark":"BMABBRE100721","j-groupid":1},{"b-find":"MM","e-paracontent":"Allo-HSCT (original), CAR-T (DLBCL, ALL,&lt;mark&gt;MM&lt;\/mark&gt;)","c-replace":[""],"ab-name":"Abbreviations","a-name":"Possible_Abbreviations","g-rebookmarkname":"","i-wm":"MM","d-description":"Word in all caps may be an abbreviation.","k-color":"","f-bookmark":"BMABBRE100722","j-groupid":1},{"b-find":"CIRS","e-paracontent":"&lt;mark&gt;CIRS&lt;\/mark&gt;-G","c-replace":[""],"ab-name":"Abbreviations","a-name":"Possible_Abbreviations","g-rebookmarkname":"","i-wm":"CIRS","d-description":"Word in all caps may be an abbreviation.","k-color":"","f-bookmark":"BMABBRE100729","j-groupid":1},{"b-find":"CAR","e-paracontent":"Assess frailty and predict survival/toxicity in&lt;mark&gt;CAR&lt;\/mark&gt;-T","c-replace":[""],"ab-name":"Abbreviations","a-name":"Possible_Abbreviations","g-rebookmarkname":"","i-wm":"CAR","d-description":"Word in all caps may be an abbreviation.","k-color":"","f-bookmark":"BMABBRE100731","j-groupid":1},{"b-find":"DLBCL","e-paracontent":"&lt;mark&gt;DLBCL&lt;\/mark&gt;, MM (validated 2025); TIL/BiTE studies ongoing","c-replace":[""],"ab-name":"Abbreviations","a-name":"Possible_Abbreviations","g-rebookmarkname":"","i-wm":"DLBCL","d-description":"Word in all caps may be an abbreviation.","k-color":"","f-bookmark":"BMABBRE100732","j-groupid":1},{"b-find":"MM","e-paracontent":"DLBCL,&lt;mark&gt;MM&lt;\/mark&gt; (validated 2025); TIL/BiTE studies ongoing","c-replace":[""],"ab-name":"Abbreviations","a-name":"Possible_Abbreviations","g-rebookmarkname":"","i-wm":"MM","d-description":"Word in all caps may be an abbreviation.","k-color":"","f-bookmark":"BMABBRE100733","j-groupid":1},{"b-find":"TIL","e-paracontent":"DLBCL, MM (validated 2025);&lt;mark&gt;TIL&lt;\/mark&gt;/BiTE studies ongoing","c-replace":[""],"ab-name":"Abbreviations","a-name":"Possible_Abbreviations","g-rebookmarkname":"","i-wm":"TIL","d-description":"Word in all caps may be an abbreviation.","k-color":"","f-bookmark":"BMABBRE100734","j-groupid":1},{"b-find":"TE","e-paracontent":"DLBCL, MM (validated 2025); TIL/B&lt;mark&gt;TE&lt;\/mark&gt; studies ongoing","c-replace":[""],"ab-name":"Abbreviations","a-name":"Possible_Abbreviations","g-rebookmarkname":"","i-wm":"TE","d-description":"Word in all caps may be an abbreviation.","k-color":"","f-bookmark":"BMABBRE100735","j-groupid":1},{"b-find":"LDH","e-paracontent":"&lt;mark&gt;LDH&lt;\/mark&gt; × creatinine) ÷ platelets","c-replace":["lactate dehydrogenase (LDH)","LDH"],"ab-name":"Abbreviations","a-name":"Abbreviation","g-rebookmarkname":"","i-wm":"LDH","d-description":"An abbreviation must appear with its expanded form first and can then only be reused.","k-color":"#a24c29","f-bookmark":"BMABBRE100740","j-groupid":4},{"b-find":"NRM","e-paracontent":"Predict endothelial dysfunction,&lt;mark&gt;NRM&lt;\/mark&gt;, infections","c-replace":["non\u2011relapse mortality (NRM)","NRM"],"ab-name":"Abbreviations","a-name":"Abbreviation","g-rebookmarkname":"","i-wm":"NRM","d-description":"An abbreviation must appear with its expanded form first and can then only be reused.","k-color":"#a24c29","f-bookmark":"BMABBRE100743","j-groupid":17},{"b-find":"HSCT","e-paracontent":"Allo&lt;mark&gt;HSCT&lt;\/mark&gt;, CAR-T (DLBCL, MM); trials in TCR T, BiTE","c-replace":[""],"ab-name":"Abbreviations","a-name":"Possible_Abbreviations","g-rebookmarkname":"","i-wm":"HSCT","d-description":"Word in all caps may be an abbreviation.","k-color":"","f-bookmark":"BMABBRE100744","j-groupid":1},{"b-find":"CAR","e-paracontent":"Allo-HSCT,&lt;mark&gt;CAR&lt;\/mark&gt;-T (DLBCL, MM); trials in TCR T, BiTE","c-replace":[""],"ab-name":"Abbreviations","a-name":"Possible_Abbreviations","g-rebookmarkname":"","i-wm":"CAR","d-description":"Word in all caps may be an abbreviation.","k-color":"","f-bookmark":"BMABBRE100745","j-groupid":1},{"b-find":"DLBCL","e-paracontent":"Allo-HSCT, CAR-T &lt;mark&gt;DLBCL&lt;\/mark&gt;, MM); trials in TCR T, BiTE","c-replace":[""],"ab-name":"Abbreviations","a-name":"Possible_Abbreviations","g-rebookmarkname":"","i-wm":"DLBCL","d-description":"Word in all caps may be an abbreviation.","k-color":"","f-bookmark":"BMABBRE100746","j-groupid":1},{"b-find":"MM","e-paracontent":"Allo-HSCT, CAR-T (DLBCL,&lt;mark&gt;MM&lt;\/mark&gt;); trials in TCR T, BiTE","c-replace":[""],"ab-name":"Abbreviations","a-name":"Possible_Abbreviations","g-rebookmarkname":"","i-wm":"MM","d-description":"Word in all caps may be an abbreviation.","k-color":"","f-bookmark":"BMABBRE100747","j-groupid":1},{"b-find":"TCR","e-paracontent":"Allo-HSCT, CAR-T (DLBCL, MM); trials in&lt;mark&gt;TCR&lt;\/mark&gt; T, BiTE","c-replace":[""],"ab-name":"Abbreviations","a-name":"Possible_Abbreviations","g-rebookmarkname":"","i-wm":"TCR","d-description":"Word in all caps may be an abbreviation.","k-color":"","f-bookmark":"BMABBRE100748","j-groupid":1},{"b-find":"TE","e-paracontent":"Allo-HSCT, CAR-T (DLBCL, MM); trials in TCR T, B&lt;mark&gt;TE&lt;\/mark&gt;","c-replace":[""],"ab-name":"Abbreviations","a-name":"Possible_Abbreviations","g-rebookmarkname":"","i-wm":"TE","d-description":"Word in all caps may be an abbreviation.","k-color":"","f-bookmark":"BMABBRE100749","j-groupid":1},{"b-find":"IMWG","e-paracontent":"&lt;mark&gt;IMWG&lt;\/mark&gt; Frailty","c-replace":[""],"ab-name":"Abbreviations","a-name":"Possible_Abbreviations","g-rebookmarkname":"","i-wm":"IMWG","d-description":"Word in all caps may be an abbreviation.","k-color":"","f-bookmark":"BMABBRE100754","j-groupid":1},{"b-find":"Charlson Comorbidity Index","e-paracontent":"Age, ECOG or ADL,&lt;mark&gt;Charlson Comorbidity Index&lt;\/mark&gt;","c-replace":["Charlson Comorbidity Index (CCI)","CCI"],"ab-name":"Abbreviations","a-name":"Abbreviation_Defined_Twice_or_More","g-rebookmarkname":"","i-wm":"Charlson Comorbidity Index","d-description":"An abbreviation is defined more than once. The definition may also be inconsistent.","k-color":"#a24c29","f-bookmark":"BMABBRE100756","j-groupid":18},{"b-find":"Charlson Comorbidity Index","e-paracontent":"Age, ECOG or ADL,&lt;mark&gt;Charlson Comorbidity Index&lt;\/mark&gt;","c-replace":["Charlson Comorbidity Index (CCI)","CCI"],"ab-name":"Abbreviations","a-name":"Abbreviation_Not_Used","g-rebookmarkname":"","i-wm":"Charlson Comorbidity Index","d-description":"An abbreviation is written out in full after it is defined.","k-color":"#a24c29","f-bookmark":"BMABBRE100757","j-groupid":18},{"b-find":"ECOG","e-paracontent":"Age,&lt;mark&gt;ECOG&lt;\/mark&gt; or ADL, Charlson Comorbidity Index","c-replace":[""],"ab-name":"Abbreviations","a-name":"Possible_Abbreviations","g-rebookmarkname":"","i-wm":"ECOG","d-description":"Word in all caps may be an abbreviation.","k-color":"","f-bookmark":"BMABBRE100758","j-groupid":1},{"b-find":"ADL","e-paracontent":"Age, ECOG or&lt;mark&gt;ADL&lt;\/mark&gt;, Charlson Comorbidity Index","c-replace":[""],"ab-name":"Abbreviations","a-name":"Possible_Abbreviations","g-rebookmarkname":"","i-wm":"ADL","d-description":"Word in all caps may be an abbreviation.","k-color":"","f-bookmark":"BMABBRE100759","j-groupid":1},{"b-find":"MM","e-paracontent":"&lt;mark&gt;MM&lt;\/mark&gt; clinical trials (CAR-T and bispecific antibodies)","c-replace":[""],"ab-name":"Abbreviations","a-name":"Possible_Abbreviations","g-rebookmarkname":"","i-wm":"MM","d-description":"Word in all caps may be an abbreviation.","k-color":"","f-bookmark":"BMABBRE100763","j-groupid":1},{"b-find":"CAR","e-paracontent":"MM clinical trials &lt;mark&gt;CAR&lt;\/mark&gt;-T and bispecific antibodies)","c-replace":[""],"ab-name":"Abbreviations","a-name":"Possible_Abbreviations","g-rebookmarkname":"","i-wm":"CAR","d-description":"Word in all caps may be an abbreviation.","k-color":"","f-bookmark":"BMABBRE100764","j-groupid":1},{"b-find":"CD","e-paracontent":"Alemtuzumab (Anti&lt;mark&gt;CD&lt;\/mark&gt;52 monoclonal antibody)","c-replace":[""],"ab-name":"Abbreviations","a-name":"Possible_Abbreviations","g-rebookmarkname":"","i-wm":"CD","d-description":"Word in all caps may be an abbreviation.","k-color":"","f-bookmark":"BMABBRE100772","j-groupid":1},{"b-find":"CD","e-paracontent":"Other Immunosuppressants (e.g., anti&lt;mark&gt;CD&lt;\/mark&gt;38 Abs)","c-replace":[""],"ab-name":"Abbreviations","a-name":"Possible_Abbreviations","g-rebookmarkname":"","i-wm":"CD","d-description":"Word in all caps may be an abbreviation.","k-color":"","f-bookmark":"BMABBRE100777","j-groupid":1}]</preedit>
</file>

<file path=customXml/item7.xml><?xml version="1.0" encoding="utf-8"?>
<preedit xmlns="http://www.machineedit.net/AMOD/CustomXML/Grammar.htm">[{"b-find":"prior to","e-paracontent":"Infectious Disease Work Up: Comprehensive screening must be current&lt;mark&gt;prior to&lt;\/mark&gt;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","c-replace":[],"ab-name":"Grammar","a-name":"Grammar","g-rebookmarkname":"","i-wm":"prior to","d-description":"Replace \"prior to\" with \"before\", if needed.","f-bookmark":"BMGRAMMARCHECK_LNG_Grammar_100155"},{"b-find":"prior to","e-paracontent":"Active CNS involvement, historically a relative contraindication for cellular immunotherapies due to ICANS risk, now shows comparable efficacy/safety in real-world CAR T-cell data. High-risk patients (e.g., ALL, high grade lymphoma) should be screened with lumbar puncture (to include opening pressures) and MRI brain/spine with debulk via intrathecal/systemic chemotherapy&lt;mark&gt;prior to&lt;\/mark&gt; cellular infusion to mitigate neurotoxic risk. Multidisciplinary input from neuro-oncology and enhanced monitoring are critical in such circumstances.  Of note, patients being considered for TILs in the auspices of high dose IL-2 support may require multidisciplinary discussions as CNS metastasis precluded treatment eligibility in most published studies. ","c-replace":[],"ab-name":"Grammar","a-name":"Grammar","g-rebookmarkname":"","i-wm":"prior to","d-description":"Replace \"prior to\" with \"before\", if needed.","f-bookmark":"BMGRAMMARCHECK_LNG_Grammar_100225"},{"b-find":"biological","e-paracontent":"Investigational Cell Therapies (NKs, CAR-M, Gamma-Delta T-Cells): Eligibility for investigational therapies is governed by trial-specific criteria, focusing on disease type, therapy modality, particular cellular construct, lymphodepletion intensity, and&lt;mark&gt;biological&lt;\/mark&gt; construct potency. Emerging data suggest potential inclusion of frail patients with optimization depending on above factors, though protocols prioritize antigen expression, infection control, and minimal comorbidities.","c-replace":[],"ab-name":"Grammar","a-name":"Grammar","g-rebookmarkname":"","i-wm":"biological","d-description":"For most adjectives, delete \u201c-al\u201d suffixes that are preceded by \u201c-logic\u201d except \"psychological.\"","f-bookmark":"BMGRAMMARCHECK_LNG_Grammar_100294"},{"b-find":"biological","e-paracontent":"Therapy-specific profiling ensures&lt;mark&gt;biological&lt;\/mark&gt; compatibility and efficacy across therapy types and tumor indications:","c-replace":[],"ab-name":"Grammar","a-name":"Grammar","g-rebookmarkname":"","i-wm":"biological","d-description":"For most adjectives, delete \u201c-al\u201d suffixes that are preceded by \u201c-logic\u201d except \"psychological.\"","f-bookmark":"BMGRAMMARCHECK_LNG_Grammar_100297"},{"b-find":"prior to","e-paracontent":"After consent and exhaustive baseline screening, patients may undergo leukapheresis or TIL harvesting (typically 2\u20134 weeks&lt;mark&gt;prior to&lt;\/mark&gt; lymphodepletion) if clinically stable and meeting hematologic/clinical criteria. Pre-collection evaluation should confirm current infectious serologic status, exclude active infections, ensure adequate vascular access, and verify avoidance of lymphotoxic drugs within the protocol-specified washout period (typically 2-4 weeks but varies based on drug\u2019s pharmacokinetics and lymphocyte impact; Table 5.4):","c-replace":[],"ab-name":"Grammar","a-name":"Grammar","g-rebookmarkname":"","i-wm":"prior to","d-description":"Replace \"prior to\" with \"before\", if needed.","f-bookmark":"BMGRAMMARCHECK_LNG_Grammar_100539"},{"b-find":"prior to","e-paracontent":"Consideration of cellular therapy requires complex coordination between patient, disease centers, manufacturing labs, cell therapy clinical team (outpatient and inpatient), and study sponsor (for clinical trial patients). Timeline illustrates key stages of patient evaluation and treatment for cellular immunotherapies, including collection, lymphodepletion, and infusion with special note of ensuring active eligibility assessments at critical time points including baseline screening, pre-cellular procurement, pre-lymphodepletion, and&lt;mark&gt;prior to&lt;\/mark&gt; cellular therapy administration.  LD= Lymphodepletion; IEC = Immune Effector Cell","c-replace":[],"ab-name":"Grammar","a-name":"Grammar","g-rebookmarkname":"","i-wm":"prior to","d-description":"Replace \"prior to\" with \"before\", if needed.","f-bookmark":"BMGRAMMARCHECK_LNG_Grammar_100612"},{"b-find":"fast","e-paracontent":"- CD28 CAR T &lt;mark&gt;fast&lt;\/mark&gt; expansion) ","c-replace":[],"ab-name":"Grammar","a-name":"Collocations","g-rebookmarkname":"","i-wm":"fast","d-description":"Did you mean 'rapid'?","f-bookmark":"BMGRAMMARCHECK_LNG_Collocations_100673"},{"b-find":"Prior to","e-paracontent":"&lt;TAB5.4&gt;Table 5.4: Recommended Washout Periods for Lymphotoxic Drugs&lt;mark&gt;Prior to&lt;\/mark&gt; Leukapheresis ","c-replace":[],"ab-name":"Grammar","a-name":"Grammar","g-rebookmarkname":"","i-wm":"Prior to","d-description":"Replace \"prior to\" with \"before\", if needed.","f-bookmark":"BMGRAMMARCHECK_LNG_Grammar_100769"}]</preedit>
</file>

<file path=customXml/item8.xml><?xml version="1.0" encoding="utf-8"?>
<preedit xmlns="http://www.machineedit.net/AMOD/CustomXML/Spelling.htm">[{"b-find":"TILs","e-paracontent":"Comprehensive informed consent is critical to ensure patients and families understand the risks, benefits, and logistical demands of cellular immunotherapies. Clinicians must detail procedural risks, such as bleeding or infection from biopsies, catheter placement, leukapheresis, or tumor resection for&lt;mark&gt;TILs&lt;\/mark&gt;; therapy-associated toxicities, including lymphodepletion specific toxicities, CRS, ICANS, or IL-2-induced capillary leak syndrome (where applicable); and on-target/off-tumor. Logistical challenges, including residential proximity to treatment centers (within 1\u20132 hours for 4 weeks post infusion), need for 24/7 caregiver support, and protracted hospitalization may impose psychosocial and financial burdens. Manufacturing uncertainties including delays or failures, risk of disease progression, and potential for long-term genotoxicity risks must be included during the consenting process. Table 5.1 summarizes these components.","c-replace":["Ties","Till","Tiles","Oils","Tails","Tile","Tips","Tilt","TLS","Til","Tics","Tilts","Mils","Tills","Toils","Ails","TIS","Tins","Tits","TIL s"],"ab-name":"Spelling","a-name":"Possible Misspelling","g-rebookmarkname":"","i-wm":"TILs","d-description":"Possible spelling mistake found","f-bookmark":"BMSPELLING100027"},{"b-find":"lymphodepletion","e-paracontent":"Comprehensive informed consent is critical to ensure patients and families understand the risks, benefits, and logistical demands of cellular immunotherapies. Clinicians must detail procedural risks, such as bleeding or infection from biopsies, catheter placement, leukapheresis, or tumor resection for TILs; therapy-associated toxicities, including&lt;mark&gt;lymphodepletion&lt;\/mark&gt; specific toxicities, CRS, ICANS, or IL-2-induced capillary leak syndrome (where applicable); and on-target/off-tumor. Logistical challenges, including residential proximity to treatment centers (within 1\u20132 hours for 4 weeks post infusion), need for 24/7 caregiver support, and protracted hospitalization may impose psychosocial and financial burdens. Manufacturing uncertainties including delays or failures, risk of disease progression, and potential for long-term genotoxicity risks must be included during the consenting process. Table 5.1 summarizes these components.","c-replace":[],"ab-name":"Spelling","a-name":"Possible Misspelling","g-rebookmarkname":"","i-wm":"lymphodepletion","d-description":"Possible spelling mistake found","f-bookmark":"BMSPELLING100028"},{"b-find":"ICANS","e-paracontent":"Comprehensive informed consent is critical to ensure patients and families understand the risks, benefits, and logistical demands of cellular immunotherapies. Clinicians must detail procedural risks, such as bleeding or infection from biopsies, catheter placement, leukapheresis, or tumor resection for TILs; therapy-associated toxicities, including lymphodepletion specific toxicities, CRS,&lt;mark&gt;ICANS&lt;\/mark&gt;, or IL-2-induced capillary leak syndrome (where applicable); and on-target/off-tumor. Logistical challenges, including residential proximity to treatment centers (within 1\u20132 hours for 4 weeks post infusion), need for 24/7 caregiver support, and protracted hospitalization may impose psychosocial and financial burdens. Manufacturing uncertainties including delays or failures, risk of disease progression, and potential for long-term genotoxicity risks must be included during the consenting process. Table 5.1 summarizes these components.","c-replace":["Cans","Icons","Scans","ICA NS","ICANN"],"ab-name":"Spelling","a-name":"Possible Misspelling","g-rebookmarkname":"","i-wm":"ICANS","d-description":"Possible spelling mistake found","f-bookmark":"BMSPELLING100029"},{"b-find":"genotoxicity","e-paracontent":"Comprehensive informed consent is critical to ensure patients and families understand the risks, benefits, and logistical demands of cellular immunotherapies. Clinicians must detail procedural risks, such as bleeding or infection from biopsies, catheter placement, leukapheresis, or tumor resection for TILs; therapy-associated toxicities, including lymphodepletion specific toxicities, CRS, ICANS, or IL-2-induced capillary leak syndrome (where applicable); and on-target/off-tumor. Logistical challenges, including residential proximity to treatment centers (within 1\u20132 hours for 4 weeks post infusion), need for 24/7 caregiver support, and protracted hospitalization may impose psychosocial and financial burdens. Manufacturing uncertainties including delays or failures, risk of disease progression, and potential for long-term&lt;mark&gt;genotoxicity&lt;\/mark&gt; risks must be included during the consenting process. Table 5.1 summarizes these components.","c-replace":[],"ab-name":"Spelling","a-name":"Possible Misspelling","g-rebookmarkname":"","i-wm":"genotoxicity","d-description":"Possible spelling mistake found","f-bookmark":"BMSPELLING100030"},{"b-find":"pre-lymphodepletion","e-paracontent":"Baseline screening is intended to verify patient eligibility across the immunotherapy timeline, typically before cellular collection (~2\u20134 weeks&lt;mark&gt;pre-lymphodepletion&lt;\/mark&gt; for CAR T-cells, TCR T-cells, TILs, or investigational therapies), lymphodepletion (~1 week pre-infusion), and/or infusion. Specific criteria and precise timing depend on therapy type (e.g. CAR T-cell therapy vs BiTE), protocol (regulatory-approved vs. investigational), therapy nature (autologous vs. allogeneic), disease type and target expression, and institutional practice guidelines. Early multidisciplinary evaluation involving subspecialists and social work is critical to optimize candidacy and risk assessment which is guided by a complete physical examination, objective diagnostic data, performance status, and neurocognitive assessment. Figure 5.1 provides a visual overview of this timeline which highlight key stages from collection to infusion.","c-replace":[],"ab-name":"Spelling","a-name":"Possible Misspelling","g-rebookmarkname":"","i-wm":"pre-lymphodepletion","d-description":"Possible spelling mistake found","f-bookmark":"BMSPELLING100050"},{"b-find":"TILs","e-paracontent":"Baseline screening is intended to verify patient eligibility across the immunotherapy timeline, typically before cellular collection (~2\u20134 weeks pre-lymphodepletion for CAR T-cells, TCR T-cells,&lt;mark&gt;TILs&lt;\/mark&gt;, or investigational therapies), lymphodepletion (~1 week pre-infusion), and/or infusion. Specific criteria and precise timing depend on therapy type (e.g. CAR T-cell therapy vs BiTE), protocol (regulatory-approved vs. investigational), therapy nature (autologous vs. allogeneic), disease type and target expression, and institutional practice guidelines. Early multidisciplinary evaluation involving subspecialists and social work is critical to optimize candidacy and risk assessment which is guided by a complete physical examination, objective diagnostic data, performance status, and neurocognitive assessment. Figure 5.1 provides a visual overview of this timeline which highlight key stages from collection to infusion.","c-replace":["Ties","Till","Tiles","Oils","Tails","Tile","Tips","Tilt","TLS","Til","Tics","Tilts","Mils","Tills","Toils","Ails","TIS","Tins","Tits","TIL s"],"ab-name":"Spelling","a-name":"Possible Misspelling","g-rebookmarkname":"","i-wm":"TILs","d-description":"Possible spelling mistake found","f-bookmark":"BMSPELLING100051"},{"b-find":"lymphodepletion","e-paracontent":"Baseline screening is intended to verify patient eligibility across the immunotherapy timeline, typically before cellular collection (~2\u20134 weeks pre-lymphodepletion for CAR T-cells, TCR T-cells, TILs, or investigational therapies),&lt;mark&gt;lymphodepletion&lt;\/mark&gt; (~1 week pre-infusion), and/or infusion. Specific criteria and precise timing depend on therapy type (e.g. CAR T-cell therapy vs BiTE), protocol (regulatory-approved vs. investigational), therapy nature (autologous vs. allogeneic), disease type and target expression, and institutional practice guidelines. Early multidisciplinary evaluation involving subspecialists and social work is critical to optimize candidacy and risk assessment which is guided by a complete physical examination, objective diagnostic data, performance status, and neurocognitive assessment. Figure 5.1 provides a visual overview of this timeline which highlight key stages from collection to infusion.","c-replace":[],"ab-name":"Spelling","a-name":"Possible Misspelling","g-rebookmarkname":"","i-wm":"lymphodepletion","d-description":"Possible spelling mistake found","f-bookmark":"BMSPELLING100052"},{"b-find":"pre-infusion","e-paracontent":"Baseline screening is intended to verify patient eligibility across the immunotherapy timeline, typically before cellular collection (~2\u20134 weeks pre-lymphodepletion for CAR T-cells, TCR T-cells, TILs, or investigational therapies), lymphodepletion (~1 week&lt;mark&gt;pre-infusion&lt;\/mark&gt;), and/or infusion. Specific criteria and precise timing depend on therapy type (e.g. CAR T-cell therapy vs BiTE), protocol (regulatory-approved vs. investigational), therapy nature (autologous vs. allogeneic), disease type and target expression, and institutional practice guidelines. Early multidisciplinary evaluation involving subspecialists and social work is critical to optimize candidacy and risk assessment which is guided by a complete physical examination, objective diagnostic data, performance status, and neurocognitive assessment. Figure 5.1 provides a visual overview of this timeline which highlight key stages from collection to infusion.","c-replace":[],"ab-name":"Spelling","a-name":"Possible Misspelling","g-rebookmarkname":"","i-wm":"pre-infusion","d-description":"Possible spelling mistake found","f-bookmark":"BMSPELLING100053"},{"b-find":"subspecialists","e-paracontent":"Baseline screening is intended to verify patient eligibility across the immunotherapy timeline, typically before cellular collection (~2\u20134 weeks pre-lymphodepletion for CAR T-cells, TCR T-cells, TILs, or investigational therapies), lymphodepletion (~1 week pre-infusion), and/or infusion. Specific criteria and precise timing depend on therapy type (e.g. CAR T-cell therapy vs BiTE), protocol (regulatory-approved vs. investigational), therapy nature (autologous vs. allogeneic), disease type and target expression, and institutional practice guidelines. Early multidisciplinary evaluation involving&lt;mark&gt;subspecialists&lt;\/mark&gt; and social work is critical to optimize candidacy and risk assessment which is guided by a complete physical examination, objective diagnostic data, performance status, and neurocognitive assessment. Figure 5.1 provides a visual overview of this timeline which highlight key stages from collection to infusion.","c-replace":["sub specialists"],"ab-name":"Spelling","a-name":"Possible Misspelling","g-rebookmarkname":"","i-wm":"subspecialists","d-description":"Possible spelling mistake found","f-bookmark":"BMSPELLING100054"},{"b-find":"neurocognitive","e-paracontent":"Baseline screening is intended to verify patient eligibility across the immunotherapy timeline, typically before cellular collection (~2\u20134 weeks pre-lymphodepletion for CAR T-cells, TCR T-cells, TILs, or investigational therapies), lymphodepletion (~1 week pre-infusion), and/or infusion. Specific criteria and precise timing depend on therapy type (e.g. CAR T-cell therapy vs BiTE), protocol (regulatory-approved vs. investigational), therapy nature (autologous vs. allogeneic), disease type and target expression, and institutional practice guidelines. Early multidisciplinary evaluation involving subspecialists and social work is critical to optimize candidacy and risk assessment which is guided by a complete physical examination, objective diagnostic data, performance status, and&lt;mark&gt;neurocognitive&lt;\/mark&gt; assessment. Figure 5.1 provides a visual overview of this timeline which highlight key stages from collection to infusion.","c-replace":[],"ab-name":"Spelling","a-name":"Possible Misspelling","g-rebookmarkname":"","i-wm":"neurocognitive","d-description":"Possible spelling mistake found","f-bookmark":"BMSPELLING100055"},{"b-find":"Disease","e-paracontent":"&lt;mark&gt;Disease&lt;\/mark&gt; Confirmation and Staging: Perform histopathological disease confirmation and molecular profiling with respective staging studies per clinical protocol/disease type.","c-replace":["disease"],"ab-name":"Spelling","a-name":"Possible Misspelling","g-rebookmarkname":"","i-wm":"&lt;span style=\"padding-left:68px;\"&gt;&lt;\/span&gt;&lt;\/span&gt;&lt;b&gt;&lt;span style=\"font-family:Times New Roman; font-size:12pt\"&gt;Disease","d-description":"Possible spelling mistake found","f-bookmark":"BMSPELLING100059"},{"b-find":"Prior","e-paracontent":"&lt;mark&gt;Prior&lt;\/mark&gt;/Active Therapies: Confirm all disease-related treatments with exact regimen/dates, including preceding transplants, targeted therapies, gene-modified therapies, and respective complications (e.g., GvHD after allo-HCT).","c-replace":["prior"],"ab-name":"Spelling","a-name":"Possible Misspelling","g-rebookmarkname":"","i-wm":"&lt;span style=\"padding-left:68px;\"&gt;&lt;\/span&gt;&lt;\/span&gt;&lt;b&gt;&lt;span style=\"font-family:Times New Roman; font-size:12pt\"&gt;Prior","d-description":"Possible spelling mistake found","f-bookmark":"BMSPELLING100064"},{"b-find":"allo-HCT","e-paracontent":"Prior/Active Therapies: Confirm all disease-related treatments with exact regimen/dates, including preceding transplants, targeted therapies, gene-modified therapies, and respective complications (e.g., GvHD after&lt;mark&gt;allo-HCT&lt;\/mark&gt;).","c-replace":["allot"],"ab-name":"Spelling","a-name":"Possible Misspelling","g-rebookmarkname":"","i-wm":"allo-HCT","d-description":"Possible spelling mistake found","f-bookmark":"BMSPELLING100065"},{"b-find":"Comorbidities","e-paracontent":"&lt;mark&gt;Comorbidities&lt;\/mark&gt;: Confirm comprehensive medical history with particular focus on functional status, cardiovascular, pulmonary, infectious, autoimmune conditions, thrombotic/bleeding, and neurologic disorders. Comprehensively evaluate the presence of brain metastasis through brain MRI / LP with close coordination with Neurology to discuss eligibility given risk of accentuated neurotoxicity.","c-replace":[],"ab-name":"Spelling","a-name":"Possible Misspelling","g-rebookmarkname":"","i-wm":"&lt;span style=\"padding-left:68px;\"&gt;&lt;\/span&gt;&lt;\/span&gt;&lt;b&gt;&lt;span style=\"font-family:Times New Roman; font-size:12pt\"&gt;Comorbidities","d-description":"Possible spelling mistake found","f-bookmark":"BMSPELLING100068"},{"b-find":"Social","e-paracontent":"&lt;mark&gt;Social&lt;\/mark&gt; History: Confirm comprehensive social history, including living conditions, psychosocial fitness, caregiver support, prior occupational history risks, tobacco use, recreational substance use, alcohol use, travel history, immunization history (particularly for recent exposure to live vaccinations), and prior infections/hospitalizations.","c-replace":["social","asocial"],"ab-name":"Spelling","a-name":"Possible Misspelling","g-rebookmarkname":"","i-wm":"&lt;span style=\"padding-left:68px;\"&gt;&lt;\/span&gt;&lt;\/span&gt;&lt;b&gt;&lt;span style=\"font-family:Times New Roman; font-size:12pt\"&gt;Social","d-description":"Possible spelling mistake found","f-bookmark":"BMSPELLING100073"},{"b-find":"Baseline","e-paracontent":"&lt;mark&gt;Baseline&lt;\/mark&gt; Labs: Laboratory assessment should include complete blood count (CBC) with differential, complete metabolic panel (CMP), lactate dehydrogenase (LDH), uric acid, prothrombin time (PT) / partial prothrombin time (PTT), fibrinogen, C-reactive protein (CRP), ferritin, thyroid-stimulating hormone (TSH) with reflex, glucose-6-phosphate dehydrogenase (G6PD) activity (for potential use of dapsone/rasburicase), blood type and screen, pregnancy testing for women with beta-human chorionic gonadotropin (B-HCG), baseline triglycerides, and HLA typing (for allogeneic donors or TCR-based therapies).","c-replace":["baseline"],"ab-name":"Spelling","a-name":"Possible Misspelling","g-rebookmarkname":"","i-wm":"&lt;span style=\"padding-left:68px;\"&gt;&lt;\/span&gt;&lt;\/span&gt;&lt;b&gt;&lt;span style=\"font-family:Times New Roman; font-size:12pt\"&gt;Baseline","d-description":"Possible spelling mistake found","f-bookmark":"BMSPELLING100113"},{"b-find":"Infectious","e-paracontent":"&lt;mark&gt;Infectious&lt;\/mark&gt;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","c-replace":["infectious"],"ab-name":"Spelling","a-name":"Possible Misspelling","g-rebookmarkname":"","i-wm":"&lt;span style=\"padding-left:68px;\"&gt;&lt;\/span&gt;&lt;\/span&gt;&lt;b&gt;&lt;span style=\"font-family:Times New Roman; font-size:12pt\"&gt;Infectious","d-description":"Possible spelling mistake found","f-bookmark":"BMSPELLING100154"},{"b-find":"lymphodepletion","e-paracontent":"Infectious Disease Work Up: Comprehensive screening must be current prior to leukapheresis/surgical harvesting and within 4 weeks of&lt;mark&gt;lymphodepletion&lt;\/mark&gt;, confirming no active or uncontrolled infections. Infectious disease screening uses serology for HIV, hepatitis B/C (HBV/HCV), herpes simplex virus (HSV),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","c-replace":[],"ab-name":"Spelling","a-name":"Possible Misspelling","g-rebookmarkname":"","i-wm":"lymphodepletion","d-description":"Possible spelling mistake found","f-bookmark":"BMSPELLING100156"},{"b-find":"VZV","e-paracontent":"Infectious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&lt;mark&gt;VZV&lt;\/mark&gt;),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","c-replace":["VFV","VRV","VSV","VUV","YZV"],"ab-name":"Spelling","a-name":"Possible Misspelling","g-rebookmarkname":"","i-wm":"VZV","d-description":"Possible spelling mistake found","f-bookmark":"BMSPELLING100157"},{"b-find":"T-lymphotropic","e-paracontent":"Infectious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human&lt;mark&gt;T-lymphotropic&lt;\/mark&gt;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","c-replace":[],"ab-name":"Spelling","a-name":"Possible Misspelling","g-rebookmarkname":"","i-wm":"T-lymphotropic","d-description":"Possible spelling mistake found","f-bookmark":"BMSPELLING100158"},{"b-find":"WNV","e-paracontent":"Infectious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 West Nile virus &lt;mark&gt;WNV&lt;\/mark&gt;),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","c-replace":["WNW","ANV","BNV","CNV","GNV","NV","PNV","SNV","UNV","WNS","WNT","WRV","WV","W NV"],"ab-name":"Spelling","a-name":"Possible Misspelling","g-rebookmarkname":"","i-wm":"WNV","d-description":"Possible spelling mistake found","f-bookmark":"BMSPELLING100159"},{"b-find":"TILs","e-paracontent":"Infectious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receiving&lt;mark&gt;TILs&lt;\/mark&gt; may be indicated.  Respiratory viral panel to include for COVID testing should be empirically performed prior leukapheresis, lymphodepletion, and cellular infusion and certainly in symptomatic cases. Additionally, endemic ","c-replace":["Ties","Till","Tiles","Oils","Tails","Tile","Tips","Tilt","TLS","Til","Tics","Tilts","Mils","Tills","Toils","Ails","TIS","Tins","Tits","TIL s"],"ab-name":"Spelling","a-name":"Possible Misspelling","g-rebookmarkname":"","i-wm":"TILs","d-description":"Possible spelling mistake found","f-bookmark":"BMSPELLING100160"},{"b-find":"COVID","e-paracontent":"Infectious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for&lt;mark&gt;COVID&lt;\/mark&gt; testing should be empirically performed prior leukapheresis, lymphodepletion, and cellular infusion and certainly in symptomatic cases. Additionally, endemic ","c-replace":["Ovid","COV ID"],"ab-name":"Spelling","a-name":"Possible Misspelling","g-rebookmarkname":"","i-wm":"COVID","d-description":"Possible spelling mistake found","f-bookmark":"BMSPELLING100161"},{"b-find":"lymphodepletion","e-paracontent":"Infectious Disease Work Up: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leukapheresis,&lt;mark&gt;lymphodepletion&lt;\/mark&gt;, and cellular infusion and certainly in symptomatic cases. Additionally, endemic ","c-replace":[],"ab-name":"Spelling","a-name":"Possible Misspelling","g-rebookmarkname":"","i-wm":"lymphodepletion","d-description":"Possible spelling mistake found","f-bookmark":"BMSPELLING100162"},{"b-find":"Cardiovascular","e-paracontent":"&lt;mark&gt;Cardiovascular&lt;\/mark&gt;/Pulmonary Testing: Perform baseline electrocardiogram (EKG), multigated acquisition (MUGA) scan or echocardiogram (ECHO, preferred) for left ventricular ejection fraction (LVEF) assessment and structural abnormalities (e.g. pericardial effusions, wall motion, valvulopathies, etc), and pulmonary function tests (PFTs) with diffusing capacity (DLCO).","c-replace":["cardiovascular"],"ab-name":"Spelling","a-name":"Possible Misspelling","g-rebookmarkname":"","i-wm":"&lt;span style=\"padding-left:68px;\"&gt;&lt;\/span&gt;&lt;\/span&gt;&lt;b&gt;&lt;span style=\"font-family:Times New Roman; font-size:12pt\"&gt;Cardiovascular","d-description":"Possible spelling mistake found","f-bookmark":"BMSPELLING100185"},{"b-find":"multigated","e-paracontent":"Cardiovascular/Pulmonary Testing: Perform baseline electrocardiogram (EKG),&lt;mark&gt;multigated&lt;\/mark&gt; acquisition (MUGA) scan or echocardiogram (ECHO, preferred) for left ventricular ejection fraction (LVEF) assessment and structural abnormalities (e.g. pericardial effusions, wall motion, valvulopathies, etc), and pulmonary function tests (PFTs) with diffusing capacity (DLCO).","c-replace":["multi gated"],"ab-name":"Spelling","a-name":"Possible Misspelling","g-rebookmarkname":"","i-wm":"multigated","d-description":"Possible spelling mistake found","f-bookmark":"BMSPELLING100186"},{"b-find":"valvulopathies","e-paracontent":"Cardiovascular/Pulmonary Testing: Perform baseline electrocardiogram (EKG), multigated acquisition (MUGA) scan or echocardiogram (ECHO, preferred) for left ventricular ejection fraction (LVEF) assessment and structural abnormalities (e.g. pericardial effusions, wall motion,&lt;mark&gt;valvulopathies&lt;\/mark&gt;, etc), and pulmonary function tests (PFTs) with diffusing capacity (DLCO).","c-replace":[],"ab-name":"Spelling","a-name":"Possible Misspelling","g-rebookmarkname":"","i-wm":"valvulopathies","d-description":"Possible spelling mistake found","f-bookmark":"BMSPELLING100187"},{"b-find":"PFTs","e-paracontent":"Cardiovascular/Pulmonary Testing: Perform baseline electrocardiogram (EKG), multigated acquisition (MUGA) scan or echocardiogram (ECHO, preferred) for left ventricular ejection fraction (LVEF) assessment and structural abnormalities (e.g. pericardial effusions, wall motion, valvulopathies, etc), and pulmonary function tests &lt;mark&gt;PFTs&lt;\/mark&gt;) with diffusing capacity (DLCO).","c-replace":["Puts","Pets","Pits","Pots","Pats","PFS"],"ab-name":"Spelling","a-name":"Possible Misspelling","g-rebookmarkname":"","i-wm":"PFTs","d-description":"Possible spelling mistake found","f-bookmark":"BMSPELLING100188"},{"b-find":"DLCO","e-paracontent":"Cardiovascular/Pulmonary Testing: Perform baseline electrocardiogram (EKG), multigated acquisition (MUGA) scan or echocardiogram (ECHO, preferred) for left ventricular ejection fraction (LVEF) assessment and structural abnormalities (e.g. pericardial effusions, wall motion, valvulopathies, etc), and pulmonary function tests (PFTs) with diffusing capacity &lt;mark&gt;DLCO&lt;\/mark&gt;).","c-replace":["DCO","DFCO","DLC","DL CO","DLC O"],"ab-name":"Spelling","a-name":"Possible Misspelling","g-rebookmarkname":"","i-wm":"DLCO","d-description":"Possible spelling mistake found","f-bookmark":"BMSPELLING100189"},{"b-find":"Frailty","e-paracontent":"&lt;mark&gt;Frailty&lt;\/mark&gt; Assessment: Evaluate frailty with validated published indices to guide multidisciplinary optimization for high-risk patients (e.g., age &gt;70).","c-replace":["frailty"],"ab-name":"Spelling","a-name":"Possible Misspelling","g-rebookmarkname":"","i-wm":"&lt;span style=\"padding-left:68px;\"&gt;&lt;\/span&gt;&lt;\/span&gt;&lt;b&gt;&lt;span style=\"font-family:Times New Roman; font-size:12pt\"&gt;Frailty","d-description":"Possible spelling mistake found","f-bookmark":"BMSPELLING100192"},{"b-find":"Vary","e-paracontent":"&lt;mark&gt;Vary&lt;\/mark&gt; across protocols/institutional guidelines and type of cellular immunotherapy but include proximal allo-HCT (e.g. &lt;100 days), active GvHD, cellular persistence of previously received gene-modified CAR product (particularly when considering a new gene-modified cellular therapy), synchronous malignancies (often excluding cutaneous squamous cell carcinoma), active/untreated CNS disease (e.g. active malignancy, uncontrolled seizures), uncontrolled infection, active immunosuppression, etc. ","c-replace":["vary","ovary"],"ab-name":"Spelling","a-name":"Possible Misspelling","g-rebookmarkname":"","i-wm":"&lt;span style=\"padding-left:68px;\"&gt;&lt;\/span&gt;&lt;\/span&gt;&lt;span style=\"font-family:Times New Roman; font-size:12pt\"&gt;Vary","d-description":"Possible spelling mistake found","f-bookmark":"BMSPELLING100206"},{"b-find":"allo-HCT","e-paracontent":"Vary across protocols/institutional guidelines and type of cellular immunotherapy but include proximal&lt;mark&gt;allo-HCT&lt;\/mark&gt; (e.g. &lt;100 days), active GvHD, cellular persistence of previously received gene-modified CAR product (particularly when considering a new gene-modified cellular therapy), synchronous malignancies (often excluding cutaneous squamous cell carcinoma), active/untreated CNS disease (e.g. active malignancy, uncontrolled seizures), uncontrolled infection, active immunosuppression, etc. ","c-replace":["allot"],"ab-name":"Spelling","a-name":"Possible Misspelling","g-rebookmarkname":"","i-wm":"allo-HCT","d-description":"Possible spelling mistake found","f-bookmark":"BMSPELLING100207"},{"b-find":"ICANS","e-paracontent":"Active CNS involvement, historically a relative contraindication for cellular immunotherapies due to&lt;mark&gt;ICANS&lt;\/mark&gt; risk, now shows comparable efficacy/safety in real-world CAR T-cell data. High-risk patients (e.g., ALL, high grade lymphoma) should be screened with lumbar puncture (to include opening pressures) and MRI brain/spine with debulk via intrathecal/systemic chemotherapy prior to cellular infusion to mitigate neurotoxic risk. Multidisciplinary input from neuro-oncology and enhanced monitoring are critical in such circumstances.  Of note, patients being considered for TILs in the auspices of high dose IL-2 support may require multidisciplinary discussions as CNS metastasis precluded treatment eligibility in most published studies. ","c-replace":["Cans","Icons","Scans","ICA NS","ICANN"],"ab-name":"Spelling","a-name":"Possible Misspelling","g-rebookmarkname":"","i-wm":"ICANS","d-description":"Possible spelling mistake found","f-bookmark":"BMSPELLING100224"},{"b-find":"neuro-oncology","e-paracontent":"Active CNS involvement, historically a relative contraindication for cellular immunotherapies due to ICANS risk, now shows comparable efficacy/safety in real-world CAR T-cell data. High-risk patients (e.g., ALL, high grade lymphoma) should be screened with lumbar puncture (to include opening pressures) and MRI brain/spine with debulk via intrathecal/systemic chemotherapy prior to cellular infusion to mitigate neurotoxic risk. Multidisciplinary input from&lt;mark&gt;neuro-oncology&lt;\/mark&gt; and enhanced monitoring are critical in such circumstances.  Of note, patients being considered for TILs in the auspices of high dose IL-2 support may require multidisciplinary discussions as CNS metastasis precluded treatment eligibility in most published studies. ","c-replace":[],"ab-name":"Spelling","a-name":"Possible Misspelling","g-rebookmarkname":"","i-wm":"neuro-oncology","d-description":"Possible spelling mistake found","f-bookmark":"BMSPELLING100226"},{"b-find":"TILs","e-paracontent":"Active CNS involvement, historically a relative contraindication for cellular immunotherapies due to ICANS risk, now shows comparable efficacy/safety in real-world CAR T-cell data. High-risk patients (e.g., ALL, high grade lymphoma) should be screened with lumbar puncture (to include opening pressures) and MRI brain/spine with debulk via intrathecal/systemic chemotherapy prior to cellular infusion to mitigate neurotoxic risk. Multidisciplinary input from neuro-oncology and enhanced monitoring are critical in such circumstances.  Of note, patients being considered for&lt;mark&gt;TILs&lt;\/mark&gt; in the auspices of high dose IL-2 support may require multidisciplinary discussions as CNS metastasis precluded treatment eligibility in most published studies. ","c-replace":["Ties","Till","Tiles","Oils","Tails","Tile","Tips","Tilt","TLS","Til","Tics","Tilts","Mils","Tills","Toils","Ails","TIS","Tins","Tits","TIL s"],"ab-name":"Spelling","a-name":"Possible Misspelling","g-rebookmarkname":"","i-wm":"TILs","d-description":"Possible spelling mistake found","f-bookmark":"BMSPELLING100227"},{"b-find":"lymphodepletion","e-paracontent":"Eligibility criteria reflect the unique demands of each cellular immunotherapy incorporating molecular requisites, disease indication, intensity of&lt;mark&gt;lymphodepletion&lt;\/mark&gt;, and need for adjuvant potent cytokine support.  In the realm of regulatory approved products, real-world evidence supports cautious flexibility through multidisciplinary optimization.","c-replace":[],"ab-name":"Spelling","a-name":"Possible Misspelling","g-rebookmarkname":"","i-wm":"lymphodepletion","d-description":"Possible spelling mistake found","f-bookmark":"BMSPELLING100233"},{"b-find":"CAR","e-paracontent":"&lt;mark&gt;CAR&lt;\/mark&gt; T-Cell Eligibility: Eligibility for CAR T-cell therapies vary due to diverse cellular constructs and respective indications. Seminal registration trials for B cell malignancies required robust performance status (Eastern Cooperative Oncology Group [ECOG 0\u20131]), minimal comorbidities, and stable disease. However, real-world data demonstrate efficacy in \u201cfrail\u201d or transplant-ineligible patients, enabling broader post-approval flexibility. At-risk patients with borderline performance status, comorbidities, or cognitive limitations benefit from multidisciplinary frailty assessments, involving geriatrics, physical therapy, nutrition, and social work, to optimize therapeutic access. Bridging therapies (Chapter 7) may stabilize bulky/kinetically active disease to reduce toxicity, though trial-specific exclusions, such as active or uncontrolled infections, remain applicable.","c-replace":["car","scar"],"ab-name":"Spelling","a-name":"Possible Misspelling","g-rebookmarkname":"","i-wm":"&lt;span style=\"padding-left:68px;\"&gt;&lt;\/span&gt;&lt;\/span&gt;&lt;b&gt;&lt;span style=\"font-family:Times New Roman; font-size:12pt\"&gt;CAR","d-description":"Possible spelling mistake found","f-bookmark":"BMSPELLING100244"},{"b-find":"ECOG","e-paracontent":"CAR T-Cell Eligibility: Eligibility for CAR T-cell therapies vary due to diverse cellular constructs and respective indications. Seminal registration trials for B cell malignancies required robust performance status (Eastern Cooperative Oncology Group &lt;mark&gt;ECOG&lt;\/mark&gt; 0\u20131]), minimal comorbidities, and stable disease. However, real-world data demonstrate efficacy in \u201cfrail\u201d or transplant-ineligible patients, enabling broader post-approval flexibility. At-risk patients with borderline performance status, comorbidities, or cognitive limitations benefit from multidisciplinary frailty assessments, involving geriatrics, physical therapy, nutrition, and social work, to optimize therapeutic access. Bridging therapies (Chapter 7) may stabilize bulky/kinetically active disease to reduce toxicity, though trial-specific exclusions, such as active or uncontrolled infections, remain applicable.","c-replace":["ECG","Eco","Cog","Econ","COG","EOG","Ecol","E COG"],"ab-name":"Spelling","a-name":"Possible Misspelling","g-rebookmarkname":"","i-wm":"ECOG","d-description":"Possible spelling mistake found","f-bookmark":"BMSPELLING100245"},{"b-find":"TCR","e-paracontent":"&lt;mark&gt;TCR&lt;\/mark&gt; T-Cell Eligibility: TCR T-cell eligibility is predicated on HLA compatibility and relevant antigen expression, with investigational trials mandating adequate performance status, preserved organ function, and consideration of lymphodepletion intensity. Although real world data in regulatory-approved TCR therapies are limited, clinical protocols may cautiously include frail patients with multidisciplinary optimization, as comorbidities do not necessarily preclude efficacy. Comprehensive assessment ensures tolerance of lymphodepletion and infusion, with trial-specific HLA restrictions (e.g., HLA-A*02:01) being critical. Real-world flexibility is emerging but less established compared to CAR T-cells.","c-replace":["TCR"],"ab-name":"Spelling","a-name":"Possible Misspelling","g-rebookmarkname":"","i-wm":"&lt;span style=\"padding-left:68px;\"&gt;&lt;\/span&gt;&lt;\/span&gt;&lt;b&gt;&lt;span style=\"font-family:Times New Roman; font-size:12pt\"&gt;TCR","d-description":"Possible spelling mistake found","f-bookmark":"BMSPELLING100259"},{"b-find":"lymphodepletion","e-paracontent":"TCR T-Cell Eligibility: TCR T-cell eligibility is predicated on HLA compatibility and relevant antigen expression, with investigational trials mandating adequate performance status, preserved organ function, and consideration of&lt;mark&gt;lymphodepletion&lt;\/mark&gt; intensity. Although real world data in regulatory-approved TCR therapies are limited, clinical protocols may cautiously include frail patients with multidisciplinary optimization, as comorbidities do not necessarily preclude efficacy. Comprehensive assessment ensures tolerance of lymphodepletion and infusion, with trial-specific HLA restrictions (e.g., HLA-A*02:01) being critical. Real-world flexibility is emerging but less established compared to CAR T-cells.","c-replace":[],"ab-name":"Spelling","a-name":"Possible Misspelling","g-rebookmarkname":"","i-wm":"lymphodepletion","d-description":"Possible spelling mistake found","f-bookmark":"BMSPELLING100260"},{"b-find":"lymphodepletion","e-paracontent":"TCR T-Cell Eligibility: TCR T-cell eligibility is predicated on HLA compatibility and relevant antigen expression, with investigational trials mandating adequate performance status, preserved organ function, and consideration of lymphodepletion intensity. Although real world data in regulatory-approved TCR therapies are limited, clinical protocols may cautiously include frail patients with multidisciplinary optimization, as comorbidities do not necessarily preclude efficacy. Comprehensive assessment ensures tolerance of&lt;mark&gt;lymphodepletion&lt;\/mark&gt; and infusion, with trial-specific HLA restrictions (e.g., HLA-A*02:01) being critical. Real-world flexibility is emerging but less established compared to CAR T-cells.","c-replace":[],"ab-name":"Spelling","a-name":"Possible Misspelling","g-rebookmarkname":"","i-wm":"lymphodepletion","d-description":"Possible spelling mistake found","f-bookmark":"BMSPELLING100261"},{"b-find":"TIL","e-paracontent":"&lt;mark&gt;TIL&lt;\/mark&gt; Eligibility: TIL therapies impose exquisitely stringent eligibility criteria due to prolonged manufacturing timelines, intensive lymphodepletion, and adjuvant need for high-dose IL-2 administration. Investigational trials typically exclude frail patients lacking robust performance status, preserved organ function, or those with significant comorbidities (e.g. cardiac or pulmonary disease). Additionally, patients with brain metastasis are typically excluded from studies although should be discussed in a multidisciplinary setting. Regulatory-approved TIL therapies cautiously permit broader inclusion with multidisciplinary optimization. At-risk patients with borderline performance status or impaired organ function require frailty assessment to guide prehabilitation. Sufficient tumor burden is essential for successful harvesting, and strict trial-specific exclusions, such as active infections continue to apply.","c-replace":["til","ITIL"],"ab-name":"Spelling","a-name":"Possible Misspelling","g-rebookmarkname":"","i-wm":"&lt;span style=\"padding-left:68px;\"&gt;&lt;\/span&gt;&lt;\/span&gt;&lt;b&gt;&lt;span style=\"font-family:Times New Roman; font-size:12pt\"&gt;TIL","d-description":"Possible spelling mistake found","f-bookmark":"BMSPELLING100272"},{"b-find":"lymphodepletion","e-paracontent":"TIL Eligibility: TIL therapies impose exquisitely stringent eligibility criteria due to prolonged manufacturing timelines, intensive&lt;mark&gt;lymphodepletion&lt;\/mark&gt;, and adjuvant need for high-dose IL-2 administration. Investigational trials typically exclude frail patients lacking robust performance status, preserved organ function, or those with significant comorbidities (e.g. cardiac or pulmonary disease). Additionally, patients with brain metastasis are typically excluded from studies although should be discussed in a multidisciplinary setting. Regulatory-approved TIL therapies cautiously permit broader inclusion with multidisciplinary optimization. At-risk patients with borderline performance status or impaired organ function require frailty assessment to guide prehabilitation. Sufficient tumor burden is essential for successful harvesting, and strict trial-specific exclusions, such as active infections continue to apply.","c-replace":[],"ab-name":"Spelling","a-name":"Possible Misspelling","g-rebookmarkname":"","i-wm":"lymphodepletion","d-description":"Possible spelling mistake found","f-bookmark":"BMSPELLING100273"},{"b-find":"prehabilitation","e-paracontent":"TIL Eligibility: TIL therapies impose exquisitely stringent eligibility criteria due to prolonged manufacturing timelines, intensive lymphodepletion, and adjuvant need for high-dose IL-2 administration. Investigational trials typically exclude frail patients lacking robust performance status, preserved organ function, or those with significant comorbidities (e.g. cardiac or pulmonary disease). Additionally, patients with brain metastasis are typically excluded from studies although should be discussed in a multidisciplinary setting. Regulatory-approved TIL therapies cautiously permit broader inclusion with multidisciplinary optimization. At-risk patients with borderline performance status or impaired organ function require frailty assessment to guide&lt;mark&gt;prehabilitation&lt;\/mark&gt;. Sufficient tumor burden is essential for successful harvesting, and strict trial-specific exclusions, such as active infections continue to apply.","c-replace":["rehabilitation","p rehabilitation"],"ab-name":"Spelling","a-name":"Possible Misspelling","g-rebookmarkname":"","i-wm":"prehabilitation","d-description":"Possible spelling mistake found","f-bookmark":"BMSPELLING100274"},{"b-find":"BiTE","e-paracontent":"&lt;mark&gt;BiTE&lt;\/mark&gt; Eligibility: BiTE eligibility, driven by target antigen expression, is less restrictive, often accommodating patients with borderline performance status or impaired organ function. While investigational trials may exclude those with severe comorbidities, regulatory-approved BiTEs support frail patients through multidisciplinary optimization. Real-world flexibility enables use in high-burden diseases which leverages their off-the-shelf availability and potential role in \u201cbridging\u201d. ","c-replace":["bite"],"ab-name":"Spelling","a-name":"Possible Misspelling","g-rebookmarkname":"","i-wm":"&lt;span style=\"padding-left:68px;\"&gt;&lt;\/span&gt;&lt;\/span&gt;&lt;b&gt;&lt;span style=\"font-family:Times New Roman; font-size:12pt\"&gt;BiTE","d-description":"Possible spelling mistake found","f-bookmark":"BMSPELLING100281"},{"b-find":"BiTEs","e-paracontent":"BiTE Eligibility: BiTE eligibility, driven by target antigen expression, is less restrictive, often accommodating patients with borderline performance status or impaired organ function. While investigational trials may exclude those with severe comorbidities, regulatory-approved&lt;mark&gt;BiTEs&lt;\/mark&gt; support frail patients through multidisciplinary optimization. Real-world flexibility enables use in high-burden diseases which leverages their off-the-shelf availability and potential role in \u201cbridging\u201d. ","c-replace":["Bites","Sites","Bits","Bikes","Bite","Bytes","Cites","Rites","Bates","Kites","Mites","Biter","Bides","Biters","ITES","Bitts","Gites","BiT Es","BiTE s","Gîtes"],"ab-name":"Spelling","a-name":"Possible Misspelling","g-rebookmarkname":"","i-wm":"BiTEs","d-description":"Possible spelling mistake found","f-bookmark":"BMSPELLING100282"},{"b-find":"Investigational","e-paracontent":"&lt;mark&gt;Investigational&lt;\/mark&gt; Cell Therapies (NKs, CAR-M, Gamma-Delta T-Cells): Eligibility for investigational therapies is governed by trial-specific criteria, focusing on disease type, therapy modality, particular cellular construct, lymphodepletion intensity, and biological construct potency. Emerging data suggest potential inclusion of frail patients with optimization depending on above factors, though protocols prioritize antigen expression, infection control, and minimal comorbidities.","c-replace":["investigational"],"ab-name":"Spelling","a-name":"Possible Misspelling","g-rebookmarkname":"","i-wm":"&lt;span style=\"padding-left:68px;\"&gt;&lt;\/span&gt;&lt;\/span&gt;&lt;b&gt;&lt;span style=\"font-family:Times New Roman; font-size:12pt\"&gt;Investigational","d-description":"Possible spelling mistake found","f-bookmark":"BMSPELLING100291"},{"b-find":"NKs","e-paracontent":"Investigational Cell Therapies &lt;mark&gt;NKs&lt;\/mark&gt;, CAR-M, Gamma-Delta T-Cells): Eligibility for investigational therapies is governed by trial-specific criteria, focusing on disease type, therapy modality, particular cellular construct, lymphodepletion intensity, and biological construct potency. Emerging data suggest potential inclusion of frail patients with optimization depending on above factors, though protocols prioritize antigen expression, infection control, and minimal comorbidities.","c-replace":["NHS","Inks","NPS","NBS","NFS","NLS","BKS","Nus","OKs","Mks","AKS","CKS","KKS","KS","Ks","MKS","NAS","NCS","NDS","NGS","NK","NKM","NOS","NS","NSS","NUS","Nos","PKS","TKS","N Ks","NK s"],"ab-name":"Spelling","a-name":"Possible Misspelling","g-rebookmarkname":"","i-wm":"NKs","d-description":"Possible spelling mistake found","f-bookmark":"BMSPELLING100292"},{"b-find":"lymphodepletion","e-paracontent":"Investigational Cell Therapies (NKs, CAR-M, Gamma-Delta T-Cells): Eligibility for investigational therapies is governed by trial-specific criteria, focusing on disease type, therapy modality, particular cellular construct,&lt;mark&gt;lymphodepletion&lt;\/mark&gt; intensity, and biological construct potency. Emerging data suggest potential inclusion of frail patients with optimization depending on above factors, though protocols prioritize antigen expression, infection control, and minimal comorbidities.","c-replace":[],"ab-name":"Spelling","a-name":"Possible Misspelling","g-rebookmarkname":"","i-wm":"lymphodepletion","d-description":"Possible spelling mistake found","f-bookmark":"BMSPELLING100293"},{"b-find":"Antigen","e-paracontent":"&lt;mark&gt;Antigen&lt;\/mark&gt; Expression: Confirm target antigen via immunohistochemistry (IHC) or flow cytometry per protocol and particularly after targeted therapy exposure to detect antigen escape.","c-replace":["antigen"],"ab-name":"Spelling","a-name":"Possible Misspelling","g-rebookmarkname":"","i-wm":"&lt;span style=\"padding-left:68px;\"&gt;&lt;\/span&gt;&lt;\/span&gt;&lt;b&gt;&lt;span style=\"font-family:Times New Roman; font-size:12pt\"&gt;Antigen","d-description":"Possible spelling mistake found","f-bookmark":"BMSPELLING100301"},{"b-find":"IHC","e-paracontent":"Antigen Expression: Confirm target antigen via immunohistochemistry &lt;mark&gt;IHC&lt;\/mark&gt;) or flow cytometry per protocol and particularly after targeted therapy exposure to detect antigen escape.","c-replace":["IOC","IEC","IFC","IPC","ITC","MHC","THC","IAC","IDC","IH","IHS","IMC","LHC","HIC","ICC","AHC","BHC","CHC","DHC","FHC","GHC","IBC","ICH","IGC","IHP","IHT","IIC","ILC","INC","IRC","ISC","IWC","IXC","Inc","NHC","PHC","RHC","VHC","IH C","HC","UHC"],"ab-name":"Spelling","a-name":"Possible Misspelling","g-rebookmarkname":"","i-wm":"IHC","d-description":"Possible spelling mistake found","f-bookmark":"BMSPELLING100302"},{"b-find":"Human","e-paracontent":"&lt;mark&gt;Human&lt;\/mark&gt; Leukocyte Antigen (HLA) Typing: Required for HLA-restricted therapies (e.g., TCR T-cell therapies) to ensure compatibility.","c-replace":["human"],"ab-name":"Spelling","a-name":"Possible Misspelling","g-rebookmarkname":"","i-wm":"&lt;span style=\"padding-left:68px;\"&gt;&lt;\/span&gt;&lt;\/span&gt;&lt;b&gt;&lt;span style=\"font-family:Times New Roman; font-size:12pt\"&gt;Human","d-description":"Possible spelling mistake found","f-bookmark":"BMSPELLING100311"},{"b-find":"Tumor","e-paracontent":"&lt;mark&gt;Tumor&lt;\/mark&gt; Burden: For TILs, verify resectable tumor burden to ensure sufficient material as smaller lesions risk manufacturing failure.","c-replace":["tumor"],"ab-name":"Spelling","a-name":"Possible Misspelling","g-rebookmarkname":"","i-wm":"&lt;span style=\"padding-left:68px;\"&gt;&lt;\/span&gt;&lt;\/span&gt;&lt;b&gt;&lt;span style=\"font-family:Times New Roman; font-size:12pt\"&gt;Tumor","d-description":"Possible spelling mistake found","f-bookmark":"BMSPELLING100314"},{"b-find":"TILs","e-paracontent":"Tumor Burden: For&lt;mark&gt;TILs&lt;\/mark&gt;, verify resectable tumor burden to ensure sufficient material as smaller lesions risk manufacturing failure.","c-replace":["Ties","Till","Tiles","Oils","Tails","Tile","Tips","Tilt","TLS","Til","Tics","Tilts","Mils","Tills","Toils","Ails","TIS","Tins","Tits","TIL s"],"ab-name":"Spelling","a-name":"Possible Misspelling","g-rebookmarkname":"","i-wm":"TILs","d-description":"Possible spelling mistake found","f-bookmark":"BMSPELLING100315"},{"b-find":"resectable","e-paracontent":"Tumor Burden: For TILs, verify&lt;mark&gt;resectable&lt;\/mark&gt; tumor burden to ensure sufficient material as smaller lesions risk manufacturing failure.","c-replace":["respectable"],"ab-name":"Spelling","a-name":"Possible Misspelling","g-rebookmarkname":"","i-wm":"resectable","d-description":"Possible spelling mistake found","f-bookmark":"BMSPELLING100316"},{"b-find":"BiTEs","e-paracontent":"Cellular immunotherapy selection varies based on composite of factors including patient fitness, logistics, disease type, disease kinetics, availability of regulatory approved products, type of cell therapy, and consideration of available outcome data with salvage sequencing strategies to optimize outcomes where applicable (e.g., myeloma and lymphoma \u2013 where both&lt;mark&gt;BiTEs&lt;\/mark&gt; and CAR T-cell therapies are approved) (Table 5.2). The following general principles should be considered in totality when adjudicating appropriateness:","c-replace":["Bites","Sites","Bits","Bikes","Bite","Bytes","Cites","Rites","Bates","Kites","Mites","Biter","Bides","Biters","ITES","Bitts","Gites","BiT Es","BiTE s","Gîtes"],"ab-name":"Spelling","a-name":"Possible Misspelling","g-rebookmarkname":"","i-wm":"BiTEs","d-description":"Possible spelling mistake found","f-bookmark":"BMSPELLING100324"},{"b-find":"Patient","e-paracontent":"&lt;mark&gt;Patient&lt;\/mark&gt; Fitness and Comorbidities: Therapeutic considerations should incorporate patient fitness and functional capacity. For frail individuals (age over 70, ECOG &gt;2, sarcopenia, or cognitive challenges) BiTEs may be preferable due to their generally milder toxicity profile compared to CAR T cells. Among CAR T options, 4-1BB constructs could be favored over CD28 constructs for their potentially reduced CRS risk and linked to more controlled cell expansion. Opt for less intensive lymphodepletion regimens when possible, and leverage multidisciplinary frailty assessments to enhance pre-treatment optimization, ensuring at-risk patients receive suipportive care.","c-replace":["patient"],"ab-name":"Spelling","a-name":"Possible Misspelling","g-rebookmarkname":"","i-wm":"&lt;span style=\"padding-left:68px;\"&gt;&lt;\/span&gt;&lt;\/span&gt;&lt;b&gt;&lt;span style=\"font-family:Times New Roman; font-size:12pt\"&gt;Patient","d-description":"Possible spelling mistake found","f-bookmark":"BMSPELLING100339"},{"b-find":"ECOG","e-paracontent":"Patient Fitness and Comorbidities: Therapeutic considerations should incorporate patient fitness and functional capacity. For frail individuals (age over 70,&lt;mark&gt;ECOG&lt;\/mark&gt; &gt;2, sarcopenia, or cognitive challenges) BiTEs may be preferable due to their generally milder toxicity profile compared to CAR T cells. Among CAR T options, 4-1BB constructs could be favored over CD28 constructs for their potentially reduced CRS risk and linked to more controlled cell expansion. Opt for less intensive lymphodepletion regimens when possible, and leverage multidisciplinary frailty assessments to enhance pre-treatment optimization, ensuring at-risk patients receive suipportive care.","c-replace":["ECG","Eco","Cog","Econ","COG","EOG","Ecol","E COG"],"ab-name":"Spelling","a-name":"Possible Misspelling","g-rebookmarkname":"","i-wm":"ECOG","d-description":"Possible spelling mistake found","f-bookmark":"BMSPELLING100340"},{"b-find":"sarcopenia","e-paracontent":"Patient Fitness and Comorbidities: Therapeutic considerations should incorporate patient fitness and functional capacity. For frail individuals (age over 70, ECOG &gt;2,&lt;mark&gt;sarcopenia&lt;\/mark&gt;, or cognitive challenges) BiTEs may be preferable due to their generally milder toxicity profile compared to CAR T cells. Among CAR T options, 4-1BB constructs could be favored over CD28 constructs for their potentially reduced CRS risk and linked to more controlled cell expansion. Opt for less intensive lymphodepletion regimens when possible, and leverage multidisciplinary frailty assessments to enhance pre-treatment optimization, ensuring at-risk patients receive suipportive care.","c-replace":[],"ab-name":"Spelling","a-name":"Possible Misspelling","g-rebookmarkname":"","i-wm":"sarcopenia","d-description":"Possible spelling mistake found","f-bookmark":"BMSPELLING100341"},{"b-find":"BiTEs","e-paracontent":"Patient Fitness and Comorbidities: Therapeutic considerations should incorporate patient fitness and functional capacity. For frail individuals (age over 70, ECOG &gt;2, sarcopenia, or cognitive challenges)&lt;mark&gt;BiTEs&lt;\/mark&gt; may be preferable due to their generally milder toxicity profile compared to CAR T cells. Among CAR T options, 4-1BB constructs could be favored over CD28 constructs for their potentially reduced CRS risk and linked to more controlled cell expansion. Opt for less intensive lymphodepletion regimens when possible, and leverage multidisciplinary frailty assessments to enhance pre-treatment optimization, ensuring at-risk patients receive suipportive care.","c-replace":["Bites","Sites","Bits","Bikes","Bite","Bytes","Cites","Rites","Bates","Kites","Mites","Biter","Bides","Biters","ITES","Bitts","Gites","BiT Es","BiTE s","Gîtes"],"ab-name":"Spelling","a-name":"Possible Misspelling","g-rebookmarkname":"","i-wm":"BiTEs","d-description":"Possible spelling mistake found","f-bookmark":"BMSPELLING100342"},{"b-find":"lymphodepletion","e-paracontent":"Patient Fitness and Comorbidities: Therapeutic considerations should incorporate patient fitness and functional capacity. For frail individuals (age over 70, ECOG &gt;2, sarcopenia, or cognitive challenges) BiTEs may be preferable due to their generally milder toxicity profile compared to CAR T cells. Among CAR T options, 4-1BB constructs could be favored over CD28 constructs for their potentially reduced CRS risk and linked to more controlled cell expansion. Opt for less intensive&lt;mark&gt;lymphodepletion&lt;\/mark&gt; regimens when possible, and leverage multidisciplinary frailty assessments to enhance pre-treatment optimization, ensuring at-risk patients receive suipportive care.","c-replace":[],"ab-name":"Spelling","a-name":"Possible Misspelling","g-rebookmarkname":"","i-wm":"lymphodepletion","d-description":"Possible spelling mistake found","f-bookmark":"BMSPELLING100343"},{"b-find":"pre-treatment","e-paracontent":"Patient Fitness and Comorbidities: Therapeutic considerations should incorporate patient fitness and functional capacity. For frail individuals (age over 70, ECOG &gt;2, sarcopenia, or cognitive challenges) BiTEs may be preferable due to their generally milder toxicity profile compared to CAR T cells. Among CAR T options, 4-1BB constructs could be favored over CD28 constructs for their potentially reduced CRS risk and linked to more controlled cell expansion. Opt for less intensive lymphodepletion regimens when possible, and leverage multidisciplinary frailty assessments to enhance&lt;mark&gt;pre-treatment&lt;\/mark&gt; optimization, ensuring at-risk patients receive suipportive care.","c-replace":[],"ab-name":"Spelling","a-name":"Possible Misspelling","g-rebookmarkname":"","i-wm":"pre-treatment","d-description":"Possible spelling mistake found","f-bookmark":"BMSPELLING100344"},{"b-find":"suipportive","e-paracontent":"Patient Fitness and Comorbidities: Therapeutic considerations should incorporate patient fitness and functional capacity. For frail individuals (age over 70, ECOG &gt;2, sarcopenia, or cognitive challenges) BiTEs may be preferable due to their generally milder toxicity profile compared to CAR T cells. Among CAR T options, 4-1BB constructs could be favored over CD28 constructs for their potentially reduced CRS risk and linked to more controlled cell expansion. Opt for less intensive lymphodepletion regimens when possible, and leverage multidisciplinary frailty assessments to enhance pre-treatment optimization, ensuring at-risk patients receive&lt;mark&gt;suipportive&lt;\/mark&gt; care.","c-replace":["supportive"],"ab-name":"Spelling","a-name":"Possible Misspelling","g-rebookmarkname":"","i-wm":"suipportive","d-description":"Possible spelling mistake found","f-bookmark":"BMSPELLING100345"},{"b-find":"Disease","e-paracontent":"&lt;mark&gt;Disease&lt;\/mark&gt; Urgency: Promptly addressing rapid disease progression or significant tumor burden is essential. When manufacturing timelines are a limiting factor, \"off-the-shelf\" therapies such as BiTEs or allogeneic cell products may be optimal, particularly when supported by clinical outcome data. For autologous CAR T-cell treatments, consider constructs with accelerated expansion rates (e.g., CD28-based) if they align with treatment schedules, and incorporate robust bridging strategies \u2014referenced in relevant literature\u2014to maintain disease stability and reduce potential toxicities. In cases where bridging options are restricted, prioritizing BiTEs or allogeneic modalities can help ensure timely therapeutic intervention.","c-replace":["disease"],"ab-name":"Spelling","a-name":"Possible Misspelling","g-rebookmarkname":"","i-wm":"&lt;span style=\"padding-left:68px;\"&gt;&lt;\/span&gt;&lt;\/span&gt;&lt;b&gt;&lt;span style=\"font-family:Times New Roman; font-size:12pt\"&gt;Disease","d-description":"Possible spelling mistake found","f-bookmark":"BMSPELLING100354"},{"b-find":"BiTEs","e-paracontent":"Disease Urgency: Promptly addressing rapid disease progression or significant tumor burden is essential. When manufacturing timelines are a limiting factor, \"off-the-shelf\" therapies such as&lt;mark&gt;BiTEs&lt;\/mark&gt; or allogeneic cell products may be optimal, particularly when supported by clinical outcome data. For autologous CAR T-cell treatments, consider constructs with accelerated expansion rates (e.g., CD28-based) if they align with treatment schedules, and incorporate robust bridging strategies \u2014referenced in relevant literature\u2014to maintain disease stability and reduce potential toxicities. In cases where bridging options are restricted, prioritizing BiTEs or allogeneic modalities can help ensure timely therapeutic intervention.","c-replace":["Bites","Sites","Bits","Bikes","Bite","Bytes","Cites","Rites","Bates","Kites","Mites","Biter","Bides","Biters","ITES","Bitts","Gites","BiT Es","BiTE s","Gîtes"],"ab-name":"Spelling","a-name":"Possible Misspelling","g-rebookmarkname":"","i-wm":"BiTEs","d-description":"Possible spelling mistake found","f-bookmark":"BMSPELLING100355"},{"b-find":"BiTEs","e-paracontent":"Disease Urgency: Promptly addressing rapid disease progression or significant tumor burden is essential. When manufacturing timelines are a limiting factor, \"off-the-shelf\" therapies such as BiTEs or allogeneic cell products may be optimal, particularly when supported by clinical outcome data. For autologous CAR T-cell treatments, consider constructs with accelerated expansion rates (e.g., CD28-based) if they align with treatment schedules, and incorporate robust bridging strategies \u2014referenced in relevant literature\u2014to maintain disease stability and reduce potential toxicities. In cases where bridging options are restricted, prioritizing&lt;mark&gt;BiTEs&lt;\/mark&gt; or allogeneic modalities can help ensure timely therapeutic intervention.","c-replace":["Bites","Sites","Bits","Bikes","Bite","Bytes","Cites","Rites","Bates","Kites","Mites","Biter","Bides","Biters","ITES","Bitts","Gites","BiT Es","BiTE s","Gîtes"],"ab-name":"Spelling","a-name":"Possible Misspelling","g-rebookmarkname":"","i-wm":"BiTEs","d-description":"Possible spelling mistake found","f-bookmark":"BMSPELLING100356"},{"b-find":"Logistics","e-paracontent":"&lt;mark&gt;Logistics&lt;\/mark&gt;: Setting of administration, caregiver support requirements, and access to cell therapy center additionally determines appropriateness of therapy.","c-replace":["logistics"],"ab-name":"Spelling","a-name":"Possible Misspelling","g-rebookmarkname":"","i-wm":"&lt;span style=\"padding-left:68px;\"&gt;&lt;\/span&gt;&lt;\/span&gt;&lt;b&gt;&lt;span style=\"font-family:Times New Roman; font-size:12pt\"&gt;Logistics","d-description":"Possible spelling mistake found","f-bookmark":"BMSPELLING100358"},{"b-find":"Hematotoxicity","e-paracontent":"CAR\u2011HEMATOTOX (Chimeric Antigen Receptor&lt;mark&gt;Hematotoxicity&lt;\/mark&gt; Score): Uses hematologic markers (ANC, platelets, hemoglobin) and inflammatory markers (CRP,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validation.","c-replace":[],"ab-name":"Spelling","a-name":"Possible Misspelling","g-rebookmarkname":"","i-wm":"Hematotoxicity","d-description":"Possible spelling mistake found","f-bookmark":"BMSPELLING100386"},{"b-find":"ICANS","e-paracontent":"CAR\u2011HEMATOTOX (Chimeric Antigen Receptor Hematotoxicity Score): Uses hematologic markers (ANC, platelets, hemoglobin) and inflammatory markers (CRP, ferritin) to predict severe or prolonged cytopenias, higher\u2011grade CRS&lt;mark&gt;ICANS&lt;\/mark&gt;,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validation.","c-replace":["Cans","Icons","Scans","ICA NS","ICANN"],"ab-name":"Spelling","a-name":"Possible Misspelling","g-rebookmarkname":"","i-wm":"ICANS","d-description":"Possible spelling mistake found","f-bookmark":"BMSPELLING100388"},{"b-find":"DLBCL","e-paracontent":"CAR\u2011HEMATOTOX (Chimeric Antigen Receptor Hematotoxicity Score): Uses hematologic markers (ANC, platelets, hemoglobin) and inflammatory markers (CRP, ferritin) to predict severe or prolonged cytopenias, higher\u2011grade CRS/ICANS, and survival in CD19 CAR T\u2011cell therapy for&lt;mark&gt;DLBCL&lt;\/mark&gt;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validation.","c-replace":["DL BCL"],"ab-name":"Spelling","a-name":"Possible Misspelling","g-rebookmarkname":"","i-wm":"DLBCL","d-description":"Possible spelling mistake found","f-bookmark":"BMSPELLING100390"},{"b-find":"LBCL","e-paracontent":"CAR\u2011HEMATOTOX (Chimeric Antigen Receptor Hematotoxicity Score): Uses hematologic markers (ANC, platelets, hemoglobin) and inflammatory markers (CRP,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in&lt;mark&gt;LBCL&lt;\/mark&gt;, with a simplified version reducing laboratory burden, and an \u201cALL\u2011HEMATOTOX\u201d variant showing high predictive accuracy for cytopenias in B\u2011ALL. Application in BCMA CAR T for myeloma is promising but remains investigational; extrapolation to TCR T\u2011cells or TILs awaits validation.","c-replace":["LBC","LCL","BCL","LBL","L BCL","LB CL","LBC L"],"ab-name":"Spelling","a-name":"Possible Misspelling","g-rebookmarkname":"","i-wm":"LBCL","d-description":"Possible spelling mistake found","f-bookmark":"BMSPELLING100392"},{"b-find":"BCMA","e-paracontent":"CAR\u2011HEMATOTOX (Chimeric Antigen Receptor Hematotoxicity Score): Uses hematologic markers (ANC, platelets, hemoglobin) and inflammatory markers (CRP,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in&lt;mark&gt;BCMA&lt;\/mark&gt; CAR T for myeloma is promising but remains investigational; extrapolation to TCR T\u2011cells or TILs awaits validation.","c-replace":["CMA","BMA","ACMA","BCA","BCAM","BCM","CCMA","B CMA","BC MA","BCM A"],"ab-name":"Spelling","a-name":"Possible Misspelling","g-rebookmarkname":"","i-wm":"BCMA","d-description":"Possible spelling mistake found","f-bookmark":"BMSPELLING100394"},{"b-find":"TILs","e-paracontent":"CAR\u2011HEMATOTOX (Chimeric Antigen Receptor Hematotoxicity Score): Uses hematologic markers (ANC, platelets, hemoglobin) and inflammatory markers (CRP, ferritin) to predict severe or prolonged cytopenias, higher\u2011grade CRS/ICANS, and survival in CD19 CAR T\u2011cell therapy for DLBCL and multiple myeloma. High\u2011risk patients (score ≥3) require intensified monitoring and toxicity management. A 2025 prospective study validated its survival prediction in LBCL, with a simplified version reducing laboratory burden, and an \u201cALL\u2011HEMATOTOX\u201d variant showing high predictive accuracy for cytopenias in B\u2011ALL. Application in BCMA CAR T for myeloma is promising but remains investigational; extrapolation to TCR T\u2011cells or&lt;mark&gt;TILs&lt;\/mark&gt; awaits validation.","c-replace":["Ties","Till","Tiles","Oils","Tails","Tile","Tips","Tilt","TLS","Til","Tics","Tilts","Mils","Tills","Toils","Ails","TIS","Tins","Tits","TIL s"],"ab-name":"Spelling","a-name":"Possible Misspelling","g-rebookmarkname":"","i-wm":"TILs","d-description":"Possible spelling mistake found","f-bookmark":"BMSPELLING100396"},{"b-find":"DLBCL","e-paracontent":"HCT\u2011CI (Hematopoietic Cell Transplantation\u2013Comorbidity Index): Evaluates comorbidities (e.g., cardiac, pulmonary, hepatic disease, diabetes, prior malignancy; scored 0\u20133+) to predict non\u2011relapse mortality (NRM) and overall survival in allo\u2011HSCT and has been applied to CAR T for&lt;mark&gt;DLBCL&lt;\/mark&gt;, ALL, and MM. High scores (≥3) increase NRM risk (HR 1.5\u20132.0) and prompt organ\u2011specific optimization (e.g., cardiology consult for LVEF &lt;50%). Real\u2011world 2025 data show limited predictive value for NRM in LBCL CAR T but confirm clinical utility in elderly MM patients.","c-replace":["DL BCL"],"ab-name":"Spelling","a-name":"Possible Misspelling","g-rebookmarkname":"","i-wm":"DLBCL","d-description":"Possible spelling mistake found","f-bookmark":"BMSPELLING100424"},{"b-find":"LBCL","e-paracontent":"HCT\u2011CI (Hematopoietic Cell Transplantation\u2013Comorbidity Index): Evaluates comorbidities (e.g., cardiac, pulmonary, hepatic disease, diabetes, prior malignancy; scored 0\u20133+) to predict non\u2011relapse mortality (NRM) and overall survival in allo\u2011HSCT and has been applied to CAR T for DLBCL, ALL, and MM. High scores (≥3) increase NRM risk (HR 1.5\u20132.0) and prompt organ\u2011specific optimization (e.g., cardiology consult for LVEF &lt;50%). Real\u2011world 2025 data show limited predictive value for NRM in&lt;mark&gt;LBCL&lt;\/mark&gt; CAR T but confirm clinical utility in elderly MM patients.","c-replace":["LBC","LCL","BCL","LBL","L BCL","LB CL","LBC L"],"ab-name":"Spelling","a-name":"Possible Misspelling","g-rebookmarkname":"","i-wm":"LBCL","d-description":"Possible spelling mistake found","f-bookmark":"BMSPELLING100427"},{"b-find":"DLBCL","e-paracontent":"CIRS\u2011G (Cumulative Illness Rating Scale\u2013Geriatric): Quantifies frailty across 18 organ systems (e.g., respiratory, renal, hepatic) and has been studied in CAR T for&lt;mark&gt;DLBCL&lt;\/mark&gt; and MM. Frail patients (score &gt;8) face reduced overall survival (HR ~1.8) and higher grade ≥3 CRS rates (20\u201330%), supporting early geriatric referral and prehabilitation. A 2025 study confirmed its role in elderly r/r LBCL (CIRS ≥10: significantly worse OS), underscoring utility for geriatric optimization. Use in TIL or BiTE therapy is under investigation.","c-replace":["DL BCL"],"ab-name":"Spelling","a-name":"Possible Misspelling","g-rebookmarkname":"","i-wm":"DLBCL","d-description":"Possible spelling mistake found","f-bookmark":"BMSPELLING100450"},{"b-find":"prehabilitation","e-paracontent":"CIRS\u2011G (Cumulative Illness Rating Scale\u2013Geriatric): Quantifies frailty across 18 organ systems (e.g., respiratory, renal, hepatic) and has been studied in CAR T for DLBCL and MM. Frail patients (score &gt;8) face reduced overall survival (HR ~1.8) and higher grade ≥3 CRS rates (20\u201330%), supporting early geriatric referral and&lt;mark&gt;prehabilitation&lt;\/mark&gt;. A 2025 study confirmed its role in elderly r/r LBCL (CIRS ≥10: significantly worse OS), underscoring utility for geriatric optimization. Use in TIL or BiTE therapy is under investigation.","c-replace":["rehabilitation","p rehabilitation"],"ab-name":"Spelling","a-name":"Possible Misspelling","g-rebookmarkname":"","i-wm":"prehabilitation","d-description":"Possible spelling mistake found","f-bookmark":"BMSPELLING100451"},{"b-find":"LBCL","e-paracontent":"CIRS\u2011G (Cumulative Illness Rating Scale\u2013Geriatric): Quantifies frailty across 18 organ systems (e.g., respiratory, renal, hepatic) and has been studied in CAR T for DLBCL and MM. Frail patients (score &gt;8) face reduced overall survival (HR ~1.8) and higher grade ≥3 CRS rates (20\u201330%), supporting early geriatric referral and prehabilitation. A 2025 study confirmed its role in elderly r/r&lt;mark&gt;LBCL&lt;\/mark&gt; (CIRS ≥10: significantly worse OS), underscoring utility for geriatric optimization. Use in TIL or BiTE therapy is under investigation.","c-replace":["LBC","LCL","BCL","LBL","L BCL","LB CL","LBC L"],"ab-name":"Spelling","a-name":"Possible Misspelling","g-rebookmarkname":"","i-wm":"LBCL","d-description":"Possible spelling mistake found","f-bookmark":"BMSPELLING100452"},{"b-find":"CIRS","e-paracontent":"CIRS\u2011G (Cumulative Illness Rating Scale\u2013Geriatric): Quantifies frailty across 18 organ systems (e.g., respiratory, renal, hepatic) and has been studied in CAR T for DLBCL and MM. Frail patients (score &gt;8) face reduced overall survival (HR ~1.8) and higher grade ≥3 CRS rates (20\u201330%), supporting early geriatric referral and prehabilitation. A 2025 study confirmed its role in elderly r/r LBCL &lt;mark&gt;CIRS&lt;\/mark&gt; ≥10: significantly worse OS), underscoring utility for geriatric optimization. Use in TIL or BiTE therapy is under investigation.","c-replace":["Cars","Airs","IRS","CNRS","Firs","Sirs","Curs","CHRS","CICS","CIR","CIRB","CIRC","CIRES","CIUS","CRS","JIRS","Cir","C IRS","CI RS","CIR S","CIOs","CIS","Ciré"],"ab-name":"Spelling","a-name":"Possible Misspelling","g-rebookmarkname":"","i-wm":"CIRS","d-description":"Possible spelling mistake found","f-bookmark":"BMSPELLING100453"},{"b-find":"EASIX","e-paracontent":"&lt;mark&gt;EASIX&lt;\/mark&gt; (Endothelial Activation and Stress Index): A simple formula (LDH × creatinine ÷ platelets) initially developed for allo\u2011HSCT, used to predict endothelial dysfunction, cytopenias, NRM, and infections. In CAR T, high scores (&gt;2) correlate with increased NRM (HR ~1.9) and ICU admission risk. Validated in 2025 for DLBCL and MM CAR T, with ongoing studies testing applicability in TCR T\u2011cells and bispecific T\u2011cell engagers; simplicity makes it attractive in resource\u2011limited settings.","c-replace":["season","east","six","East","basis","least","reason","basic","easily","easy","Asia","basin","ceased","easier","cease","ease","feast","lease","leased","remix","seas","BASIC","Essex","Felix","beast","quasi","resin","seaside","yeast","Basil","Persia","beasts","ceases","eased","feasts","helix","leases","leasing","oasis","peas","Elsie","Jessie","Pepsi","Wessex","ceasing","cervix","easing","leash","sepsis","stasis","teas","tease","teased","teaser","teasing","weasel","Basie","Beatrix","Bendix","Bessie","basil","easel","eases","teases","yeasts","Casio","Easts","Jeanie","beanie","pepsin","Tessie","bedsit","measly","seasick","Essie","teasel","yeas","yeasty","leas","leaser","meanie","resit","spadix","ASIN","ASX","CESI","CESIF","CIASI","CRASIC","EAI","EAS","EAX","ENSI","ENSIB","ENSIC","ENSIL","ENSIM","EPSI","ESI","ESIB","IASI","Lessie","OASIS","RESIF","SEAS","Seaside","Vlasic","ASIC","Asif","Kasia","Messi"],"ab-name":"Spelling","a-name":"Possible Misspelling","g-rebookmarkname":"","i-wm":"&lt;span style=\"padding-left:68px;\"&gt;&lt;\/span&gt;&lt;\/span&gt;&lt;b&gt;&lt;span style=\"font-family:Times New Roman; font-size:12pt\"&gt;EASIX","d-description":"Possible spelling mistake found","f-bookmark":"BMSPELLING100470"},{"b-find":"DLBCL","e-paracontent":"EASIX (Endothelial Activation and Stress Index): A simple formula (LDH × creatinine ÷ platelets) initially developed for allo\u2011HSCT, used to predict endothelial dysfunction, cytopenias, NRM, and infections. In CAR T, high scores (&gt;2) correlate with increased NRM (HR ~1.9) and ICU admission risk. Validated in 2025 for&lt;mark&gt;DLBCL&lt;\/mark&gt; and MM CAR T, with ongoing studies testing applicability in TCR T\u2011cells and bispecific T\u2011cell engagers; simplicity makes it attractive in resource\u2011limited settings.","c-replace":["DL BCL"],"ab-name":"Spelling","a-name":"Possible Misspelling","g-rebookmarkname":"","i-wm":"DLBCL","d-description":"Possible spelling mistake found","f-bookmark":"BMSPELLING100472"},{"b-find":"engagers","e-paracontent":"EASIX (Endothelial Activation and Stress Index): A simple formula (LDH × creatinine ÷ platelets) initially developed for allo\u2011HSCT, used to predict endothelial dysfunction, cytopenias, NRM, and infections. In CAR T, high scores (&gt;2) correlate with increased NRM (HR ~1.9) and ICU admission risk. Validated in 2025 for DLBCL and MM CAR T, with ongoing studies testing applicability in TCR T\u2011cells and bispecific T\u2011cell&lt;mark&gt;engagers&lt;\/mark&gt;; simplicity makes it attractive in resource\u2011limited settings.","c-replace":["engages","engage rs"],"ab-name":"Spelling","a-name":"Possible Misspelling","g-rebookmarkname":"","i-wm":"engagers","d-description":"Possible spelling mistake found","f-bookmark":"BMSPELLING100475"},{"b-find":"IMWG","e-paracontent":"&lt;mark&gt;IMWG&lt;\/mark&gt; Frailty Index (International Myeloma Working Group Frailty Score): A practical scoring system using age, performance status (ECOG/ADL), and Charlson Comorbidity Index (CCI). Frailty is defined as ≥2 points. Widely used in myeloma, it predicts PFS, OS, and toxicity risk. In BCMA CAR T and bispecific antibody trials, frail patients show comparable CRS/ICANS rates but higher NRM and inferior OS (HR 1.5\u20132.2), supporting tailored optimization and prehabilitation strategies.","c-replace":["IMG","IMAG"],"ab-name":"Spelling","a-name":"Possible Misspelling","g-rebookmarkname":"","i-wm":"&lt;span style=\"padding-left:68px;\"&gt;&lt;\/span&gt;&lt;\/span&gt;&lt;b&gt;&lt;span style=\"font-family:Times New Roman; font-size:12pt\"&gt;IMWG","d-description":"Possible spelling mistake found","f-bookmark":"BMSPELLING100498"},{"b-find":"ECOG","e-paracontent":"IMWG Frailty Index (International Myeloma Working Group Frailty Score): A practical scoring system using age, performance status &lt;mark&gt;ECOG&lt;\/mark&gt;/ADL), and Charlson Comorbidity Index (CCI). Frailty is defined as ≥2 points. Widely used in myeloma, it predicts PFS, OS, and toxicity risk. In BCMA CAR T and bispecific antibody trials, frail patients show comparable CRS/ICANS rates but higher NRM and inferior OS (HR 1.5\u20132.2), supporting tailored optimization and prehabilitation strategies.","c-replace":["ECG","Eco","Cog","Econ","COG","EOG","Ecol","E COG"],"ab-name":"Spelling","a-name":"Possible Misspelling","g-rebookmarkname":"","i-wm":"ECOG","d-description":"Possible spelling mistake found","f-bookmark":"BMSPELLING100499"},{"b-find":"BCMA","e-paracontent":"IMWG Frailty Index (International Myeloma Working Group Frailty Score): A practical scoring system using age, performance status (ECOG/ADL), and Charlson Comorbidity Index (CCI). Frailty is defined as ≥2 points. Widely used in myeloma, it predicts PFS, OS, and toxicity risk. In&lt;mark&gt;BCMA&lt;\/mark&gt; CAR T and bispecific antibody trials, frail patients show comparable CRS/ICANS rates but higher NRM and inferior OS (HR 1.5\u20132.2), supporting tailored optimization and prehabilitation strategies.","c-replace":["CMA","BMA","ACMA","BCA","BCAM","BCM","CCMA","B CMA","BC MA","BCM A"],"ab-name":"Spelling","a-name":"Possible Misspelling","g-rebookmarkname":"","i-wm":"BCMA","d-description":"Possible spelling mistake found","f-bookmark":"BMSPELLING100500"},{"b-find":"ICANS","e-paracontent":"IMWG Frailty Index (International Myeloma Working Group Frailty Score): A practical scoring system using age, performance status (ECOG/ADL), and Charlson Comorbidity Index (CCI). Frailty is defined as ≥2 points. Widely used in myeloma, it predicts PFS, OS, and toxicity risk. In BCMA CAR T and bispecific antibody trials, frail patients show comparable CRS&lt;mark&gt;ICANS&lt;\/mark&gt; rates but higher NRM and inferior OS (HR 1.5\u20132.2), supporting tailored optimization and prehabilitation strategies.","c-replace":["Cans","Icons","Scans","ICA NS","ICANN"],"ab-name":"Spelling","a-name":"Possible Misspelling","g-rebookmarkname":"","i-wm":"ICANS","d-description":"Possible spelling mistake found","f-bookmark":"BMSPELLING100501"},{"b-find":"prehabilitation","e-paracontent":"IMWG Frailty Index (International Myeloma Working Group Frailty Score): A practical scoring system using age, performance status (ECOG/ADL), and Charlson Comorbidity Index (CCI). Frailty is defined as ≥2 points. Widely used in myeloma, it predicts PFS, OS, and toxicity risk. In BCMA CAR T and bispecific antibody trials, frail patients show comparable CRS/ICANS rates but higher NRM and inferior OS (HR 1.5\u20132.2), supporting tailored optimization and&lt;mark&gt;prehabilitation&lt;\/mark&gt; strategies.","c-replace":["rehabilitation","p rehabilitation"],"ab-name":"Spelling","a-name":"Possible Misspelling","g-rebookmarkname":"","i-wm":"prehabilitation","d-description":"Possible spelling mistake found","f-bookmark":"BMSPELLING100502"},{"b-find":"lymphodepletion","e-paracontent":"Minimum organ function standards support leukapheresis,&lt;mark&gt;lymphodepletion&lt;\/mark&gt;, and infusion, with requirements varying by therapy intensity (e.g., stricter for TILs compared to CARs).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≥500\u20131,000/µL, platelets ≥50,000/µL, hemoglobin ≥8 g/dL, CrCl ≥30 mL/min (≥45 mL/min for TILs requiring high dose-IL2, ), bilirubin ≤2 mg/dL, LVEF ≥45% (NYHA Class I-II) but specifics may vary based on product and protocol. ","c-replace":[],"ab-name":"Spelling","a-name":"Possible Misspelling","g-rebookmarkname":"","i-wm":"lymphodepletion","d-description":"Possible spelling mistake found","f-bookmark":"BMSPELLING100524"},{"b-find":"TILs","e-paracontent":"Minimum organ function standards support leukapheresis, lymphodepletion, and infusion, with requirements varying by therapy intensity (e.g., stricter for&lt;mark&gt;TILs&lt;\/mark&gt; compared to CARs).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≥500\u20131,000/µL, platelets ≥50,000/µL, hemoglobin ≥8 g/dL, CrCl ≥30 mL/min (≥45 mL/min for TILs requiring high dose-IL2, ), bilirubin ≤2 mg/dL, LVEF ≥45% (NYHA Class I-II) but specifics may vary based on product and protocol. ","c-replace":["Ties","Till","Tiles","Oils","Tails","Tile","Tips","Tilt","TLS","Til","Tics","Tilts","Mils","Tills","Toils","Ails","TIS","Tins","Tits","TIL s"],"ab-name":"Spelling","a-name":"Possible Misspelling","g-rebookmarkname":"","i-wm":"TILs","d-description":"Possible spelling mistake found","f-bookmark":"BMSPELLING100525"},{"b-find":"CARs","e-paracontent":"Minimum organ function standards support leukapheresis, lymphodepletion, and infusion, with requirements varying by therapy intensity (e.g., stricter for TILs compared to&lt;mark&gt;CARs&lt;\/mark&gt;).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≥500\u20131,000/µL, platelets ≥50,000/µL, hemoglobin ≥8 g/dL, CrCl ≥30 mL/min (≥45 mL/min for TILs requiring high dose-IL2, ), bilirubin ≤2 mg/dL, LVEF ≥45% (NYHA Class I-II) but specifics may vary based on product and protocol. ","c-replace":["Cars","Car","Care","Card","Cards","Bars","Wars","Carl","Caps","Cats","Ears","Carr","Mars","Cans","Cart","Cares","Carp","Carts","Jars","Scars","Cary","Lars","SARS","Cabs","Cams","Oars","CARE","CNRS","Cara","Cays","Pars","Carbs","Carps","Chars","Gars","Tars","Czars","Cads","Caws","Curs","CAES","CARF","CATS","CHRS","CRS","MARS","Vars","CAR s","Carb"],"ab-name":"Spelling","a-name":"Possible Misspelling","g-rebookmarkname":"","i-wm":"CARs","d-description":"Possible spelling mistake found","f-bookmark":"BMSPELLING100526"},{"b-find":"lymphodepletion","e-paracontent":"Minimum organ function standards support leukapheresis, lymphodepletion, and infusion, with requirements varying by therapy intensity (e.g., stricter for TILs compared to CARs). Adequate hematologic reserves (e.g., ANC, platelets) mitigate infection and bleeding risks, while preserved cardiopulmonary, hepatic, and renal functions reduce toxicity risks associated with&lt;mark&gt;lymphodepletion&lt;\/mark&gt; and cellular therapy-related toxicities. Protocols typically require ANC ≥500\u20131,000/µL, platelets ≥50,000/µL, hemoglobin ≥8 g/dL, CrCl ≥30 mL/min (≥45 mL/min for TILs requiring high dose-IL2, ), bilirubin ≤2 mg/dL, LVEF ≥45% (NYHA Class I-II) but specifics may vary based on product and protocol. ","c-replace":[],"ab-name":"Spelling","a-name":"Possible Misspelling","g-rebookmarkname":"","i-wm":"lymphodepletion","d-description":"Possible spelling mistake found","f-bookmark":"BMSPELLING100527"},{"b-find":"µL","e-paracontent":"Minimum organ function standards support leukapheresis, lymphodepletion, and infusion, with requirements varying by therapy intensity (e.g., stricter for TILs compared to CARs).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≥500\u20131,000&lt;mark&gt;µL&lt;\/mark&gt;, platelets ≥50,000/µL, hemoglobin ≥8 g/dL, CrCl ≥30 mL/min (≥45 mL/min for TILs requiring high dose-IL2, ), bilirubin ≤2 mg/dL, LVEF ≥45% (NYHA Class I-II) but specifics may vary based on product and protocol. ","c-replace":["SL","DL","ml","cl","AL","Al","CL","Cl","FL","HL","IL","L","LL","ML","NL","PL","Pl","TL","Tl","UL","XL","YL","bl","fl","kl","l","ll","pl"],"ab-name":"Spelling","a-name":"Possible Misspelling","g-rebookmarkname":"","i-wm":"µL","d-description":"Possible spelling mistake found","f-bookmark":"BMSPELLING100528"},{"b-find":"µL","e-paracontent":"Minimum organ function standards support leukapheresis, lymphodepletion, and infusion, with requirements varying by therapy intensity (e.g., stricter for TILs compared to CARs).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≥500\u20131,000/µL, platelets ≥50,000&lt;mark&gt;µL&lt;\/mark&gt;, hemoglobin ≥8 g/dL, CrCl ≥30 mL/min (≥45 mL/min for TILs requiring high dose-IL2, ), bilirubin ≤2 mg/dL, LVEF ≥45% (NYHA Class I-II) but specifics may vary based on product and protocol. ","c-replace":["SL","DL","ml","cl","AL","Al","CL","Cl","FL","HL","IL","L","LL","ML","NL","PL","Pl","TL","Tl","UL","XL","YL","bl","fl","kl","l","ll","pl"],"ab-name":"Spelling","a-name":"Possible Misspelling","g-rebookmarkname":"","i-wm":"µL","d-description":"Possible spelling mistake found","f-bookmark":"BMSPELLING100529"},{"b-find":"CrCl","e-paracontent":"Minimum organ function standards support leukapheresis, lymphodepletion, and infusion, with requirements varying by therapy intensity (e.g., stricter for TILs compared to CARs).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≥500\u20131,000/µL, platelets ≥50,000/µL, hemoglobin ≥8 g/dL,&lt;mark&gt;CrCl&lt;\/mark&gt; ≥30 mL/min (≥45 mL/min for TILs requiring high dose-IL2, ), bilirubin ≤2 mg/dL, LVEF ≥45% (NYHA Class I-II) but specifics may vary based on product and protocol. ","c-replace":["CRC","CRL","CCL","CRAL","CRCM","Cr Cl"],"ab-name":"Spelling","a-name":"Possible Misspelling","g-rebookmarkname":"","i-wm":"CrCl","d-description":"Possible spelling mistake found","f-bookmark":"BMSPELLING100530"},{"b-find":"TILs","e-paracontent":"Minimum organ function standards support leukapheresis, lymphodepletion, and infusion, with requirements varying by therapy intensity (e.g., stricter for TILs compared to CARs). Adequate hematologic reserves (e.g., ANC, platelets) mitigate infection and bleeding risks, while preserved cardiopulmonary, hepatic, and renal functions reduce toxicity risks associated with lymphodepletion and cellular therapy-related toxicities. Protocols typically require ANC ≥500\u20131,000/µL, platelets ≥50,000/µL, hemoglobin ≥8 g/dL, CrCl ≥30 mL/min (≥45 mL/min for&lt;mark&gt;TILs&lt;\/mark&gt; requiring high dose-IL2, ), bilirubin ≤2 mg/dL, LVEF ≥45% (NYHA Class I-II) but specifics may vary based on product and protocol. ","c-replace":["Ties","Till","Tiles","Oils","Tails","Tile","Tips","Tilt","TLS","Til","Tics","Tilts","Mils","Tills","Toils","Ails","TIS","Tins","Tits","TIL s"],"ab-name":"Spelling","a-name":"Possible Misspelling","g-rebookmarkname":"","i-wm":"TILs","d-description":"Possible spelling mistake found","f-bookmark":"BMSPELLING100531"},{"b-find":"lymphodepletion","e-paracontent":"After consent and exhaustive baseline screening, patients may undergo leukapheresis or TIL harvesting (typically 2\u20134 weeks prior to&lt;mark&gt;lymphodepletion&lt;\/mark&gt;) if clinically stable and meeting hematologic/clinical criteria. Pre-collection evaluation should confirm current infectious serologic status, exclude active infections, ensure adequate vascular access, and verify avoidance of lymphotoxic drugs within the protocol-specified washout period (typically 2-4 weeks but varies based on drug\u2019s pharmacokinetics and lymphocyte impact; Table 5.4):","c-replace":[],"ab-name":"Spelling","a-name":"Possible Misspelling","g-rebookmarkname":"","i-wm":"lymphodepletion","d-description":"Possible spelling mistake found","f-bookmark":"BMSPELLING100540"},{"b-find":"Pre-collection","e-paracontent":"After consent and exhaustive baseline screening, patients may undergo leukapheresis or TIL harvesting (typically 2\u20134 weeks prior to lymphodepletion) if clinically stable and meeting hematologic/clinical criteria.&lt;mark&gt;Pre-collection&lt;\/mark&gt; evaluation should confirm current infectious serologic status, exclude active infections, ensure adequate vascular access, and verify avoidance of lymphotoxic drugs within the protocol-specified washout period (typically 2-4 weeks but varies based on drug\u2019s pharmacokinetics and lymphocyte impact; Table 5.4):","c-replace":["Recollection"],"ab-name":"Spelling","a-name":"Possible Misspelling","g-rebookmarkname":"","i-wm":"Pre-collection","d-description":"Possible spelling mistake found","f-bookmark":"BMSPELLING100541"},{"b-find":"lymphotoxic","e-paracontent":"After consent and exhaustive baseline screening, patients may undergo leukapheresis or TIL harvesting (typically 2\u20134 weeks prior to lymphodepletion) if clinically stable and meeting hematologic/clinical criteria. Pre-collection evaluation should confirm current infectious serologic status, exclude active infections, ensure adequate vascular access, and verify avoidance of&lt;mark&gt;lymphotoxic&lt;\/mark&gt; drugs within the protocol-specified washout period (typically 2-4 weeks but varies based on drug\u2019s pharmacokinetics and lymphocyte impact; Table 5.4):","c-replace":["lymphatic"],"ab-name":"Spelling","a-name":"Possible Misspelling","g-rebookmarkname":"","i-wm":"lymphotoxic","d-description":"Possible spelling mistake found","f-bookmark":"BMSPELLING100542"},{"b-find":"Cellular","e-paracontent":"&lt;mark&gt;Cellular&lt;\/mark&gt; Material: For leukapheresis, higher baseline CD3 counts (≥500/µL) correlate with improved manufacturing yield for autologous cellular therapies; for TILs, larger resectable tumor results in more successful manufacturing.","c-replace":["cellular"],"ab-name":"Spelling","a-name":"Possible Misspelling","g-rebookmarkname":"","i-wm":"&lt;span style=\"padding-left:68px;\"&gt;&lt;\/span&gt;&lt;\/span&gt;&lt;b&gt;&lt;span style=\"font-family:Times New Roman; font-size:12pt\"&gt;Cellular","d-description":"Possible spelling mistake found","f-bookmark":"BMSPELLING100549"},{"b-find":"µL","e-paracontent":"Cellular Material: For leukapheresis, higher baseline CD3 counts (≥500&lt;mark&gt;µL&lt;\/mark&gt;) correlate with improved manufacturing yield for autologous cellular therapies; for TILs, larger resectable tumor results in more successful manufacturing.","c-replace":["SL","DL","ml","cl","AL","Al","CL","Cl","FL","HL","IL","L","LL","ML","NL","PL","Pl","TL","Tl","UL","XL","YL","bl","fl","kl","l","ll","pl"],"ab-name":"Spelling","a-name":"Possible Misspelling","g-rebookmarkname":"","i-wm":"µL","d-description":"Possible spelling mistake found","f-bookmark":"BMSPELLING100550"},{"b-find":"TILs","e-paracontent":"Cellular Material: For leukapheresis, higher baseline CD3 counts (≥500/µL) correlate with improved manufacturing yield for autologous cellular therapies; for&lt;mark&gt;TILs&lt;\/mark&gt;, larger resectable tumor results in more successful manufacturing.","c-replace":["Ties","Till","Tiles","Oils","Tails","Tile","Tips","Tilt","TLS","Til","Tics","Tilts","Mils","Tills","Toils","Ails","TIS","Tins","Tits","TIL s"],"ab-name":"Spelling","a-name":"Possible Misspelling","g-rebookmarkname":"","i-wm":"TILs","d-description":"Possible spelling mistake found","f-bookmark":"BMSPELLING100551"},{"b-find":"resectable","e-paracontent":"Cellular Material: For leukapheresis, higher baseline CD3 counts (≥500/µL) correlate with improved manufacturing yield for autologous cellular therapies; for TILs, larger&lt;mark&gt;resectable&lt;\/mark&gt; tumor results in more successful manufacturing.","c-replace":["respectable"],"ab-name":"Spelling","a-name":"Possible Misspelling","g-rebookmarkname":"","i-wm":"resectable","d-description":"Possible spelling mistake found","f-bookmark":"BMSPELLING100552"},{"b-find":"Venous","e-paracontent":"&lt;mark&gt;Venous&lt;\/mark&gt; Access: Dual/triple-lumen catheter (e.g., PICC, CVC) for leukapheresis/infusion.","c-replace":["venous"],"ab-name":"Spelling","a-name":"Possible Misspelling","g-rebookmarkname":"","i-wm":"&lt;span style=\"padding-left:68px;\"&gt;&lt;\/span&gt;&lt;\/span&gt;&lt;b&gt;&lt;span style=\"font-family:Times New Roman; font-size:12pt\"&gt;Venous","d-description":"Possible spelling mistake found","f-bookmark":"BMSPELLING100557"},{"b-find":"lymphodepletion","e-paracontent":"Consideration of cellular therapy requires complex coordination between patient, disease centers, manufacturing labs, cell therapy clinical team (outpatient and inpatient), and study sponsor (for clinical trial patients). Timeline illustrates key stages of patient evaluation and treatment for cellular immunotherapies, including collection,&lt;mark&gt;lymphodepletion&lt;\/mark&gt;, and infusion with special note of ensuring active eligibility assessments at critical time points including baseline screening, pre-cellular procurement, pre-lymphodepletion, and prior to cellular therapy administration.  LD= Lymphodepletion; IEC = Immune Effector Cell","c-replace":[],"ab-name":"Spelling","a-name":"Possible Misspelling","g-rebookmarkname":"","i-wm":"lymphodepletion","d-description":"Possible spelling mistake found","f-bookmark":"BMSPELLING100609"},{"b-find":"pre-cellular","e-paracontent":"Consideration of cellular therapy requires complex coordination between patient, disease centers, manufacturing labs, cell therapy clinical team (outpatient and inpatient), and study sponsor (for clinical trial patients). Timeline illustrates key stages of patient evaluation and treatment for cellular immunotherapies, including collection, lymphodepletion, and infusion with special note of ensuring active eligibility assessments at critical time points including baseline screening,&lt;mark&gt;pre-cellular&lt;\/mark&gt; procurement, pre-lymphodepletion, and prior to cellular therapy administration.  LD= Lymphodepletion; IEC = Immune Effector Cell","c-replace":[],"ab-name":"Spelling","a-name":"Possible Misspelling","g-rebookmarkname":"","i-wm":"pre-cellular","d-description":"Possible spelling mistake found","f-bookmark":"BMSPELLING100610"},{"b-find":"pre-lymphodepletion","e-paracontent":"Consideration of cellular therapy requires complex coordination between patient, disease centers, manufacturing labs, cell therapy clinical team (outpatient and inpatient), and study sponsor (for clinical trial patients). Timeline illustrates key stages of patient evaluation and treatment for cellular immunotherapies, including collection, lymphodepletion, and infusion with special note of ensuring active eligibility assessments at critical time points including baseline screening, pre-cellular procurement,&lt;mark&gt;pre-lymphodepletion&lt;\/mark&gt;, and prior to cellular therapy administration.  LD= Lymphodepletion; IEC = Immune Effector Cell","c-replace":[],"ab-name":"Spelling","a-name":"Possible Misspelling","g-rebookmarkname":"","i-wm":"pre-lymphodepletion","d-description":"Possible spelling mistake found","f-bookmark":"BMSPELLING100611"},{"b-find":"Lymphodepletion","e-paracontent":"Consideration of cellular therapy requires complex coordination between patient, disease centers, manufacturing labs, cell therapy clinical team (outpatient and inpatient), and study sponsor (for clinical trial patients). Timeline illustrates key stages of patient evaluation and treatment for cellular immunotherapies, including collection, lymphodepletion, and infusion with special note of ensuring active eligibility assessments at critical time points including baseline screening, pre-cellular procurement, pre-lymphodepletion, and prior to cellular therapy administration.  LD=&lt;mark&gt;Lymphodepletion&lt;\/mark&gt;; IEC = Immune Effector Cell","c-replace":[],"ab-name":"Spelling","a-name":"Possible Misspelling","g-rebookmarkname":"","i-wm":"Lymphodepletion","d-description":"Possible spelling mistake found","f-bookmark":"BMSPELLING100613"},{"b-find":"Lymphodepletion","e-paracontent":"&lt;mark&gt;Lymphodepletion&lt;\/mark&gt;, cell therapy-related, adjuvant cytokine-based (high-dose IL-2)","c-replace":[],"ab-name":"Spelling","a-name":"Possible Misspelling","g-rebookmarkname":"","i-wm":"Lymphodepletion","d-description":"Possible spelling mistake found","f-bookmark":"BMSPELLING100626"},{"b-find":"cytokine-based","e-paracontent":"Lymphodepletion, cell therapy-related, adjuvant&lt;mark&gt;cytokine-based&lt;\/mark&gt; (high-dose IL-2)","c-replace":[],"ab-name":"Spelling","a-name":"Possible Misspelling","g-rebookmarkname":"","i-wm":"cytokine-based","d-description":"Possible spelling mistake found","f-bookmark":"BMSPELLING100627"},{"b-find":"lymphodepletion","e-paracontent":"Cytopenias requiring transfusion support, infectious risks, bleeding; severe multiorgan dysfunction from&lt;mark&gt;lymphodepletion&lt;\/mark&gt;/CRS, ICANS, HLH, potential for on-target/off-tumor effects, ICU requirements, fatality","c-replace":[],"ab-name":"Spelling","a-name":"Possible Misspelling","g-rebookmarkname":"","i-wm":"lymphodepletion","d-description":"Possible spelling mistake found","f-bookmark":"BMSPELLING100633"},{"b-find":"ICANS","e-paracontent":"Cytopenias requiring transfusion support, infectious risks, bleeding; severe multiorgan dysfunction from lymphodepletion/CRS,&lt;mark&gt;ICANS&lt;\/mark&gt;, HLH, potential for on-target/off-tumor effects, ICU requirements, fatality","c-replace":["Cans","Icons","Scans","ICA NS","ICANN"],"ab-name":"Spelling","a-name":"Possible Misspelling","g-rebookmarkname":"","i-wm":"ICANS","d-description":"Possible spelling mistake found","f-bookmark":"BMSPELLING100634"},{"b-find":"HLH","e-paracontent":"Cytopenias requiring transfusion support, infectious risks, bleeding; severe multiorgan dysfunction from lymphodepletion/CRS, ICANS,&lt;mark&gt;HLH&lt;\/mark&gt;, potential for on-target/off-tumor effects, ICU requirements, fatality","c-replace":["HGH","Huh","ALH","CLH","DLH","FLH","HHH","HL","HLA","HLM","HLP","HLR","HRH","LH","NLH","PLH","TLH","H LH","HL H","Hah"],"ab-name":"Spelling","a-name":"Possible Misspelling","g-rebookmarkname":"","i-wm":"HLH","d-description":"Possible spelling mistake found","f-bookmark":"BMSPELLING100635"},{"b-find":"ICANS","e-paracontent":"Lodging requirements (within 1\u20132 hours of treatment center for 2-4 weeks), 24/7 caregiver support, protracted hospitalization needs, restriction on activity (e.g., driving restrictions due to&lt;mark&gt;ICANS&lt;\/mark&gt;), frequent clinic visits","c-replace":["Cans","Icons","Scans","ICA NS","ICANN"],"ab-name":"Spelling","a-name":"Possible Misspelling","g-rebookmarkname":"","i-wm":"ICANS","d-description":"Possible spelling mistake found","f-bookmark":"BMSPELLING100643"},{"b-find":"suboptimal","e-paracontent":"Manufacturing delays, manufacturing failure,&lt;mark&gt;suboptimal&lt;\/mark&gt; cell therapy product","c-replace":["sub optimal"],"ab-name":"Spelling","a-name":"Possible Misspelling","g-rebookmarkname":"","i-wm":"suboptimal","d-description":"Possible spelling mistake found","f-bookmark":"BMSPELLING100644"},{"b-find":"genotoxicity","e-paracontent":"Potential for&lt;mark&gt;genotoxicity&lt;\/mark&gt;","c-replace":[],"ab-name":"Spelling","a-name":"Possible Misspelling","g-rebookmarkname":"","i-wm":"genotoxicity","d-description":"Possible spelling mistake found","f-bookmark":"BMSPELLING100645"},{"b-find":"sarcopenia","e-paracontent":"Frailty (e.g., age &gt;70,&lt;mark&gt;sarcopenia&lt;\/mark&gt;, cognitive impairment)","c-replace":[],"ab-name":"Spelling","a-name":"Possible Misspelling","g-rebookmarkname":"","i-wm":"sarcopenia","d-description":"Possible spelling mistake found","f-bookmark":"BMSPELLING100649"},{"b-find":"BiTEs","e-paracontent":"-&lt;mark&gt;BiTEs&lt;\/mark&gt; ","c-replace":["Bites","Sites","Bits","Bikes","Bite","Bytes","Cites","Rites","Bates","Kites","Mites","Biter","Bides","Biters","ITES","Bitts","Gites","BiT Es","BiTE s","Gîtes"],"ab-name":"Spelling","a-name":"Possible Misspelling","g-rebookmarkname":"","i-wm":"BiTEs","d-description":"Possible spelling mistake found","f-bookmark":"BMSPELLING100652"},{"b-find":"BiTEs","e-paracontent":"-&lt;mark&gt;BiTEs&lt;\/mark&gt; preferred for milder toxicity ","c-replace":["Bites","Sites","Bits","Bikes","Bite","Bytes","Cites","Rites","Bates","Kites","Mites","Biter","Bides","Biters","ITES","Bitts","Gites","BiT Es","BiTE s","Gîtes"],"ab-name":"Spelling","a-name":"Possible Misspelling","g-rebookmarkname":"","i-wm":"BiTEs","d-description":"Possible spelling mistake found","f-bookmark":"BMSPELLING100660"},{"b-find":"lymphodepletion","e-paracontent":"- 4-1BB CAR T for reduced CRS risk - Less intensive&lt;mark&gt;lymphodepletion&lt;\/mark&gt; - Multidisciplinary frailty assessment","c-replace":[],"ab-name":"Spelling","a-name":"Possible Misspelling","g-rebookmarkname":"","i-wm":"lymphodepletion","d-description":"Possible spelling mistake found","f-bookmark":"BMSPELLING100662"},{"b-find":"BiTEs","e-paracontent":"-&lt;mark&gt;BiTEs&lt;\/mark&gt; ","c-replace":["Bites","Sites","Bits","Bikes","Bite","Bytes","Cites","Rites","Bates","Kites","Mites","Biter","Bides","Biters","ITES","Bitts","Gites","BiT Es","BiTE s","Gîtes"],"ab-name":"Spelling","a-name":"Possible Misspelling","g-rebookmarkname":"","i-wm":"BiTEs","d-description":"Possible spelling mistake found","f-bookmark":"BMSPELLING100666"},{"b-find":"BiTEs","e-paracontent":"- Bridging strategies (see Chapter 7) - Prioritize&lt;mark&gt;BiTEs&lt;\/mark&gt;/allogeneic with limited bridging options","c-replace":["Bites","Sites","Bits","Bikes","Bite","Bytes","Cites","Rites","Bates","Kites","Mites","Biter","Bides","Biters","ITES","Bitts","Gites","BiT Es","BiTE s","Gîtes"],"ab-name":"Spelling","a-name":"Possible Misspelling","g-rebookmarkname":"","i-wm":"BiTEs","d-description":"Possible spelling mistake found","f-bookmark":"BMSPELLING100680"},{"b-find":"costimulatory","e-paracontent":"Clinical decision pathways for selecting cellular immunotherapies should integrate disease indications, kinetics, patient frailty, and treatment logistics. Rapid disease progression prompts consideration of bridging therapies and rapid-expansion or off-the-shelf products. Frailty status influences CAR T cell&lt;mark&gt;costimulatory&lt;\/mark&gt; domain selection and choice of alternative cellular therapies. Patient logistics and preferences\u2014including treatment frequency and proximity to treatment centers\u2014are paramount in final therapy decisions. All therapeutic selection should weigh available efficacy data and sequencing.  ","c-replace":["stimulator","stimulators"],"ab-name":"Spelling","a-name":"Possible Misspelling","g-rebookmarkname":"","i-wm":"costimulatory","d-description":"Possible spelling mistake found","f-bookmark":"BMSPELLING100689"},{"b-find":"HEMATOTOX","e-paracontent":"CAR&lt;mark&gt;HEMATOTOX&lt;\/mark&gt;","c-replace":["Hematite","Hematology"],"ab-name":"Spelling","a-name":"Possible Misspelling","g-rebookmarkname":"","i-wm":"HEMATOTOX","d-description":"Possible spelling mistake found","f-bookmark":"BMSPELLING100694"},{"b-find":"ICANS","e-paracontent":"Predict cytopenias, CRS&lt;mark&gt;ICANS&lt;\/mark&gt;, survival in CAR-T","c-replace":["Cans","Icons","Scans","ICA NS","ICANN"],"ab-name":"Spelling","a-name":"Possible Misspelling","g-rebookmarkname":"","i-wm":"ICANS","d-description":"Possible spelling mistake found","f-bookmark":"BMSPELLING100701"},{"b-find":"DLBCL","e-paracontent":"&lt;mark&gt;DLBCL&lt;\/mark&gt;, B-ALL (ALL variant), MM (under study)","c-replace":["DL BCL"],"ab-name":"Spelling","a-name":"Possible Misspelling","g-rebookmarkname":"","i-wm":"DLBCL","d-description":"Possible spelling mistake found","f-bookmark":"BMSPELLING100710"},{"b-find":"allo-HSCT","e-paracontent":"Predict NRM and OS post&lt;mark&gt;allo-HSCT&lt;\/mark&gt; and CAR-T","c-replace":[],"ab-name":"Spelling","a-name":"Possible Misspelling","g-rebookmarkname":"","i-wm":"allo-HSCT","d-description":"Possible spelling mistake found","f-bookmark":"BMSPELLING100717"},{"b-find":"Allo-HSCT","e-paracontent":"&lt;mark&gt;Allo-HSCT&lt;\/mark&gt; (original), CAR-T (DLBCL, ALL, MM)","c-replace":[],"ab-name":"Spelling","a-name":"Possible Misspelling","g-rebookmarkname":"","i-wm":"Allo-HSCT","d-description":"Possible spelling mistake found","f-bookmark":"BMSPELLING100727"},{"b-find":"DLBCL","e-paracontent":"Allo-HSCT (original), CAR-T &lt;mark&gt;DLBCL&lt;\/mark&gt;, ALL, MM)","c-replace":["DL BCL"],"ab-name":"Spelling","a-name":"Possible Misspelling","g-rebookmarkname":"","i-wm":"DLBCL","d-description":"Possible spelling mistake found","f-bookmark":"BMSPELLING100728"},{"b-find":"CIRS-G","e-paracontent":"&lt;mark&gt;CIRS-G&lt;\/mark&gt;","c-replace":["First","Cars","Circle","Citing","Firing","Airing","Airs","Circa","Hiring","Carson","Craig","Caring","Circus","Curse","Cursed","IRS","Curing","Curses","Wiring","Cisco","Airbag","Corset","Cursing","Cursor","Firsts","Tiring","CNRS","CSG","Cirque","Cirrus","Crag","Firs","Circe","Coring","Cirri","Corsage","Sirs","Curs","Miring","Kirsch","CARSAT","CHRS","CIASI","CICS","CILSS","CIR","CIRAD","CIRB","CIRC","CIRED","CIRES","CIRIL","CISC","CISL","CISP","CIUS","CORIG","CRG","CRISIP","CRISPR","CRS","CRSA","IESEG","IRG","IRSN","ISEG","ISG","JIRS","LIRG","MIRVOG","Cir","Siring","CIOs","CIS","CISes","Kirsty","Ciré"],"ab-name":"Spelling","a-name":"Possible Misspelling","g-rebookmarkname":"","i-wm":"CIRS-G","d-description":"Possible spelling mistake found","f-bookmark":"BMSPELLING100730"},{"b-find":"DLBCL","e-paracontent":"&lt;mark&gt;DLBCL&lt;\/mark&gt;, MM (validated 2025); TIL/BiTE studies ongoing","c-replace":["DL BCL"],"ab-name":"Spelling","a-name":"Possible Misspelling","g-rebookmarkname":"","i-wm":"DLBCL","d-description":"Possible spelling mistake found","f-bookmark":"BMSPELLING100737"},{"b-find":"EASIX","e-paracontent":"&lt;mark&gt;EASIX&lt;\/mark&gt;","c-replace":["East","Six","Basis","Basic","Easily","Easy","Asia","Basin","Easier","Ease","BASIC","Essex","Basil","Eased","Oasis","Elsie","Easing","Basie","Easel","Eases","Casio","Easts","Essie","ASIN","ASX","EAI","EAS","EAX","ENSI","ENSIB","ENSIC","ENSIL","ENSIM","EPSI","ESI","ESIB","IASI","OASIS","ASIC","Asif","Kasia"],"ab-name":"Spelling","a-name":"Possible Misspelling","g-rebookmarkname":"","i-wm":"EASIX","d-description":"Possible spelling mistake found","f-bookmark":"BMSPELLING100739"},{"b-find":"Allo-HSCT","e-paracontent":"&lt;mark&gt;Allo-HSCT&lt;\/mark&gt;, CAR-T (DLBCL, MM); trials in TCR T, BiTE","c-replace":[],"ab-name":"Spelling","a-name":"Possible Misspelling","g-rebookmarkname":"","i-wm":"Allo-HSCT","d-description":"Possible spelling mistake found","f-bookmark":"BMSPELLING100752"},{"b-find":"DLBCL","e-paracontent":"Allo-HSCT, CAR-T &lt;mark&gt;DLBCL&lt;\/mark&gt;, MM); trials in TCR T, BiTE","c-replace":["DL BCL"],"ab-name":"Spelling","a-name":"Possible Misspelling","g-rebookmarkname":"","i-wm":"DLBCL","d-description":"Possible spelling mistake found","f-bookmark":"BMSPELLING100753"},{"b-find":"IMWG","e-paracontent":"&lt;mark&gt;IMWG&lt;\/mark&gt; Frailty","c-replace":["IMG","IMAG"],"ab-name":"Spelling","a-name":"Possible Misspelling","g-rebookmarkname":"","i-wm":"IMWG","d-description":"Possible spelling mistake found","f-bookmark":"BMSPELLING100755"},{"b-find":"ECOG","e-paracontent":"Age,&lt;mark&gt;ECOG&lt;\/mark&gt; or ADL, Charlson Comorbidity Index","c-replace":["ECG","Eco","Cog","Econ","COG","EOG","Ecol","E COG"],"ab-name":"Spelling","a-name":"Possible Misspelling","g-rebookmarkname":"","i-wm":"ECOG","d-description":"Possible spelling mistake found","f-bookmark":"BMSPELLING100760"},{"b-find":"Charlson","e-paracontent":"Age, ECOG or ADL,&lt;mark&gt;Charlson&lt;\/mark&gt; Comorbidity Index","c-replace":["Carlson","Charlton"],"ab-name":"Spelling","a-name":"Possible Misspelling","g-rebookmarkname":"","i-wm":"Charlson","d-description":"Possible spelling mistake found","f-bookmark":"BMSPELLING100761"},{"b-find":"bispecifics","e-paracontent":"Predict survival and toxicity in MM CAR-T&lt;mark&gt;bispecifics&lt;\/mark&gt;","c-replace":["bi specifics"],"ab-name":"Spelling","a-name":"Possible Misspelling","g-rebookmarkname":"","i-wm":"bispecifics","d-description":"Possible spelling mistake found","f-bookmark":"BMSPELLING100762"},{"b-find":"Lymphotoxic","e-paracontent":"&lt;TAB5.4&gt;Table 5.4: Recommended Washout Periods for&lt;mark&gt;Lymphotoxic&lt;\/mark&gt; Drugs Prior to Leukapheresis ","c-replace":["Lymphatic"],"ab-name":"Spelling","a-name":"Possible Misspelling","g-rebookmarkname":"","i-wm":"Lymphotoxic","d-description":"Possible spelling mistake found","f-bookmark":"BMSPELLING100768"},{"b-find":"Bendamustine","e-paracontent":"Fludarabine,&lt;mark&gt;Bendamustine&lt;\/mark&gt;, Clofarabine","c-replace":[],"ab-name":"Spelling","a-name":"Possible Misspelling","g-rebookmarkname":"","i-wm":"Bendamustine","d-description":"Possible spelling mistake found","f-bookmark":"BMSPELLING100770"},{"b-find":"lymphotoxic","e-paracontent":"Long-lasting&lt;mark&gt;lymphotoxic&lt;\/mark&gt; effects","c-replace":["lymphatic"],"ab-name":"Spelling","a-name":"Possible Misspelling","g-rebookmarkname":"","i-wm":"lymphotoxic","d-description":"Possible spelling mistake found","f-bookmark":"BMSPELLING100771"}]</preedit>
</file>

<file path=customXml/item9.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3865CA-C878-4202-8F2C-119E558186F9}">
  <ds:schemaRefs>
    <ds:schemaRef ds:uri="http://www.machineedit.net/AMOD/CustomXML/Pre-Edit.htm"/>
  </ds:schemaRefs>
</ds:datastoreItem>
</file>

<file path=customXml/itemProps2.xml><?xml version="1.0" encoding="utf-8"?>
<ds:datastoreItem xmlns:ds="http://schemas.openxmlformats.org/officeDocument/2006/customXml" ds:itemID="{0C7050C4-2B1D-4722-B3FB-B5CD09478568}">
  <ds:schemaRefs>
    <ds:schemaRef ds:uri="http://www.machineedit.net/AMOD/CustomXML/Missing/Misplaced/Duplicate.htm"/>
  </ds:schemaRefs>
</ds:datastoreItem>
</file>

<file path=customXml/itemProps3.xml><?xml version="1.0" encoding="utf-8"?>
<ds:datastoreItem xmlns:ds="http://schemas.openxmlformats.org/officeDocument/2006/customXml" ds:itemID="{AD5262EB-D81F-4F8C-AFB0-E171253767D9}">
  <ds:schemaRefs/>
</ds:datastoreItem>
</file>

<file path=customXml/itemProps4.xml><?xml version="1.0" encoding="utf-8"?>
<ds:datastoreItem xmlns:ds="http://schemas.openxmlformats.org/officeDocument/2006/customXml" ds:itemID="{3E4ACF45-25D3-4046-9653-B4C20BE41FFB}">
  <ds:schemaRefs/>
</ds:datastoreItem>
</file>

<file path=customXml/itemProps5.xml><?xml version="1.0" encoding="utf-8"?>
<ds:datastoreItem xmlns:ds="http://schemas.openxmlformats.org/officeDocument/2006/customXml" ds:itemID="{74758745-29C3-4CAF-84BA-E561D75E09C1}">
  <ds:schemaRefs>
    <ds:schemaRef ds:uri="http://www.machineedit.net/AMOD/CustomXML/Inconsistencies.htm"/>
  </ds:schemaRefs>
</ds:datastoreItem>
</file>

<file path=customXml/itemProps6.xml><?xml version="1.0" encoding="utf-8"?>
<ds:datastoreItem xmlns:ds="http://schemas.openxmlformats.org/officeDocument/2006/customXml" ds:itemID="{AA432959-042A-402E-AE38-4DDCD275D2EC}">
  <ds:schemaRefs>
    <ds:schemaRef ds:uri="http://www.machineedit.net/AMOD/CustomXML/Abbreviations.htm"/>
  </ds:schemaRefs>
</ds:datastoreItem>
</file>

<file path=customXml/itemProps7.xml><?xml version="1.0" encoding="utf-8"?>
<ds:datastoreItem xmlns:ds="http://schemas.openxmlformats.org/officeDocument/2006/customXml" ds:itemID="{B74FDFE7-056D-4688-9385-24AEF33AE71D}">
  <ds:schemaRefs>
    <ds:schemaRef ds:uri="http://www.machineedit.net/AMOD/CustomXML/Grammar.htm"/>
  </ds:schemaRefs>
</ds:datastoreItem>
</file>

<file path=customXml/itemProps8.xml><?xml version="1.0" encoding="utf-8"?>
<ds:datastoreItem xmlns:ds="http://schemas.openxmlformats.org/officeDocument/2006/customXml" ds:itemID="{CB8487DC-F507-4470-B7CF-77487F5AB2E9}">
  <ds:schemaRefs>
    <ds:schemaRef ds:uri="http://www.machineedit.net/AMOD/CustomXML/Spelling.htm"/>
  </ds:schemaRefs>
</ds:datastoreItem>
</file>

<file path=customXml/itemProps9.xml><?xml version="1.0" encoding="utf-8"?>
<ds:datastoreItem xmlns:ds="http://schemas.openxmlformats.org/officeDocument/2006/customXml" ds:itemID="{889D45E6-99E4-415D-85A9-6DF43E354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UTP</Template>
  <TotalTime>57</TotalTime>
  <Pages>1</Pages>
  <Words>4035</Words>
  <Characters>23003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Ganesan</dc:creator>
  <cp:keywords/>
  <dc:description>Pagemajik - Stylefinder</dc:description>
  <cp:lastModifiedBy>S4C</cp:lastModifiedBy>
  <cp:revision>32</cp:revision>
  <dcterms:created xsi:type="dcterms:W3CDTF">2025-10-01T18:09:00Z</dcterms:created>
  <dcterms:modified xsi:type="dcterms:W3CDTF">2025-11-08T16:56:00Z</dcterms:modified>
</cp:coreProperties>
</file>