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C52A2" w:rsidRPr="00D17A5D" w:rsidRDefault="000468CF">
      <w:pPr>
        <w:pStyle w:val="CN"/>
        <w:keepNext w:val="0"/>
        <w:widowControl w:val="0"/>
        <w:spacing w:line="480" w:lineRule="auto"/>
        <w:rPr>
          <w:rFonts w:ascii="Times New Roman" w:hAnsi="Times New Roman" w:cs="Times New Roman"/>
          <w:sz w:val="24"/>
          <w:szCs w:val="24"/>
          <w:lang w:val="en-US"/>
        </w:rPr>
      </w:pPr>
      <w:bookmarkStart w:id="0" w:name="_GoBack"/>
      <w:bookmarkEnd w:id="0"/>
      <w:r w:rsidRPr="00D17A5D">
        <w:rPr>
          <w:rStyle w:val="Tag"/>
          <w:rFonts w:ascii="Times New Roman" w:hAnsi="Times New Roman" w:cs="Times New Roman"/>
          <w:sz w:val="24"/>
          <w:szCs w:val="24"/>
          <w:lang w:val="en-US"/>
        </w:rPr>
        <w:t>&lt;CN&gt;</w:t>
      </w:r>
      <w:r w:rsidRPr="00D17A5D">
        <w:rPr>
          <w:rStyle w:val="CW"/>
          <w:rFonts w:ascii="Times New Roman" w:hAnsi="Times New Roman" w:cs="Times New Roman"/>
          <w:sz w:val="24"/>
          <w:szCs w:val="24"/>
          <w:lang w:val="en-US"/>
        </w:rPr>
        <w:t>Chapter</w:t>
      </w:r>
      <w:r w:rsidRPr="00D17A5D">
        <w:rPr>
          <w:rFonts w:ascii="Times New Roman" w:hAnsi="Times New Roman" w:cs="Times New Roman"/>
          <w:sz w:val="24"/>
          <w:szCs w:val="24"/>
          <w:lang w:val="en-US"/>
        </w:rPr>
        <w:t xml:space="preserve"> </w:t>
      </w:r>
      <w:r w:rsidRPr="00D17A5D">
        <w:rPr>
          <w:rStyle w:val="CN0"/>
          <w:rFonts w:ascii="Times New Roman" w:hAnsi="Times New Roman" w:cs="Times New Roman"/>
          <w:sz w:val="24"/>
          <w:szCs w:val="24"/>
          <w:lang w:val="en-US"/>
        </w:rPr>
        <w:t>2</w:t>
      </w:r>
    </w:p>
    <w:p w:rsidR="00EC52A2" w:rsidRPr="00D17A5D" w:rsidRDefault="000468CF">
      <w:pPr>
        <w:pStyle w:val="CT"/>
        <w:keepNext w:val="0"/>
        <w:widowControl w:val="0"/>
        <w:spacing w:line="480" w:lineRule="auto"/>
        <w:jc w:val="left"/>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&lt;CT&gt;</w:t>
      </w:r>
      <w:r w:rsidRPr="00D17A5D">
        <w:rPr>
          <w:rFonts w:ascii="Times New Roman" w:hAnsi="Times New Roman" w:cs="Times New Roman"/>
          <w:sz w:val="24"/>
          <w:szCs w:val="24"/>
          <w:lang w:val="en-US"/>
        </w:rPr>
        <w:t>Screening Studies and Performance of the First Trimester Ultrasound Examination</w:t>
      </w:r>
    </w:p>
    <w:p w:rsidR="00EC52A2" w:rsidRPr="00D17A5D" w:rsidRDefault="000468CF">
      <w:pPr>
        <w:pStyle w:val="H1"/>
        <w:keepNext w:val="0"/>
        <w:widowControl w:val="0"/>
        <w:spacing w:line="480" w:lineRule="auto"/>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&lt;H1&gt;</w:t>
      </w:r>
      <w:r w:rsidRPr="00D17A5D">
        <w:rPr>
          <w:rFonts w:ascii="Times New Roman" w:hAnsi="Times New Roman" w:cs="Times New Roman"/>
          <w:sz w:val="24"/>
          <w:szCs w:val="24"/>
          <w:lang w:val="en-US"/>
        </w:rPr>
        <w:t>Introduction</w:t>
      </w:r>
    </w:p>
    <w:p w:rsidR="00EC52A2" w:rsidRPr="00D17A5D" w:rsidRDefault="000468CF">
      <w:pPr>
        <w:pStyle w:val="TXT-FLUSH"/>
        <w:widowControl w:val="0"/>
        <w:spacing w:after="0" w:line="480" w:lineRule="auto"/>
        <w:rPr>
          <w:rFonts w:ascii="Times New Roman" w:hAnsi="Times New Roman" w:cs="Times New Roman"/>
        </w:rPr>
      </w:pPr>
      <w:r w:rsidRPr="00D17A5D">
        <w:rPr>
          <w:rFonts w:ascii="Times New Roman" w:hAnsi="Times New Roman" w:cs="Times New Roman"/>
        </w:rPr>
        <w:t xml:space="preserve">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w:t>
      </w:r>
      <w:r w:rsidRPr="00D17A5D">
        <w:rPr>
          <w:rStyle w:val="AbbreviationExpansion"/>
          <w:rFonts w:ascii="Times New Roman" w:hAnsi="Times New Roman" w:cs="Times New Roman"/>
        </w:rPr>
        <w:t>nuchal translucency</w:t>
      </w:r>
      <w:r w:rsidRPr="00D17A5D">
        <w:rPr>
          <w:rFonts w:ascii="Times New Roman" w:hAnsi="Times New Roman" w:cs="Times New Roman"/>
        </w:rPr>
        <w:t xml:space="preserve"> (</w:t>
      </w:r>
      <w:r w:rsidRPr="00D17A5D">
        <w:rPr>
          <w:rStyle w:val="Abbreviation"/>
          <w:rFonts w:ascii="Times New Roman" w:hAnsi="Times New Roman" w:cs="Times New Roman"/>
        </w:rPr>
        <w:t>NT</w:t>
      </w:r>
      <w:r w:rsidRPr="00D17A5D">
        <w:rPr>
          <w:rFonts w:ascii="Times New Roman" w:hAnsi="Times New Roman" w:cs="Times New Roman"/>
        </w:rPr>
        <w:t xml:space="preserve">)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w:t>
      </w:r>
      <w:r w:rsidR="000C37AE">
        <w:rPr>
          <w:rStyle w:val="citebib"/>
          <w:rFonts w:ascii="Times New Roman" w:hAnsi="Times New Roman" w:cs="Times New Roman"/>
          <w:vertAlign w:val="superscript"/>
        </w:rPr>
        <w:t>1</w:t>
      </w:r>
      <w:r w:rsidRPr="00D17A5D">
        <w:rPr>
          <w:rFonts w:ascii="Times New Roman" w:hAnsi="Times New Roman" w:cs="Times New Roman"/>
        </w:rPr>
        <w:t xml:space="preserve">. In experts’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w:t>
      </w:r>
      <w:r w:rsidRPr="00D17A5D">
        <w:rPr>
          <w:rFonts w:ascii="Times New Roman" w:hAnsi="Times New Roman" w:cs="Times New Roman"/>
        </w:rPr>
        <w:lastRenderedPageBreak/>
        <w:t xml:space="preserve">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w:t>
      </w:r>
      <w:r w:rsidR="000C37AE">
        <w:rPr>
          <w:rStyle w:val="citebib"/>
          <w:rFonts w:ascii="Times New Roman" w:hAnsi="Times New Roman" w:cs="Times New Roman"/>
          <w:vertAlign w:val="superscript"/>
        </w:rPr>
        <w:t>2</w:t>
      </w:r>
      <w:r w:rsidRPr="00D17A5D">
        <w:rPr>
          <w:rFonts w:ascii="Times New Roman" w:hAnsi="Times New Roman" w:cs="Times New Roman"/>
        </w:rPr>
        <w:t>. Karim et al.</w:t>
      </w:r>
      <w:r w:rsidR="000C37AE">
        <w:rPr>
          <w:rStyle w:val="citebib"/>
          <w:rFonts w:ascii="Times New Roman" w:hAnsi="Times New Roman" w:cs="Times New Roman"/>
          <w:vertAlign w:val="superscript"/>
        </w:rPr>
        <w:t>2</w:t>
      </w:r>
      <w:r w:rsidRPr="00D17A5D">
        <w:rPr>
          <w:rFonts w:ascii="Times New Roman" w:hAnsi="Times New Roman" w:cs="Times New Roman"/>
        </w:rPr>
        <w:t xml:space="preserve">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w:t>
      </w:r>
      <w:r w:rsidR="000C37AE">
        <w:rPr>
          <w:rStyle w:val="citebib"/>
          <w:rFonts w:ascii="Times New Roman" w:hAnsi="Times New Roman" w:cs="Times New Roman"/>
          <w:vertAlign w:val="superscript"/>
        </w:rPr>
        <w:t>3</w:t>
      </w:r>
      <w:r w:rsidRPr="00D17A5D">
        <w:rPr>
          <w:rFonts w:ascii="Times New Roman" w:hAnsi="Times New Roman" w:cs="Times New Roman"/>
        </w:rPr>
        <w:t>.</w:t>
      </w:r>
    </w:p>
    <w:p w:rsidR="00EC52A2" w:rsidRPr="00D17A5D" w:rsidRDefault="000468CF">
      <w:pPr>
        <w:pStyle w:val="TXT"/>
        <w:widowControl w:val="0"/>
        <w:spacing w:after="0" w:line="480" w:lineRule="auto"/>
        <w:ind w:firstLine="720"/>
        <w:rPr>
          <w:rFonts w:ascii="Times New Roman" w:hAnsi="Times New Roman" w:cs="Times New Roman"/>
        </w:rPr>
      </w:pPr>
      <w:r w:rsidRPr="00D17A5D">
        <w:rPr>
          <w:rFonts w:ascii="Times New Roman" w:hAnsi="Times New Roman" w:cs="Times New Roman"/>
        </w:rPr>
        <w:t xml:space="preserve">Numerous studies have been published in the last three decades on the performance of the first trimester anomaly scan </w:t>
      </w:r>
      <w:r w:rsidR="000C37AE">
        <w:rPr>
          <w:rStyle w:val="citebib"/>
          <w:rFonts w:ascii="Times New Roman" w:hAnsi="Times New Roman" w:cs="Times New Roman"/>
          <w:vertAlign w:val="superscript"/>
        </w:rPr>
        <w:t>3,2,4,5,6,7,8,9,10,11,12,13,14</w:t>
      </w:r>
      <w:r w:rsidRPr="00D17A5D">
        <w:rPr>
          <w:rFonts w:ascii="Times New Roman" w:hAnsi="Times New Roman" w:cs="Times New Roman"/>
        </w:rPr>
        <w:t xml:space="preserve">, beyond screening for aneuploidies. Only few studies reported on the early gestation’ detection of fetal malformations in large screening populations with ultrasound examinations performed by several examiners with various levels of expertise </w:t>
      </w:r>
      <w:r w:rsidR="000C37AE">
        <w:rPr>
          <w:rStyle w:val="citebib"/>
          <w:rFonts w:ascii="Times New Roman" w:hAnsi="Times New Roman" w:cs="Times New Roman"/>
          <w:vertAlign w:val="superscript"/>
        </w:rPr>
        <w:t>1</w:t>
      </w:r>
      <w:r w:rsidRPr="00D17A5D">
        <w:rPr>
          <w:rFonts w:ascii="Times New Roman" w:hAnsi="Times New Roman" w:cs="Times New Roman"/>
        </w:rPr>
        <w:t xml:space="preserve">. Of particular interest is the first comprehensive study of Syngelaki and Nicolaides </w:t>
      </w:r>
      <w:r w:rsidR="000C37AE">
        <w:rPr>
          <w:rStyle w:val="citebib"/>
          <w:rFonts w:ascii="Times New Roman" w:hAnsi="Times New Roman" w:cs="Times New Roman"/>
          <w:vertAlign w:val="superscript"/>
        </w:rPr>
        <w:t>1</w:t>
      </w:r>
      <w:r w:rsidRPr="00D17A5D">
        <w:rPr>
          <w:rFonts w:ascii="Times New Roman" w:hAnsi="Times New Roman" w:cs="Times New Roman"/>
        </w:rPr>
        <w:t xml:space="preserve">, which reported in 2011 on the detection of fetal anomalies during the 11-13 weeks’ ultrasound examination in a population of 44,859 patients, after excluding 332 detected aneuploidies </w:t>
      </w:r>
      <w:r w:rsidR="000C37AE">
        <w:rPr>
          <w:rStyle w:val="citebib"/>
          <w:rFonts w:ascii="Times New Roman" w:hAnsi="Times New Roman" w:cs="Times New Roman"/>
          <w:vertAlign w:val="superscript"/>
        </w:rPr>
        <w:t>1</w:t>
      </w:r>
      <w:r w:rsidRPr="00D17A5D">
        <w:rPr>
          <w:rFonts w:ascii="Times New Roman" w:hAnsi="Times New Roman" w:cs="Times New Roman"/>
        </w:rPr>
        <w:t xml:space="preserve">. The authors classified the type of first trimester fetal malformations into four main groups: always detectable, occasionally detectable, rarely detectable and non-detectable </w:t>
      </w:r>
      <w:r w:rsidR="000C37AE">
        <w:rPr>
          <w:rStyle w:val="citebib"/>
          <w:rFonts w:ascii="Times New Roman" w:hAnsi="Times New Roman" w:cs="Times New Roman"/>
          <w:vertAlign w:val="superscript"/>
        </w:rPr>
        <w:t>1</w:t>
      </w:r>
      <w:r w:rsidRPr="00D17A5D">
        <w:rPr>
          <w:rFonts w:ascii="Times New Roman" w:hAnsi="Times New Roman" w:cs="Times New Roman"/>
        </w:rPr>
        <w:t xml:space="preserve">. Since the publication of this seminal study, several more recent studies and meta-analyses have been published, emphasizing the performance and limitations of the first trimester ultrasound examination. In this chapter we present the results of four large studies summarizing the current performance of the first </w:t>
      </w:r>
      <w:r w:rsidRPr="00D17A5D">
        <w:rPr>
          <w:rFonts w:ascii="Times New Roman" w:hAnsi="Times New Roman" w:cs="Times New Roman"/>
        </w:rPr>
        <w:lastRenderedPageBreak/>
        <w:t xml:space="preserve">trimester scan. </w:t>
      </w:r>
    </w:p>
    <w:p w:rsidR="00EC52A2" w:rsidRPr="00D17A5D" w:rsidRDefault="000468CF">
      <w:pPr>
        <w:pStyle w:val="H1"/>
        <w:keepNext w:val="0"/>
        <w:widowControl w:val="0"/>
        <w:spacing w:line="480" w:lineRule="auto"/>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&lt;H1&gt;</w:t>
      </w:r>
      <w:r w:rsidRPr="00D17A5D">
        <w:rPr>
          <w:rFonts w:ascii="Times New Roman" w:hAnsi="Times New Roman" w:cs="Times New Roman"/>
          <w:sz w:val="24"/>
          <w:szCs w:val="24"/>
          <w:lang w:val="en-US"/>
        </w:rPr>
        <w:t>London-United Kingdom Screening Study</w:t>
      </w:r>
    </w:p>
    <w:p w:rsidR="00EC52A2" w:rsidRPr="00D17A5D" w:rsidRDefault="000468CF">
      <w:pPr>
        <w:pStyle w:val="TXT-FLUSH"/>
        <w:widowControl w:val="0"/>
        <w:spacing w:after="0" w:line="480" w:lineRule="auto"/>
        <w:rPr>
          <w:rFonts w:ascii="Times New Roman" w:hAnsi="Times New Roman" w:cs="Times New Roman"/>
        </w:rPr>
      </w:pPr>
      <w:r w:rsidRPr="00D17A5D">
        <w:rPr>
          <w:rFonts w:ascii="Times New Roman" w:hAnsi="Times New Roman" w:cs="Times New Roman"/>
        </w:rPr>
        <w:t xml:space="preserve">The paper entitled </w:t>
      </w:r>
      <w:r w:rsidRPr="00D17A5D">
        <w:rPr>
          <w:rStyle w:val="italic"/>
          <w:rFonts w:ascii="Times New Roman" w:hAnsi="Times New Roman" w:cs="Times New Roman"/>
          <w:i/>
          <w:iCs/>
        </w:rPr>
        <w:t>“Diagnosis of fetal non-chromosomal abnormalities on routine ultrasound examination at 11–13 weeks’</w:t>
      </w:r>
      <w:r w:rsidRPr="00D17A5D">
        <w:rPr>
          <w:rFonts w:ascii="Times New Roman" w:hAnsi="Times New Roman" w:cs="Times New Roman"/>
          <w:i/>
          <w:iCs/>
          <w:rtl/>
        </w:rPr>
        <w:t xml:space="preserve"> </w:t>
      </w:r>
      <w:r w:rsidRPr="00D17A5D">
        <w:rPr>
          <w:rStyle w:val="italic"/>
          <w:rFonts w:ascii="Times New Roman" w:hAnsi="Times New Roman" w:cs="Times New Roman"/>
          <w:i/>
          <w:iCs/>
        </w:rPr>
        <w:t>gestation“</w:t>
      </w:r>
      <w:r w:rsidRPr="00D17A5D">
        <w:rPr>
          <w:rFonts w:ascii="Times New Roman" w:hAnsi="Times New Roman" w:cs="Times New Roman"/>
        </w:rPr>
        <w:t xml:space="preserve"> published by Syngelaki et al in 2019 </w:t>
      </w:r>
      <w:r w:rsidR="000C37AE">
        <w:rPr>
          <w:rStyle w:val="citebib"/>
          <w:rFonts w:ascii="Times New Roman" w:hAnsi="Times New Roman" w:cs="Times New Roman"/>
          <w:vertAlign w:val="superscript"/>
        </w:rPr>
        <w:t>15</w:t>
      </w:r>
      <w:r w:rsidRPr="00D17A5D">
        <w:rPr>
          <w:rFonts w:ascii="Times New Roman" w:hAnsi="Times New Roman" w:cs="Times New Roman"/>
        </w:rPr>
        <w:t xml:space="preserve">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(2009–2018) and after excluding 796 fetuses with aneuploidy </w:t>
      </w:r>
      <w:r w:rsidR="000C37AE">
        <w:rPr>
          <w:rStyle w:val="citebib"/>
          <w:rFonts w:ascii="Times New Roman" w:hAnsi="Times New Roman" w:cs="Times New Roman"/>
          <w:vertAlign w:val="superscript"/>
        </w:rPr>
        <w:t>15</w:t>
      </w:r>
      <w:r w:rsidRPr="00D17A5D">
        <w:rPr>
          <w:rFonts w:ascii="Times New Roman" w:hAnsi="Times New Roman" w:cs="Times New Roman"/>
        </w:rPr>
        <w:t xml:space="preserve">. First-trimester ultrasound examinations were performed using a standardized protocol as summarized in </w:t>
      </w:r>
      <w:bookmarkStart w:id="1" w:name="bm_tab_cite_Table_2_1"/>
      <w:sdt>
        <w:sdtPr>
          <w:rPr>
            <w:rFonts w:ascii="Times New Roman" w:hAnsi="Times New Roman" w:cs="Times New Roman"/>
          </w:rPr>
          <w:alias w:val="Table Citation"/>
          <w:tag w:val="tab_cite"/>
          <w:id w:val="1627044619"/>
          <w:placeholder>
            <w:docPart w:val="DefaultPlaceholder_1082065158"/>
          </w:placeholder>
        </w:sdtPr>
        <w:sdtEndPr>
          <w:rPr>
            <w:rStyle w:val="TableCitation"/>
          </w:rPr>
        </w:sdtEndPr>
        <w:sdtContent>
          <w:r w:rsidRPr="00D17A5D">
            <w:rPr>
              <w:rStyle w:val="TableCitation"/>
              <w:rFonts w:ascii="Times New Roman" w:hAnsi="Times New Roman" w:cs="Times New Roman"/>
            </w:rPr>
            <w:t>Table 2.1</w:t>
          </w:r>
          <w:bookmarkEnd w:id="1"/>
        </w:sdtContent>
      </w:sdt>
      <w:r w:rsidRPr="00D17A5D">
        <w:rPr>
          <w:rFonts w:ascii="Times New Roman" w:hAnsi="Times New Roman" w:cs="Times New Roman"/>
        </w:rPr>
        <w:t xml:space="preserve">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2–3% of cases, they were complemented by a transvaginal scan </w:t>
      </w:r>
      <w:r w:rsidR="000C37AE">
        <w:rPr>
          <w:rStyle w:val="citebib"/>
          <w:rFonts w:ascii="Times New Roman" w:hAnsi="Times New Roman" w:cs="Times New Roman"/>
          <w:vertAlign w:val="superscript"/>
        </w:rPr>
        <w:t>15</w:t>
      </w:r>
      <w:r w:rsidRPr="00D17A5D">
        <w:rPr>
          <w:rFonts w:ascii="Times New Roman" w:hAnsi="Times New Roman" w:cs="Times New Roman"/>
        </w:rPr>
        <w:t xml:space="preserve">. At the time of the first-trimester scan, median fetal </w:t>
      </w:r>
      <w:r w:rsidRPr="00D17A5D">
        <w:rPr>
          <w:rStyle w:val="allcaps"/>
          <w:rFonts w:ascii="Times New Roman" w:hAnsi="Times New Roman" w:cs="Times New Roman"/>
        </w:rPr>
        <w:t>CRL</w:t>
      </w:r>
      <w:r w:rsidRPr="00D17A5D">
        <w:rPr>
          <w:rFonts w:ascii="Times New Roman" w:hAnsi="Times New Roman" w:cs="Times New Roman"/>
        </w:rPr>
        <w:t xml:space="preserve"> was 63.8 mm, and median gestational age was 12.7 weeks of gestation. Only 8.5% cases were examined in the 11th week of gestation </w:t>
      </w:r>
      <w:r w:rsidR="000C37AE">
        <w:rPr>
          <w:rStyle w:val="citebib"/>
          <w:rFonts w:ascii="Times New Roman" w:hAnsi="Times New Roman" w:cs="Times New Roman"/>
          <w:vertAlign w:val="superscript"/>
        </w:rPr>
        <w:t>15</w:t>
      </w:r>
      <w:r w:rsidRPr="00D17A5D">
        <w:rPr>
          <w:rFonts w:ascii="Times New Roman" w:hAnsi="Times New Roman" w:cs="Times New Roman"/>
        </w:rPr>
        <w:t>.</w:t>
      </w:r>
    </w:p>
    <w:p w:rsidR="00EC52A2" w:rsidRPr="00D17A5D" w:rsidRDefault="000468CF">
      <w:pPr>
        <w:pStyle w:val="PMI"/>
        <w:widowControl w:val="0"/>
        <w:spacing w:after="0" w:line="480" w:lineRule="auto"/>
        <w:rPr>
          <w:rFonts w:ascii="Times New Roman" w:hAnsi="Times New Roman" w:cs="Times New Roman"/>
        </w:rPr>
      </w:pPr>
      <w:r w:rsidRPr="00D17A5D">
        <w:rPr>
          <w:rFonts w:ascii="Times New Roman" w:hAnsi="Times New Roman" w:cs="Times New Roman"/>
        </w:rPr>
        <w:t>&lt;</w:t>
      </w:r>
      <w:sdt>
        <w:sdtPr>
          <w:rPr>
            <w:rFonts w:ascii="Times New Roman" w:hAnsi="Times New Roman" w:cs="Times New Roman"/>
          </w:rPr>
          <w:alias w:val="Table Citation"/>
          <w:tag w:val="tab_cite"/>
          <w:id w:val="1502938751"/>
          <w:placeholder>
            <w:docPart w:val="DefaultPlaceholder_1082065158"/>
          </w:placeholder>
        </w:sdtPr>
        <w:sdtEndPr>
          <w:rPr>
            <w:rStyle w:val="TablePMI"/>
          </w:rPr>
        </w:sdtEndPr>
        <w:sdtContent>
          <w:r w:rsidRPr="00D17A5D">
            <w:rPr>
              <w:rStyle w:val="allcaps"/>
              <w:rFonts w:ascii="Times New Roman" w:hAnsi="Times New Roman" w:cs="Times New Roman"/>
            </w:rPr>
            <w:t>TAB</w:t>
          </w:r>
          <w:r w:rsidRPr="00D17A5D">
            <w:rPr>
              <w:rStyle w:val="TablePMI"/>
              <w:rFonts w:ascii="Times New Roman" w:hAnsi="Times New Roman" w:cs="Times New Roman"/>
            </w:rPr>
            <w:t xml:space="preserve"> 2-1</w:t>
          </w:r>
        </w:sdtContent>
      </w:sdt>
      <w:r w:rsidRPr="00D17A5D">
        <w:rPr>
          <w:rFonts w:ascii="Times New Roman" w:hAnsi="Times New Roman" w:cs="Times New Roman"/>
        </w:rPr>
        <w:t>&gt;</w:t>
      </w:r>
    </w:p>
    <w:p w:rsidR="00EC52A2" w:rsidRPr="00D17A5D" w:rsidRDefault="000468CF">
      <w:pPr>
        <w:pStyle w:val="TXT"/>
        <w:widowControl w:val="0"/>
        <w:spacing w:after="0" w:line="480" w:lineRule="auto"/>
        <w:ind w:firstLine="720"/>
        <w:rPr>
          <w:rFonts w:ascii="Times New Roman" w:hAnsi="Times New Roman" w:cs="Times New Roman"/>
        </w:rPr>
      </w:pPr>
      <w:r w:rsidRPr="00D17A5D">
        <w:rPr>
          <w:rFonts w:ascii="Times New Roman" w:hAnsi="Times New Roman" w:cs="Times New Roman"/>
        </w:rPr>
        <w:t xml:space="preserve">The study population comprised 1720 (1.7%) pregnancies with a non-chromosomal fetal structural anomaly. In this group, 474 (27.6%) anomalies were detected at screening in the first trimester, 926 (53.8%) in the second trimester, and 320 (18.6%) in the third trimester or postnatally </w:t>
      </w:r>
      <w:r w:rsidR="000C37AE">
        <w:rPr>
          <w:rStyle w:val="citebib"/>
          <w:rFonts w:ascii="Times New Roman" w:hAnsi="Times New Roman" w:cs="Times New Roman"/>
          <w:vertAlign w:val="superscript"/>
        </w:rPr>
        <w:t>15</w:t>
      </w:r>
      <w:r w:rsidRPr="00D17A5D">
        <w:rPr>
          <w:rFonts w:ascii="Times New Roman" w:hAnsi="Times New Roman" w:cs="Times New Roman"/>
        </w:rPr>
        <w:t xml:space="preserve">. Interestingly, the results supported the categorization of fetal anomalies into three groups based on their detectability at 11–13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 often in less than 10% of cases </w:t>
      </w:r>
      <w:r w:rsidR="000C37AE">
        <w:rPr>
          <w:rStyle w:val="citebib"/>
          <w:rFonts w:ascii="Times New Roman" w:hAnsi="Times New Roman" w:cs="Times New Roman"/>
          <w:vertAlign w:val="superscript"/>
        </w:rPr>
        <w:t>15</w:t>
      </w:r>
      <w:r w:rsidRPr="00D17A5D">
        <w:rPr>
          <w:rFonts w:ascii="Times New Roman" w:hAnsi="Times New Roman" w:cs="Times New Roman"/>
        </w:rPr>
        <w:t xml:space="preserve">. These were usually diagnosed later in pregnancy, either due to the timing of development or the limitations of early imaging. The study also highlights the association between increased </w:t>
      </w:r>
      <w:r w:rsidRPr="00D17A5D">
        <w:rPr>
          <w:rStyle w:val="AbbreviationExpansion"/>
          <w:rFonts w:ascii="Times New Roman" w:hAnsi="Times New Roman" w:cs="Times New Roman"/>
        </w:rPr>
        <w:t>nuchal translucency</w:t>
      </w:r>
      <w:r w:rsidRPr="00D17A5D">
        <w:rPr>
          <w:rFonts w:ascii="Times New Roman" w:hAnsi="Times New Roman" w:cs="Times New Roman"/>
        </w:rPr>
        <w:t xml:space="preserve"> (</w:t>
      </w:r>
      <w:r w:rsidRPr="00D17A5D">
        <w:rPr>
          <w:rStyle w:val="Abbreviation"/>
          <w:rFonts w:ascii="Times New Roman" w:hAnsi="Times New Roman" w:cs="Times New Roman"/>
        </w:rPr>
        <w:t>NT</w:t>
      </w:r>
      <w:r w:rsidRPr="00D17A5D">
        <w:rPr>
          <w:rFonts w:ascii="Times New Roman" w:hAnsi="Times New Roman" w:cs="Times New Roman"/>
        </w:rPr>
        <w:t xml:space="preserve">) and various structural anomalies, particularly congenital heart defects, suggesting that </w:t>
      </w:r>
      <w:r w:rsidRPr="00D17A5D">
        <w:rPr>
          <w:rStyle w:val="allcaps"/>
          <w:rFonts w:ascii="Times New Roman" w:hAnsi="Times New Roman" w:cs="Times New Roman"/>
        </w:rPr>
        <w:t>NT</w:t>
      </w:r>
      <w:r w:rsidRPr="00D17A5D">
        <w:rPr>
          <w:rFonts w:ascii="Times New Roman" w:hAnsi="Times New Roman" w:cs="Times New Roman"/>
        </w:rPr>
        <w:t xml:space="preserve"> is a valuable marker for the presence of cardiac malformations </w:t>
      </w:r>
      <w:r w:rsidR="000C37AE">
        <w:rPr>
          <w:rStyle w:val="citebib"/>
          <w:rFonts w:ascii="Times New Roman" w:hAnsi="Times New Roman" w:cs="Times New Roman"/>
          <w:vertAlign w:val="superscript"/>
        </w:rPr>
        <w:t>15</w:t>
      </w:r>
      <w:r w:rsidRPr="00D17A5D">
        <w:rPr>
          <w:rFonts w:ascii="Times New Roman" w:hAnsi="Times New Roman" w:cs="Times New Roman"/>
        </w:rPr>
        <w:t xml:space="preserve">. Strengths of the study included the exceptionally large sample size, high follow-up rate, and consistent use of trained personnel following standardized protocols in specialized fetal medicine units. However, the study also acknowledged important limitations </w:t>
      </w:r>
      <w:r w:rsidR="000C37AE">
        <w:rPr>
          <w:rStyle w:val="citebib"/>
          <w:rFonts w:ascii="Times New Roman" w:hAnsi="Times New Roman" w:cs="Times New Roman"/>
          <w:vertAlign w:val="superscript"/>
        </w:rPr>
        <w:t>15</w:t>
      </w:r>
      <w:r w:rsidRPr="00D17A5D">
        <w:rPr>
          <w:rFonts w:ascii="Times New Roman" w:hAnsi="Times New Roman" w:cs="Times New Roman"/>
        </w:rPr>
        <w:t xml:space="preserve">.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w:t>
      </w:r>
      <w:r w:rsidR="000C37AE">
        <w:rPr>
          <w:rStyle w:val="citebib"/>
          <w:rFonts w:ascii="Times New Roman" w:hAnsi="Times New Roman" w:cs="Times New Roman"/>
          <w:vertAlign w:val="superscript"/>
        </w:rPr>
        <w:t>15</w:t>
      </w:r>
      <w:r w:rsidRPr="00D17A5D">
        <w:rPr>
          <w:rFonts w:ascii="Times New Roman" w:hAnsi="Times New Roman" w:cs="Times New Roman"/>
        </w:rPr>
        <w:t>.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w:t>
      </w:r>
    </w:p>
    <w:p w:rsidR="00EC52A2" w:rsidRPr="00D17A5D" w:rsidRDefault="000468CF">
      <w:pPr>
        <w:pStyle w:val="H1"/>
        <w:keepNext w:val="0"/>
        <w:widowControl w:val="0"/>
        <w:spacing w:line="480" w:lineRule="auto"/>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&lt;H1&gt;</w:t>
      </w:r>
      <w:r w:rsidRPr="00D17A5D">
        <w:rPr>
          <w:rFonts w:ascii="Times New Roman" w:hAnsi="Times New Roman" w:cs="Times New Roman"/>
          <w:sz w:val="24"/>
          <w:szCs w:val="24"/>
          <w:lang w:val="en-US"/>
        </w:rPr>
        <w:t>Shenzhen-China Screening Study</w:t>
      </w:r>
    </w:p>
    <w:p w:rsidR="00EC52A2" w:rsidRPr="00D17A5D" w:rsidRDefault="000468CF">
      <w:pPr>
        <w:pStyle w:val="TXT-FLUSH"/>
        <w:widowControl w:val="0"/>
        <w:spacing w:after="0" w:line="480" w:lineRule="auto"/>
        <w:rPr>
          <w:rFonts w:ascii="Times New Roman" w:hAnsi="Times New Roman" w:cs="Times New Roman"/>
        </w:rPr>
      </w:pPr>
      <w:r w:rsidRPr="00D17A5D">
        <w:rPr>
          <w:rFonts w:ascii="Times New Roman" w:hAnsi="Times New Roman" w:cs="Times New Roman"/>
        </w:rPr>
        <w:t xml:space="preserve">In a large retrospective study published in 2021, Liao and colleagues </w:t>
      </w:r>
      <w:r w:rsidR="000C37AE">
        <w:rPr>
          <w:rStyle w:val="citebib"/>
          <w:rFonts w:ascii="Times New Roman" w:hAnsi="Times New Roman" w:cs="Times New Roman"/>
          <w:vertAlign w:val="superscript"/>
        </w:rPr>
        <w:t>16</w:t>
      </w:r>
      <w:r w:rsidRPr="00D17A5D">
        <w:rPr>
          <w:rFonts w:ascii="Times New Roman" w:hAnsi="Times New Roman" w:cs="Times New Roman"/>
        </w:rPr>
        <w:t xml:space="preserve">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w:t>
      </w:r>
      <w:r w:rsidR="000C37AE">
        <w:rPr>
          <w:rStyle w:val="citebib"/>
          <w:rFonts w:ascii="Times New Roman" w:hAnsi="Times New Roman" w:cs="Times New Roman"/>
          <w:vertAlign w:val="superscript"/>
        </w:rPr>
        <w:t>16</w:t>
      </w:r>
      <w:r w:rsidRPr="00D17A5D">
        <w:rPr>
          <w:rFonts w:ascii="Times New Roman" w:hAnsi="Times New Roman" w:cs="Times New Roman"/>
        </w:rPr>
        <w:t>. Ultrasound examinations were performed between 11 and 13</w:t>
      </w:r>
      <w:r w:rsidRPr="00D17A5D">
        <w:rPr>
          <w:rStyle w:val="Math"/>
          <w:rFonts w:ascii="Times New Roman" w:hAnsi="Times New Roman" w:cs="Times New Roman"/>
        </w:rPr>
        <w:t>+</w:t>
      </w:r>
      <w:r w:rsidRPr="00D17A5D">
        <w:rPr>
          <w:rFonts w:ascii="Times New Roman" w:hAnsi="Times New Roman" w:cs="Times New Roman"/>
        </w:rPr>
        <w:t xml:space="preserve">6 weeks of gestation and followed a detailed protocol with 14 predefined standard views </w:t>
      </w:r>
      <w:bookmarkStart w:id="2" w:name="bm_tab_cite_Table_2_2"/>
      <w:sdt>
        <w:sdtPr>
          <w:rPr>
            <w:rFonts w:ascii="Times New Roman" w:hAnsi="Times New Roman" w:cs="Times New Roman"/>
          </w:rPr>
          <w:alias w:val="Table Citation"/>
          <w:tag w:val="tab_cite"/>
          <w:id w:val="-900903582"/>
          <w:placeholder>
            <w:docPart w:val="DefaultPlaceholder_1082065158"/>
          </w:placeholder>
        </w:sdtPr>
        <w:sdtEndPr/>
        <w:sdtContent>
          <w:r w:rsidRPr="00D17A5D">
            <w:rPr>
              <w:rFonts w:ascii="Times New Roman" w:hAnsi="Times New Roman" w:cs="Times New Roman"/>
            </w:rPr>
            <w:t>(</w:t>
          </w:r>
          <w:r w:rsidRPr="00D17A5D">
            <w:rPr>
              <w:rStyle w:val="TableCitation"/>
              <w:rFonts w:ascii="Times New Roman" w:hAnsi="Times New Roman" w:cs="Times New Roman"/>
            </w:rPr>
            <w:t>Table 2.2</w:t>
          </w:r>
          <w:r w:rsidRPr="00D17A5D">
            <w:rPr>
              <w:rFonts w:ascii="Times New Roman" w:hAnsi="Times New Roman" w:cs="Times New Roman"/>
            </w:rPr>
            <w:t>)</w:t>
          </w:r>
          <w:bookmarkEnd w:id="2"/>
        </w:sdtContent>
      </w:sdt>
      <w:r w:rsidRPr="00D17A5D">
        <w:rPr>
          <w:rFonts w:ascii="Times New Roman" w:hAnsi="Times New Roman" w:cs="Times New Roman"/>
        </w:rPr>
        <w:t xml:space="preserve">, adapted from the mid-trimester anomaly screening approach </w:t>
      </w:r>
      <w:r w:rsidR="000C37AE">
        <w:rPr>
          <w:rStyle w:val="citebib"/>
          <w:rFonts w:ascii="Times New Roman" w:hAnsi="Times New Roman" w:cs="Times New Roman"/>
          <w:vertAlign w:val="superscript"/>
        </w:rPr>
        <w:t>16</w:t>
      </w:r>
      <w:r w:rsidRPr="00D17A5D">
        <w:rPr>
          <w:rFonts w:ascii="Times New Roman" w:hAnsi="Times New Roman" w:cs="Times New Roman"/>
        </w:rPr>
        <w:t xml:space="preserve">. At the time of the first trimester examination, the median fetal </w:t>
      </w:r>
      <w:r w:rsidRPr="00D17A5D">
        <w:rPr>
          <w:rStyle w:val="allcaps"/>
          <w:rFonts w:ascii="Times New Roman" w:hAnsi="Times New Roman" w:cs="Times New Roman"/>
        </w:rPr>
        <w:t>CRL</w:t>
      </w:r>
      <w:r w:rsidRPr="00D17A5D">
        <w:rPr>
          <w:rFonts w:ascii="Times New Roman" w:hAnsi="Times New Roman" w:cs="Times New Roman"/>
        </w:rPr>
        <w:t xml:space="preserve">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 sonographers who performed the first trimester examination had to complete a rigorous 6-month training program. All examinations were performed transabdominally and only completed by a transvaginal examination if necessary.</w:t>
      </w:r>
    </w:p>
    <w:p w:rsidR="00EC52A2" w:rsidRPr="00D17A5D" w:rsidRDefault="000468CF">
      <w:pPr>
        <w:pStyle w:val="PMI"/>
        <w:widowControl w:val="0"/>
        <w:spacing w:after="0" w:line="480" w:lineRule="auto"/>
        <w:rPr>
          <w:rFonts w:ascii="Times New Roman" w:hAnsi="Times New Roman" w:cs="Times New Roman"/>
        </w:rPr>
      </w:pPr>
      <w:r w:rsidRPr="00D17A5D">
        <w:rPr>
          <w:rFonts w:ascii="Times New Roman" w:hAnsi="Times New Roman" w:cs="Times New Roman"/>
        </w:rPr>
        <w:t>&lt;</w:t>
      </w:r>
      <w:sdt>
        <w:sdtPr>
          <w:rPr>
            <w:rFonts w:ascii="Times New Roman" w:hAnsi="Times New Roman" w:cs="Times New Roman"/>
          </w:rPr>
          <w:alias w:val="Table Citation"/>
          <w:tag w:val="tab_cite"/>
          <w:id w:val="-2093610531"/>
          <w:placeholder>
            <w:docPart w:val="DefaultPlaceholder_1082065158"/>
          </w:placeholder>
        </w:sdtPr>
        <w:sdtEndPr>
          <w:rPr>
            <w:rStyle w:val="TablePMI"/>
          </w:rPr>
        </w:sdtEndPr>
        <w:sdtContent>
          <w:r w:rsidRPr="00D17A5D">
            <w:rPr>
              <w:rStyle w:val="allcaps"/>
              <w:rFonts w:ascii="Times New Roman" w:hAnsi="Times New Roman" w:cs="Times New Roman"/>
            </w:rPr>
            <w:t>TAB</w:t>
          </w:r>
          <w:r w:rsidRPr="00D17A5D">
            <w:rPr>
              <w:rStyle w:val="TablePMI"/>
              <w:rFonts w:ascii="Times New Roman" w:hAnsi="Times New Roman" w:cs="Times New Roman"/>
            </w:rPr>
            <w:t xml:space="preserve"> 2-2</w:t>
          </w:r>
        </w:sdtContent>
      </w:sdt>
      <w:r w:rsidRPr="00D17A5D">
        <w:rPr>
          <w:rFonts w:ascii="Times New Roman" w:hAnsi="Times New Roman" w:cs="Times New Roman"/>
        </w:rPr>
        <w:t>&gt;</w:t>
      </w:r>
    </w:p>
    <w:p w:rsidR="00EC52A2" w:rsidRPr="00D17A5D" w:rsidRDefault="000468CF">
      <w:pPr>
        <w:pStyle w:val="TXT"/>
        <w:widowControl w:val="0"/>
        <w:spacing w:after="0" w:line="480" w:lineRule="auto"/>
        <w:ind w:firstLine="720"/>
        <w:rPr>
          <w:rFonts w:ascii="Times New Roman" w:hAnsi="Times New Roman" w:cs="Times New Roman"/>
        </w:rPr>
      </w:pPr>
      <w:r w:rsidRPr="00D17A5D">
        <w:rPr>
          <w:rFonts w:ascii="Times New Roman" w:hAnsi="Times New Roman" w:cs="Times New Roman"/>
        </w:rPr>
        <w:t xml:space="preserve">The study found a rate of structural anomalies of 3% (1,578 fetuses) in the cohort of which 680 were diagnosed in the first trimester screening examination, corresponding to a detection rate of 43.1% </w:t>
      </w:r>
      <w:r w:rsidR="000C37AE">
        <w:rPr>
          <w:rStyle w:val="citebib"/>
          <w:rFonts w:ascii="Times New Roman" w:hAnsi="Times New Roman" w:cs="Times New Roman"/>
          <w:vertAlign w:val="superscript"/>
        </w:rPr>
        <w:t>16</w:t>
      </w:r>
      <w:r w:rsidRPr="00D17A5D">
        <w:rPr>
          <w:rFonts w:ascii="Times New Roman" w:hAnsi="Times New Roman" w:cs="Times New Roman"/>
        </w:rPr>
        <w:t xml:space="preserve"> </w:t>
      </w:r>
      <w:bookmarkStart w:id="3" w:name="bm_tab_cite_Table_2_3"/>
      <w:sdt>
        <w:sdtPr>
          <w:rPr>
            <w:rFonts w:ascii="Times New Roman" w:hAnsi="Times New Roman" w:cs="Times New Roman"/>
          </w:rPr>
          <w:alias w:val="Table Citation"/>
          <w:tag w:val="tab_cite"/>
          <w:id w:val="827175858"/>
          <w:placeholder>
            <w:docPart w:val="DefaultPlaceholder_1082065158"/>
          </w:placeholder>
        </w:sdtPr>
        <w:sdtEndPr/>
        <w:sdtContent>
          <w:r w:rsidRPr="00D17A5D">
            <w:rPr>
              <w:rFonts w:ascii="Times New Roman" w:hAnsi="Times New Roman" w:cs="Times New Roman"/>
            </w:rPr>
            <w:t>(</w:t>
          </w:r>
          <w:r w:rsidRPr="00D17A5D">
            <w:rPr>
              <w:rStyle w:val="TableCitation"/>
              <w:rFonts w:ascii="Times New Roman" w:hAnsi="Times New Roman" w:cs="Times New Roman"/>
            </w:rPr>
            <w:t>Table 2.3</w:t>
          </w:r>
          <w:r w:rsidRPr="00D17A5D">
            <w:rPr>
              <w:rFonts w:ascii="Times New Roman" w:hAnsi="Times New Roman" w:cs="Times New Roman"/>
            </w:rPr>
            <w:t>)</w:t>
          </w:r>
          <w:bookmarkEnd w:id="3"/>
        </w:sdtContent>
      </w:sdt>
      <w:r w:rsidRPr="00D17A5D">
        <w:rPr>
          <w:rFonts w:ascii="Times New Roman" w:hAnsi="Times New Roman" w:cs="Times New Roman"/>
        </w:rPr>
        <w:t>. The detection rates varied greatly depending on the organ system. Abdominal wall defects had the highest detection rate (95.6%), followed by anomalies of the nervous system (66.3%), skeletal malformations (33.8%), facial defects (30.8%) and cardiac anomalies (37.7%)</w:t>
      </w:r>
      <w:r w:rsidR="000C37AE">
        <w:rPr>
          <w:rStyle w:val="citebib"/>
          <w:rFonts w:ascii="Times New Roman" w:hAnsi="Times New Roman" w:cs="Times New Roman"/>
          <w:vertAlign w:val="superscript"/>
        </w:rPr>
        <w:t>16</w:t>
      </w:r>
      <w:r w:rsidRPr="00D17A5D">
        <w:rPr>
          <w:rFonts w:ascii="Times New Roman" w:hAnsi="Times New Roman" w:cs="Times New Roman"/>
        </w:rPr>
        <w:t xml:space="preserve">. Among the cardiac anomalies, severe defects were discovered in 57.9% of cases, while mild defects such as isolated ventricular septal defects were rarely detected (2.6%). Gastrointestinal anomalies had the lowest detection rate at only 4.1%. Strength of this study included the large sample size and rigorous implementation of a structured anatomic protocol, which resulted in higher detection rates compared to many previous studies. The authors confirmed an association between increased </w:t>
      </w:r>
      <w:r w:rsidRPr="00D17A5D">
        <w:rPr>
          <w:rStyle w:val="allcaps"/>
          <w:rFonts w:ascii="Times New Roman" w:hAnsi="Times New Roman" w:cs="Times New Roman"/>
        </w:rPr>
        <w:t>NT</w:t>
      </w:r>
      <w:r w:rsidRPr="00D17A5D">
        <w:rPr>
          <w:rFonts w:ascii="Times New Roman" w:hAnsi="Times New Roman" w:cs="Times New Roman"/>
        </w:rPr>
        <w:t xml:space="preserve"> and certain severe anomalies, such as heart defects, holoprosencephaly and megacystis. However, the study also has limitations including the retrospective design and lack of consistency in postnatal confirmation of anomalies, so subtle defects may have been missed. Details on genetic abnormalities were not fully available, as many pregnancies with severe malformations were terminated without genetic testing. The authors concluded that this study supported the implementation of a standardized anatomical protocol during first trimester ultrasoun</w:t>
      </w:r>
      <w:bookmarkStart w:id="4" w:name="bm_tab_cite_d_Table_2_"/>
      <w:sdt>
        <w:sdtPr>
          <w:rPr>
            <w:rFonts w:ascii="Times New Roman" w:hAnsi="Times New Roman" w:cs="Times New Roman"/>
          </w:rPr>
          <w:alias w:val="Table Citation"/>
          <w:tag w:val="tab_cite"/>
          <w:id w:val="1945026930"/>
          <w:placeholder>
            <w:docPart w:val="DefaultPlaceholder_1082065158"/>
          </w:placeholder>
        </w:sdtPr>
        <w:sdtEndPr>
          <w:rPr>
            <w:rStyle w:val="TableCitation"/>
          </w:rPr>
        </w:sdtEndPr>
        <w:sdtContent>
          <w:r w:rsidRPr="00D17A5D">
            <w:rPr>
              <w:rFonts w:ascii="Times New Roman" w:hAnsi="Times New Roman" w:cs="Times New Roman"/>
            </w:rPr>
            <w:t>d (</w:t>
          </w:r>
          <w:r w:rsidRPr="00D17A5D">
            <w:rPr>
              <w:rStyle w:val="TableCitation"/>
              <w:rFonts w:ascii="Times New Roman" w:hAnsi="Times New Roman" w:cs="Times New Roman"/>
            </w:rPr>
            <w:t>Table 2.</w:t>
          </w:r>
          <w:bookmarkEnd w:id="4"/>
        </w:sdtContent>
      </w:sdt>
      <w:r w:rsidRPr="00D17A5D">
        <w:rPr>
          <w:rStyle w:val="TableCitation"/>
          <w:rFonts w:ascii="Times New Roman" w:hAnsi="Times New Roman" w:cs="Times New Roman"/>
        </w:rPr>
        <w:t>2</w:t>
      </w:r>
      <w:r w:rsidRPr="00D17A5D">
        <w:rPr>
          <w:rFonts w:ascii="Times New Roman" w:hAnsi="Times New Roman" w:cs="Times New Roman"/>
        </w:rPr>
        <w:t xml:space="preserve">) to improve early detection of fetal structural anomalies </w:t>
      </w:r>
      <w:r w:rsidR="000C37AE">
        <w:rPr>
          <w:rStyle w:val="citebib"/>
          <w:rFonts w:ascii="Times New Roman" w:hAnsi="Times New Roman" w:cs="Times New Roman"/>
          <w:vertAlign w:val="superscript"/>
        </w:rPr>
        <w:t>16</w:t>
      </w:r>
      <w:r w:rsidRPr="00D17A5D">
        <w:rPr>
          <w:rFonts w:ascii="Times New Roman" w:hAnsi="Times New Roman" w:cs="Times New Roman"/>
        </w:rPr>
        <w:t>. While it cannot replace mid-trimester anomaly scans, early screening can speed up diagnosis and allow earlier decision making and counseling, especially for severe or lethal conditions. Follow-up tests can be offered to avoid false-positive and false-negative findings. Details of individual detection rates by organ system are presented as tables in the various chapters in the second part of this book.</w:t>
      </w:r>
    </w:p>
    <w:p w:rsidR="00EC52A2" w:rsidRPr="00D17A5D" w:rsidRDefault="000468CF">
      <w:pPr>
        <w:pStyle w:val="PMI"/>
        <w:widowControl w:val="0"/>
        <w:spacing w:after="0" w:line="480" w:lineRule="auto"/>
      </w:pPr>
      <w:r w:rsidRPr="00D17A5D">
        <w:rPr>
          <w:rFonts w:ascii="Times New Roman" w:hAnsi="Times New Roman" w:cs="Times New Roman"/>
        </w:rPr>
        <w:t>&lt;</w:t>
      </w:r>
      <w:sdt>
        <w:sdtPr>
          <w:rPr>
            <w:rFonts w:ascii="Times New Roman" w:hAnsi="Times New Roman" w:cs="Times New Roman"/>
          </w:rPr>
          <w:alias w:val="Table Citation"/>
          <w:tag w:val="tab_cite"/>
          <w:id w:val="-282270169"/>
          <w:placeholder>
            <w:docPart w:val="DefaultPlaceholder_1082065158"/>
          </w:placeholder>
        </w:sdtPr>
        <w:sdtEndPr>
          <w:rPr>
            <w:rStyle w:val="TablePMI"/>
          </w:rPr>
        </w:sdtEndPr>
        <w:sdtContent>
          <w:r w:rsidRPr="00D17A5D">
            <w:rPr>
              <w:rStyle w:val="allcaps"/>
              <w:rFonts w:ascii="Times New Roman" w:hAnsi="Times New Roman" w:cs="Times New Roman"/>
            </w:rPr>
            <w:t>TAB</w:t>
          </w:r>
          <w:r w:rsidRPr="00D17A5D">
            <w:rPr>
              <w:rStyle w:val="TablePMI"/>
              <w:rFonts w:ascii="Times New Roman" w:hAnsi="Times New Roman" w:cs="Times New Roman"/>
            </w:rPr>
            <w:t xml:space="preserve"> 2-3</w:t>
          </w:r>
        </w:sdtContent>
      </w:sdt>
      <w:r w:rsidRPr="00D17A5D">
        <w:rPr>
          <w:rFonts w:ascii="Times New Roman" w:hAnsi="Times New Roman" w:cs="Times New Roman"/>
        </w:rPr>
        <w:t>&gt;</w:t>
      </w:r>
    </w:p>
    <w:p w:rsidR="00EC52A2" w:rsidRPr="00D17A5D" w:rsidRDefault="000468CF">
      <w:pPr>
        <w:pStyle w:val="H1"/>
        <w:keepNext w:val="0"/>
        <w:widowControl w:val="0"/>
        <w:spacing w:line="480" w:lineRule="auto"/>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&lt;H1&gt;</w:t>
      </w:r>
      <w:r w:rsidRPr="00D17A5D">
        <w:rPr>
          <w:rFonts w:ascii="Times New Roman" w:hAnsi="Times New Roman" w:cs="Times New Roman"/>
          <w:sz w:val="24"/>
          <w:szCs w:val="24"/>
          <w:lang w:val="en-US"/>
        </w:rPr>
        <w:t>Systematic Review and Meta-analysis of Common Non-cardiac Anomalies</w:t>
      </w:r>
    </w:p>
    <w:p w:rsidR="00EC52A2" w:rsidRPr="00D17A5D" w:rsidRDefault="000468CF">
      <w:pPr>
        <w:pStyle w:val="TXT-FLUSH0"/>
        <w:widowControl w:val="0"/>
        <w:suppressAutoHyphens/>
        <w:spacing w:line="480" w:lineRule="auto"/>
        <w:jc w:val="both"/>
      </w:pPr>
      <w:r w:rsidRPr="00D17A5D">
        <w:t xml:space="preserve">Another important study was published in 2024 in a manuscript entitled “Detection of Non-Cardiac Fetal Abnormalities on Ultrasound at 11–14 Weeks: Systematic Review and Meta-Analysis” by Karim et al </w:t>
      </w:r>
      <w:r w:rsidR="000C37AE">
        <w:rPr>
          <w:rStyle w:val="citebib"/>
          <w:vertAlign w:val="superscript"/>
        </w:rPr>
        <w:t>17</w:t>
      </w:r>
      <w:r w:rsidRPr="00D17A5D">
        <w:t xml:space="preserve">.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w:t>
      </w:r>
      <w:r w:rsidR="000C37AE">
        <w:rPr>
          <w:rStyle w:val="citebib"/>
          <w:vertAlign w:val="superscript"/>
        </w:rPr>
        <w:t>17</w:t>
      </w:r>
      <w:r w:rsidRPr="00D17A5D">
        <w:t xml:space="preserve">. These anomalies are listed in </w:t>
      </w:r>
      <w:r w:rsidRPr="00D17A5D">
        <w:rPr>
          <w:rStyle w:val="TableCitation"/>
        </w:rPr>
        <w:t>Table 2.4</w:t>
      </w:r>
      <w:r w:rsidRPr="00D17A5D">
        <w:t xml:space="preserve">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w:t>
      </w:r>
      <w:r w:rsidRPr="00D17A5D">
        <w:rPr>
          <w:rStyle w:val="TableCitation"/>
        </w:rPr>
        <w:t>Table 2.5</w:t>
      </w:r>
      <w:r w:rsidRPr="00D17A5D">
        <w:t>. The authors divided the anomalies into four different subgroups according to the detection rate (</w:t>
      </w:r>
      <w:r w:rsidRPr="00D17A5D">
        <w:rPr>
          <w:rStyle w:val="TableCitation"/>
        </w:rPr>
        <w:t>Table 2.5</w:t>
      </w:r>
      <w:r w:rsidRPr="00D17A5D">
        <w:t xml:space="preserve">).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w:t>
      </w:r>
      <w:r w:rsidRPr="00D17A5D">
        <w:rPr>
          <w:rStyle w:val="AbbreviationExpansion"/>
        </w:rPr>
        <w:t>lower urinary tract obstruction</w:t>
      </w:r>
      <w:r w:rsidRPr="00D17A5D">
        <w:t xml:space="preserve"> (</w:t>
      </w:r>
      <w:r w:rsidRPr="00D17A5D">
        <w:rPr>
          <w:rStyle w:val="Abbreviation"/>
        </w:rPr>
        <w:t>LUTO</w:t>
      </w:r>
      <w:r w:rsidRPr="00D17A5D">
        <w:t xml:space="preserve">)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w:t>
      </w:r>
      <w:r w:rsidRPr="00D17A5D">
        <w:rPr>
          <w:rStyle w:val="TableCitation"/>
        </w:rPr>
        <w:t>Table 2.5</w:t>
      </w:r>
      <w:r w:rsidRPr="00D17A5D">
        <w:t xml:space="preserve"> summarizes details within each group.</w:t>
      </w:r>
    </w:p>
    <w:p w:rsidR="00EC52A2" w:rsidRPr="00D17A5D" w:rsidRDefault="000468CF" w:rsidP="00A86B80">
      <w:pPr>
        <w:pStyle w:val="PMI"/>
        <w:widowControl w:val="0"/>
        <w:spacing w:after="0" w:line="480" w:lineRule="auto"/>
        <w:rPr>
          <w:rFonts w:eastAsia="Helvetica Neue Light"/>
        </w:rPr>
      </w:pPr>
      <w:r w:rsidRPr="00D17A5D">
        <w:rPr>
          <w:rStyle w:val="Tag"/>
        </w:rPr>
        <w:t>&lt;</w:t>
      </w:r>
      <w:sdt>
        <w:sdtPr>
          <w:rPr>
            <w:rStyle w:val="Tag"/>
          </w:rPr>
          <w:alias w:val="Table Citation"/>
          <w:tag w:val="tab_cite"/>
          <w:id w:val="-1856722143"/>
          <w:placeholder>
            <w:docPart w:val="DefaultPlaceholder_1082065158"/>
          </w:placeholder>
        </w:sdtPr>
        <w:sdtEndPr>
          <w:rPr>
            <w:rStyle w:val="Tag"/>
          </w:rPr>
        </w:sdtEndPr>
        <w:sdtContent>
          <w:r w:rsidRPr="00D17A5D">
            <w:rPr>
              <w:rStyle w:val="Tag"/>
            </w:rPr>
            <w:t>TAB 2-4</w:t>
          </w:r>
        </w:sdtContent>
      </w:sdt>
      <w:sdt>
        <w:sdtPr>
          <w:rPr>
            <w:rStyle w:val="Tag"/>
          </w:rPr>
          <w:alias w:val="Table Citation"/>
          <w:tag w:val="tab_cite"/>
          <w:id w:val="-1389259607"/>
          <w:placeholder>
            <w:docPart w:val="DefaultPlaceholder_1082065158"/>
          </w:placeholder>
        </w:sdtPr>
        <w:sdtEndPr>
          <w:rPr>
            <w:rStyle w:val="TablePMI"/>
          </w:rPr>
        </w:sdtEndPr>
        <w:sdtContent>
          <w:r w:rsidRPr="00D17A5D">
            <w:rPr>
              <w:rStyle w:val="Tag"/>
            </w:rPr>
            <w:t>&gt;</w:t>
          </w:r>
          <w:r w:rsidRPr="00D17A5D">
            <w:t>&lt;</w:t>
          </w:r>
          <w:r w:rsidRPr="00D17A5D">
            <w:rPr>
              <w:rStyle w:val="allcaps"/>
            </w:rPr>
            <w:t>TAB</w:t>
          </w:r>
          <w:r w:rsidRPr="00D17A5D">
            <w:rPr>
              <w:rStyle w:val="TablePMI"/>
            </w:rPr>
            <w:t xml:space="preserve"> 2</w:t>
          </w:r>
        </w:sdtContent>
      </w:sdt>
      <w:r w:rsidRPr="00D17A5D">
        <w:rPr>
          <w:rStyle w:val="TablePMI"/>
        </w:rPr>
        <w:t>-5</w:t>
      </w:r>
      <w:r w:rsidRPr="00D17A5D">
        <w:t>&gt;</w:t>
      </w:r>
    </w:p>
    <w:p w:rsidR="00EC52A2" w:rsidRPr="00D17A5D" w:rsidRDefault="000468CF">
      <w:pPr>
        <w:pStyle w:val="TXT0"/>
        <w:widowControl w:val="0"/>
        <w:suppressAutoHyphens/>
        <w:spacing w:line="480" w:lineRule="auto"/>
        <w:ind w:firstLine="720"/>
        <w:jc w:val="both"/>
        <w:rPr>
          <w:rFonts w:eastAsia="Helvetica Neue Light"/>
        </w:rPr>
      </w:pPr>
      <w:r w:rsidRPr="00D17A5D">
        <w:t xml:space="preserve">This study also found that several factors influenced detection rates </w:t>
      </w:r>
      <w:r w:rsidR="000C37AE">
        <w:rPr>
          <w:rStyle w:val="citebib"/>
          <w:vertAlign w:val="superscript"/>
        </w:rPr>
        <w:t>17</w:t>
      </w:r>
      <w:r w:rsidRPr="00D17A5D">
        <w:t>. One of the most important was the use of a standardized anatomical imaging protocol. Studies in which such protocols were used had a higher overall detection rate (67.55%) than studies in which this was not the case (44.55%). In particular, the detection of spina bifida, facial clefts and limb reduction defects — conditions traditionally considered difficult to diagnose - was significantly improved by the presence of a formal protocol</w:t>
      </w:r>
      <w:r w:rsidR="000C37AE">
        <w:rPr>
          <w:rStyle w:val="citebib"/>
          <w:vertAlign w:val="superscript"/>
        </w:rPr>
        <w:t>17</w:t>
      </w:r>
      <w:r w:rsidRPr="00D17A5D">
        <w:t xml:space="preserve">. In addition, the analysis showed a marked improvement in detection sensitivity over time in more recent studies, particularly those published after 2010, reflecting technological advances and increasing clinician experience. Interestingly, the type of ultrasound examination -whether transabdominal alone or combined with transvaginal- had no significant impact on detection rates. Most studies used a combination of both modalities, and the authors concluded that tailored approaches based on maternal and fetal factors are likely to provide the best results </w:t>
      </w:r>
      <w:r w:rsidR="000C37AE">
        <w:rPr>
          <w:rStyle w:val="citebib"/>
          <w:vertAlign w:val="superscript"/>
        </w:rPr>
        <w:t>17</w:t>
      </w:r>
      <w:r w:rsidRPr="00D17A5D">
        <w:t xml:space="preserve">. A common false positive finding is the presence of a bowel-only omphalocele in euploid fetuses, that subsequently resolved, but after removing these cases from the analysis, the reported false-positive rate was very low at 0.13%. Strengths of this study include the large pooled population, the methodological approach and the focus on general obstetric populations rather than high-risk referrals </w:t>
      </w:r>
      <w:r w:rsidR="000C37AE">
        <w:rPr>
          <w:rStyle w:val="citebib"/>
          <w:vertAlign w:val="superscript"/>
        </w:rPr>
        <w:t>17</w:t>
      </w:r>
      <w:r w:rsidRPr="00D17A5D">
        <w:t xml:space="preserve">. However, the authors also acknowledge limitations, including potential publication bias, the predominance of data from tertiary care centers, variability in sonographer experience, imaging protocols, and confirmation of follow-up, which could affect the assessment of accuracy. In summary, these results demonstrate that a first trimester ultrasound-based screening for anomalies has the potential to detect a number of common congenital anomalies at an earlier gestational age </w:t>
      </w:r>
      <w:r w:rsidR="000C37AE">
        <w:rPr>
          <w:rStyle w:val="citebib"/>
          <w:vertAlign w:val="superscript"/>
        </w:rPr>
        <w:t>17</w:t>
      </w:r>
      <w:r w:rsidRPr="00D17A5D">
        <w:t xml:space="preserve">. The authors emphasize that a major advantage of early screening is that it allows for timely counseling, further testing and treatment planning </w:t>
      </w:r>
      <w:r w:rsidR="000C37AE">
        <w:rPr>
          <w:rStyle w:val="citebib"/>
          <w:vertAlign w:val="superscript"/>
        </w:rPr>
        <w:t>17</w:t>
      </w:r>
      <w:r w:rsidRPr="00D17A5D">
        <w:t>.</w:t>
      </w:r>
    </w:p>
    <w:p w:rsidR="00EC52A2" w:rsidRPr="00D17A5D" w:rsidRDefault="000468CF">
      <w:pPr>
        <w:pStyle w:val="H1"/>
        <w:keepNext w:val="0"/>
        <w:widowControl w:val="0"/>
        <w:spacing w:line="480" w:lineRule="auto"/>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&lt;H1&gt;</w:t>
      </w:r>
      <w:r w:rsidRPr="00D17A5D">
        <w:rPr>
          <w:rFonts w:ascii="Times New Roman" w:hAnsi="Times New Roman" w:cs="Times New Roman"/>
          <w:sz w:val="24"/>
          <w:szCs w:val="24"/>
          <w:lang w:val="en-US"/>
        </w:rPr>
        <w:t>Cochrane Review on Diagnostic Accuracy of First and Second Trimester Ultrasound Examinations</w:t>
      </w:r>
    </w:p>
    <w:p w:rsidR="00EC52A2" w:rsidRPr="00D17A5D" w:rsidRDefault="000468CF" w:rsidP="00492379">
      <w:pPr>
        <w:pStyle w:val="TXT-FLUSH1"/>
      </w:pPr>
      <w:r w:rsidRPr="00D17A5D">
        <w:rPr>
          <w:rFonts w:ascii="Times New Roman" w:hAnsi="Times New Roman" w:cs="Times New Roman"/>
        </w:rPr>
        <w:t xml:space="preserve">The Cochrane systematic review entitled “Diagnostic Accuracy of Ultrasound Screening for Fetal Structural Abnormalities during the First and Second Trimester of Pregnancy in Low-risk and Unselected Populations“ by Buijtendijk et al. </w:t>
      </w:r>
      <w:r w:rsidR="000C37AE">
        <w:rPr>
          <w:rStyle w:val="citebib"/>
          <w:rFonts w:ascii="Times New Roman" w:hAnsi="Times New Roman" w:cs="Times New Roman"/>
          <w:vertAlign w:val="superscript"/>
        </w:rPr>
        <w:t>18</w:t>
      </w:r>
      <w:r w:rsidRPr="00D17A5D">
        <w:rPr>
          <w:rFonts w:ascii="Times New Roman" w:hAnsi="Times New Roman" w:cs="Times New Roman"/>
        </w:rPr>
        <w:t xml:space="preserve"> provides in its version of 2024 a comprehensive up-to-date and important evidence-based assessment of the existing literature on the subject. Structural anomalies affect approximately 3% of all live births worldwide and can lead to significant morbidity or mortality. Detecting these anomalies early in pregnancy is crucial for parental counseling, medical planning, and potential interventions, including pregnancy termination in severe cases or passionate care depending on the local policy of the country.</w:t>
      </w:r>
    </w:p>
    <w:p w:rsidR="00EC52A2" w:rsidRPr="00D17A5D" w:rsidRDefault="000468CF">
      <w:pPr>
        <w:pStyle w:val="TXT"/>
        <w:widowControl w:val="0"/>
        <w:spacing w:after="0" w:line="480" w:lineRule="auto"/>
        <w:ind w:firstLine="720"/>
        <w:rPr>
          <w:rFonts w:ascii="Times New Roman" w:hAnsi="Times New Roman" w:cs="Times New Roman"/>
        </w:rPr>
      </w:pPr>
      <w:r w:rsidRPr="00D17A5D">
        <w:rPr>
          <w:rFonts w:ascii="Times New Roman" w:hAnsi="Times New Roman" w:cs="Times New Roman"/>
        </w:rPr>
        <w:t xml:space="preserve">The authors reviewed data from 87 studies between 1997 and 2022, covering over 7 million fetuses from low-risk pregnancies, including more than 25,000 with structural anomalies </w:t>
      </w:r>
      <w:r w:rsidR="000C37AE">
        <w:rPr>
          <w:rStyle w:val="citebib"/>
          <w:rFonts w:ascii="Times New Roman" w:hAnsi="Times New Roman" w:cs="Times New Roman"/>
          <w:vertAlign w:val="superscript"/>
        </w:rPr>
        <w:t>18</w:t>
      </w:r>
      <w:r w:rsidRPr="00D17A5D">
        <w:rPr>
          <w:rFonts w:ascii="Times New Roman" w:hAnsi="Times New Roman" w:cs="Times New Roman"/>
        </w:rPr>
        <w:t xml:space="preserve">. They assessed the accuracy of fetal ultrasound in detecting both major and minor anomalies before 14- and 24-weeks’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w:t>
      </w:r>
      <w:r w:rsidR="000C37AE">
        <w:rPr>
          <w:rStyle w:val="citebib"/>
          <w:rFonts w:ascii="Times New Roman" w:hAnsi="Times New Roman" w:cs="Times New Roman"/>
          <w:vertAlign w:val="superscript"/>
        </w:rPr>
        <w:t>18</w:t>
      </w:r>
      <w:r w:rsidRPr="00D17A5D">
        <w:rPr>
          <w:rFonts w:ascii="Times New Roman" w:hAnsi="Times New Roman" w:cs="Times New Roman"/>
        </w:rPr>
        <w:t xml:space="preserve">. The analyzed data showed that the strategy with a single-stage second-trimester scan had an overall sensitivity of 50.5% and specificity in 99.8% in detecting fetal structural anomalies with the detection rates varying widely across categories as shown in </w:t>
      </w:r>
      <w:r w:rsidRPr="00D17A5D">
        <w:rPr>
          <w:rStyle w:val="FigureCitation"/>
          <w:rFonts w:ascii="Times New Roman" w:hAnsi="Times New Roman" w:cs="Times New Roman"/>
        </w:rPr>
        <w:t>Figure 2.1</w:t>
      </w:r>
      <w:r w:rsidRPr="00D17A5D">
        <w:rPr>
          <w:rFonts w:ascii="Times New Roman" w:hAnsi="Times New Roman" w:cs="Times New Roman"/>
        </w:rPr>
        <w:t>. In the two-stage approach the overall sensitivity of the first-trimester scan was 37.5% for detection of structural anomalies (</w:t>
      </w:r>
      <w:r w:rsidRPr="00D17A5D">
        <w:rPr>
          <w:rStyle w:val="FigureCitation"/>
          <w:rFonts w:ascii="Times New Roman" w:hAnsi="Times New Roman" w:cs="Times New Roman"/>
        </w:rPr>
        <w:t>Fig. 2.2</w:t>
      </w:r>
      <w:r w:rsidRPr="00D17A5D">
        <w:rPr>
          <w:rFonts w:ascii="Times New Roman" w:hAnsi="Times New Roman" w:cs="Times New Roman"/>
        </w:rPr>
        <w:t>) and an overall specificity of 99.9%, but interestingly the two-stage screening reached a combined sensitivity of an overall 83.8% (</w:t>
      </w:r>
      <w:r w:rsidRPr="00D17A5D">
        <w:rPr>
          <w:rStyle w:val="FigureCitation"/>
          <w:rFonts w:ascii="Times New Roman" w:hAnsi="Times New Roman" w:cs="Times New Roman"/>
        </w:rPr>
        <w:t>Fig. 2.3</w:t>
      </w:r>
      <w:r w:rsidRPr="00D17A5D">
        <w:rPr>
          <w:rFonts w:ascii="Times New Roman" w:hAnsi="Times New Roman" w:cs="Times New Roman"/>
        </w:rPr>
        <w:t xml:space="preserve">) with a specificity of 99.9% </w:t>
      </w:r>
      <w:r w:rsidR="000C37AE">
        <w:rPr>
          <w:rStyle w:val="citebib"/>
          <w:rFonts w:ascii="Times New Roman" w:hAnsi="Times New Roman" w:cs="Times New Roman"/>
          <w:vertAlign w:val="superscript"/>
        </w:rPr>
        <w:t>18</w:t>
      </w:r>
      <w:r w:rsidRPr="00D17A5D">
        <w:rPr>
          <w:rFonts w:ascii="Times New Roman" w:hAnsi="Times New Roman" w:cs="Times New Roman"/>
        </w:rPr>
        <w:t xml:space="preserve">. </w:t>
      </w:r>
    </w:p>
    <w:p w:rsidR="00EC52A2" w:rsidRPr="00D17A5D" w:rsidRDefault="000468CF" w:rsidP="00492379">
      <w:pPr>
        <w:pStyle w:val="PMI"/>
      </w:pPr>
      <w:r w:rsidRPr="00D17A5D">
        <w:rPr>
          <w:rStyle w:val="Tag"/>
          <w:rFonts w:ascii="Times New Roman" w:hAnsi="Times New Roman" w:cs="Times New Roman"/>
        </w:rPr>
        <w:t>&lt;</w:t>
      </w:r>
      <w:sdt>
        <w:sdtPr>
          <w:rPr>
            <w:rStyle w:val="Tag"/>
            <w:rFonts w:ascii="Times New Roman" w:hAnsi="Times New Roman" w:cs="Times New Roman"/>
          </w:rPr>
          <w:alias w:val="Figure Citation"/>
          <w:tag w:val="fig_cite"/>
          <w:id w:val="-1509129460"/>
          <w:placeholder>
            <w:docPart w:val="DefaultPlaceholder_1082065158"/>
          </w:placeholder>
        </w:sdtPr>
        <w:sdtEndPr>
          <w:rPr>
            <w:rStyle w:val="Tag"/>
          </w:rPr>
        </w:sdtEndPr>
        <w:sdtContent>
          <w:r w:rsidRPr="00D17A5D">
            <w:rPr>
              <w:rStyle w:val="Tag"/>
              <w:rFonts w:ascii="Times New Roman" w:hAnsi="Times New Roman" w:cs="Times New Roman"/>
            </w:rPr>
            <w:t>FIG 2-1</w:t>
          </w:r>
        </w:sdtContent>
      </w:sdt>
      <w:sdt>
        <w:sdtPr>
          <w:rPr>
            <w:rStyle w:val="Tag"/>
            <w:rFonts w:ascii="Times New Roman" w:hAnsi="Times New Roman" w:cs="Times New Roman"/>
          </w:rPr>
          <w:alias w:val="Figure Citation"/>
          <w:tag w:val="fig_cite"/>
          <w:id w:val="-1917157512"/>
          <w:placeholder>
            <w:docPart w:val="DefaultPlaceholder_1082065158"/>
          </w:placeholder>
        </w:sdtPr>
        <w:sdtEndPr>
          <w:rPr>
            <w:rStyle w:val="FigurePMI"/>
          </w:rPr>
        </w:sdtEndPr>
        <w:sdtContent>
          <w:r w:rsidRPr="00D17A5D">
            <w:rPr>
              <w:rStyle w:val="Tag"/>
              <w:rFonts w:ascii="Times New Roman" w:hAnsi="Times New Roman" w:cs="Times New Roman"/>
            </w:rPr>
            <w:t>&gt;</w:t>
          </w:r>
          <w:r w:rsidRPr="00D17A5D">
            <w:rPr>
              <w:rFonts w:ascii="Times New Roman" w:hAnsi="Times New Roman" w:cs="Times New Roman"/>
            </w:rPr>
            <w:t>&lt;</w:t>
          </w:r>
          <w:r w:rsidRPr="00D17A5D">
            <w:rPr>
              <w:rStyle w:val="allcaps"/>
              <w:rFonts w:ascii="Times New Roman" w:hAnsi="Times New Roman" w:cs="Times New Roman"/>
            </w:rPr>
            <w:t>FIG</w:t>
          </w:r>
          <w:r w:rsidRPr="00D17A5D">
            <w:rPr>
              <w:rStyle w:val="FigurePMI"/>
              <w:rFonts w:ascii="Times New Roman" w:hAnsi="Times New Roman" w:cs="Times New Roman"/>
            </w:rPr>
            <w:t xml:space="preserve"> 2</w:t>
          </w:r>
        </w:sdtContent>
      </w:sdt>
      <w:sdt>
        <w:sdtPr>
          <w:rPr>
            <w:rStyle w:val="FigurePMI"/>
            <w:rFonts w:ascii="Times New Roman" w:hAnsi="Times New Roman" w:cs="Times New Roman"/>
          </w:rPr>
          <w:alias w:val="Figure Citation"/>
          <w:tag w:val="fig_cite"/>
          <w:id w:val="227970184"/>
          <w:placeholder>
            <w:docPart w:val="DefaultPlaceholder_1082065158"/>
          </w:placeholder>
        </w:sdtPr>
        <w:sdtEndPr>
          <w:rPr>
            <w:rStyle w:val="allcaps"/>
          </w:rPr>
        </w:sdtEndPr>
        <w:sdtContent>
          <w:r w:rsidRPr="00D17A5D">
            <w:rPr>
              <w:rStyle w:val="FigurePMI"/>
              <w:rFonts w:ascii="Times New Roman" w:hAnsi="Times New Roman" w:cs="Times New Roman"/>
            </w:rPr>
            <w:t>-2</w:t>
          </w:r>
          <w:r w:rsidRPr="00D17A5D">
            <w:rPr>
              <w:rFonts w:ascii="Times New Roman" w:hAnsi="Times New Roman" w:cs="Times New Roman"/>
            </w:rPr>
            <w:t>&gt;&lt;</w:t>
          </w:r>
          <w:r w:rsidRPr="00D17A5D">
            <w:rPr>
              <w:rStyle w:val="allcaps"/>
              <w:rFonts w:ascii="Times New Roman" w:hAnsi="Times New Roman" w:cs="Times New Roman"/>
            </w:rPr>
            <w:t>FIG</w:t>
          </w:r>
        </w:sdtContent>
      </w:sdt>
      <w:r w:rsidRPr="00D17A5D">
        <w:rPr>
          <w:rStyle w:val="FigurePMI"/>
          <w:rFonts w:ascii="Times New Roman" w:hAnsi="Times New Roman" w:cs="Times New Roman"/>
        </w:rPr>
        <w:t xml:space="preserve"> 2-3</w:t>
      </w:r>
      <w:r w:rsidRPr="00D17A5D">
        <w:rPr>
          <w:rFonts w:ascii="Times New Roman" w:hAnsi="Times New Roman" w:cs="Times New Roman"/>
        </w:rPr>
        <w:t>&gt;</w:t>
      </w:r>
    </w:p>
    <w:p w:rsidR="00EC52A2" w:rsidRPr="00D17A5D" w:rsidRDefault="000468CF">
      <w:pPr>
        <w:pStyle w:val="TXT"/>
        <w:widowControl w:val="0"/>
        <w:spacing w:after="0" w:line="480" w:lineRule="auto"/>
        <w:ind w:firstLine="720"/>
        <w:rPr>
          <w:rFonts w:ascii="Times New Roman" w:hAnsi="Times New Roman" w:cs="Times New Roman"/>
        </w:rPr>
      </w:pPr>
      <w:r w:rsidRPr="00D17A5D">
        <w:rPr>
          <w:rFonts w:ascii="Times New Roman" w:hAnsi="Times New Roman" w:cs="Times New Roman"/>
        </w:rPr>
        <w:t>In conclusion, the review supports continuing the use of routine second-trimester scans and suggests that adding a first-trimester scan can improve early detection of structural anomalies. However, this two-stage approach should be adopted carefully, with attention to potential false positives and variability in detection capability depending on the anomaly type and gestational timing. The evidence also emphasizes the need for standardized training, imaging protocols, and healthcare system infrastructure to optimize screening outcomes across different populations.</w:t>
      </w:r>
    </w:p>
    <w:p w:rsidR="00EC52A2" w:rsidRPr="00D17A5D" w:rsidRDefault="000468CF">
      <w:pPr>
        <w:pStyle w:val="H1"/>
        <w:keepNext w:val="0"/>
        <w:widowControl w:val="0"/>
        <w:spacing w:line="480" w:lineRule="auto"/>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&lt;H1&gt;</w:t>
      </w:r>
      <w:r w:rsidRPr="00D17A5D">
        <w:rPr>
          <w:rFonts w:ascii="Times New Roman" w:hAnsi="Times New Roman" w:cs="Times New Roman"/>
          <w:sz w:val="24"/>
          <w:szCs w:val="24"/>
          <w:lang w:val="en-US"/>
        </w:rPr>
        <w:t>Conclusion</w:t>
      </w:r>
    </w:p>
    <w:p w:rsidR="00EC52A2" w:rsidRPr="00D17A5D" w:rsidRDefault="000468CF">
      <w:pPr>
        <w:pStyle w:val="TXT-FLUSH1"/>
        <w:widowControl w:val="0"/>
        <w:jc w:val="both"/>
        <w:rPr>
          <w:rFonts w:ascii="Times New Roman" w:hAnsi="Times New Roman" w:cs="Times New Roman"/>
          <w:sz w:val="24"/>
          <w:szCs w:val="24"/>
          <w:lang w:val="en-US"/>
        </w:rPr>
      </w:pPr>
      <w:r w:rsidRPr="00D17A5D">
        <w:rPr>
          <w:rFonts w:ascii="Times New Roman" w:hAnsi="Times New Roman" w:cs="Times New Roman"/>
          <w:sz w:val="24"/>
          <w:szCs w:val="24"/>
          <w:lang w:val="en-US"/>
        </w:rPr>
        <w:t xml:space="preserve">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w:t>
      </w:r>
      <w:r w:rsidR="000C37AE">
        <w:rPr>
          <w:rStyle w:val="citebib"/>
          <w:rFonts w:ascii="Times New Roman" w:hAnsi="Times New Roman" w:cs="Times New Roman"/>
          <w:szCs w:val="24"/>
          <w:vertAlign w:val="superscript"/>
          <w:lang w:val="en-US"/>
        </w:rPr>
        <w:t>15</w:t>
      </w:r>
      <w:r w:rsidRPr="00D17A5D">
        <w:rPr>
          <w:rFonts w:ascii="Times New Roman" w:hAnsi="Times New Roman" w:cs="Times New Roman"/>
          <w:sz w:val="24"/>
          <w:szCs w:val="24"/>
          <w:lang w:val="en-US"/>
        </w:rPr>
        <w:t xml:space="preserve"> and China </w:t>
      </w:r>
      <w:r w:rsidR="000C37AE">
        <w:rPr>
          <w:rStyle w:val="citebib"/>
          <w:rFonts w:ascii="Times New Roman" w:hAnsi="Times New Roman" w:cs="Times New Roman"/>
          <w:szCs w:val="24"/>
          <w:vertAlign w:val="superscript"/>
          <w:lang w:val="en-US"/>
        </w:rPr>
        <w:t>16</w:t>
      </w:r>
      <w:r w:rsidRPr="00D17A5D">
        <w:rPr>
          <w:rFonts w:ascii="Times New Roman" w:hAnsi="Times New Roman" w:cs="Times New Roman"/>
          <w:sz w:val="24"/>
          <w:szCs w:val="24"/>
          <w:lang w:val="en-US"/>
        </w:rPr>
        <w:t xml:space="preserve"> as well as large meta-analyses </w:t>
      </w:r>
      <w:r w:rsidR="000C37AE">
        <w:rPr>
          <w:rStyle w:val="citebib"/>
          <w:rFonts w:ascii="Times New Roman" w:hAnsi="Times New Roman" w:cs="Times New Roman"/>
          <w:szCs w:val="24"/>
          <w:vertAlign w:val="superscript"/>
          <w:lang w:val="en-US"/>
        </w:rPr>
        <w:t>3</w:t>
      </w:r>
      <w:r w:rsidRPr="00D17A5D">
        <w:rPr>
          <w:rStyle w:val="superscript"/>
          <w:rFonts w:ascii="Times New Roman" w:hAnsi="Times New Roman" w:cs="Times New Roman"/>
          <w:sz w:val="24"/>
          <w:szCs w:val="24"/>
          <w:vertAlign w:val="superscript"/>
          <w:lang w:val="en-US"/>
        </w:rPr>
        <w:t>,</w:t>
      </w:r>
      <w:r w:rsidR="000C37AE">
        <w:rPr>
          <w:rStyle w:val="citebib"/>
          <w:rFonts w:ascii="Times New Roman" w:hAnsi="Times New Roman" w:cs="Times New Roman"/>
          <w:szCs w:val="24"/>
          <w:vertAlign w:val="superscript"/>
          <w:lang w:val="en-US"/>
        </w:rPr>
        <w:t>17</w:t>
      </w:r>
      <w:r w:rsidRPr="00D17A5D">
        <w:rPr>
          <w:rFonts w:ascii="Times New Roman" w:hAnsi="Times New Roman" w:cs="Times New Roman"/>
          <w:sz w:val="24"/>
          <w:szCs w:val="24"/>
          <w:lang w:val="en-US"/>
        </w:rPr>
        <w:t xml:space="preserve"> have shown that detection rates of most anomalies can be improved when examinations are performed according to systematic, protocol-based, approaches by trained personnel. In the various studies and metaanalyses, the reported overall first-trimester detection rates are 27.6% </w:t>
      </w:r>
      <w:r w:rsidR="000C37AE">
        <w:rPr>
          <w:rStyle w:val="citebib"/>
          <w:rFonts w:ascii="Times New Roman" w:hAnsi="Times New Roman" w:cs="Times New Roman"/>
          <w:szCs w:val="24"/>
          <w:vertAlign w:val="superscript"/>
          <w:lang w:val="en-US"/>
        </w:rPr>
        <w:t>15</w:t>
      </w:r>
      <w:r w:rsidRPr="00D17A5D">
        <w:rPr>
          <w:rFonts w:ascii="Times New Roman" w:hAnsi="Times New Roman" w:cs="Times New Roman"/>
          <w:sz w:val="24"/>
          <w:szCs w:val="24"/>
          <w:lang w:val="en-US"/>
        </w:rPr>
        <w:t xml:space="preserve">, 32.4% </w:t>
      </w:r>
      <w:r w:rsidR="000C37AE">
        <w:rPr>
          <w:rStyle w:val="citebib"/>
          <w:rFonts w:ascii="Times New Roman" w:hAnsi="Times New Roman" w:cs="Times New Roman"/>
          <w:szCs w:val="24"/>
          <w:vertAlign w:val="superscript"/>
          <w:lang w:val="en-US"/>
        </w:rPr>
        <w:t>3</w:t>
      </w:r>
      <w:r w:rsidRPr="00D17A5D">
        <w:rPr>
          <w:rFonts w:ascii="Times New Roman" w:hAnsi="Times New Roman" w:cs="Times New Roman"/>
          <w:sz w:val="24"/>
          <w:szCs w:val="24"/>
          <w:lang w:val="en-US"/>
        </w:rPr>
        <w:t xml:space="preserve">, 37.5% </w:t>
      </w:r>
      <w:r w:rsidR="000C37AE">
        <w:rPr>
          <w:rStyle w:val="citebib"/>
          <w:rFonts w:ascii="Times New Roman" w:hAnsi="Times New Roman" w:cs="Times New Roman"/>
          <w:szCs w:val="24"/>
          <w:vertAlign w:val="superscript"/>
          <w:lang w:val="en-US"/>
        </w:rPr>
        <w:t>18</w:t>
      </w:r>
      <w:r w:rsidRPr="00D17A5D">
        <w:rPr>
          <w:rFonts w:ascii="Times New Roman" w:hAnsi="Times New Roman" w:cs="Times New Roman"/>
          <w:sz w:val="24"/>
          <w:szCs w:val="24"/>
          <w:lang w:val="en-US"/>
        </w:rPr>
        <w:t xml:space="preserve">, 43.1% </w:t>
      </w:r>
      <w:r w:rsidR="000C37AE">
        <w:rPr>
          <w:rStyle w:val="citebib"/>
          <w:rFonts w:ascii="Times New Roman" w:hAnsi="Times New Roman" w:cs="Times New Roman"/>
          <w:szCs w:val="24"/>
          <w:vertAlign w:val="superscript"/>
          <w:lang w:val="en-US"/>
        </w:rPr>
        <w:t>16</w:t>
      </w:r>
      <w:r w:rsidRPr="00D17A5D">
        <w:rPr>
          <w:rFonts w:ascii="Times New Roman" w:hAnsi="Times New Roman" w:cs="Times New Roman"/>
          <w:sz w:val="24"/>
          <w:szCs w:val="24"/>
          <w:lang w:val="en-US"/>
        </w:rPr>
        <w:t xml:space="preserve"> or up to 61.2% </w:t>
      </w:r>
      <w:r w:rsidR="000C37AE">
        <w:rPr>
          <w:rStyle w:val="citebib"/>
          <w:rFonts w:ascii="Times New Roman" w:hAnsi="Times New Roman" w:cs="Times New Roman"/>
          <w:szCs w:val="24"/>
          <w:vertAlign w:val="superscript"/>
          <w:lang w:val="en-US"/>
        </w:rPr>
        <w:t>3</w:t>
      </w:r>
      <w:r w:rsidRPr="00D17A5D">
        <w:rPr>
          <w:rFonts w:ascii="Times New Roman" w:hAnsi="Times New Roman" w:cs="Times New Roman"/>
          <w:sz w:val="24"/>
          <w:szCs w:val="24"/>
          <w:lang w:val="en-US"/>
        </w:rPr>
        <w:t xml:space="preserve">, which shows that follow-up in the second trimester is still necessary. The Cochrane review presented </w:t>
      </w:r>
      <w:r w:rsidR="000C37AE">
        <w:rPr>
          <w:rStyle w:val="citebib"/>
          <w:rFonts w:ascii="Times New Roman" w:hAnsi="Times New Roman" w:cs="Times New Roman"/>
          <w:szCs w:val="24"/>
          <w:vertAlign w:val="superscript"/>
          <w:lang w:val="en-US"/>
        </w:rPr>
        <w:t>18</w:t>
      </w:r>
      <w:r w:rsidRPr="00D17A5D">
        <w:rPr>
          <w:rFonts w:ascii="Times New Roman" w:hAnsi="Times New Roman" w:cs="Times New Roman"/>
          <w:sz w:val="24"/>
          <w:szCs w:val="24"/>
          <w:lang w:val="en-US"/>
        </w:rPr>
        <w:t xml:space="preserve"> emphasizes that while first trimester scans have significant diagnostic value, they should not replace, but complement second trimester anatomical examinations. While a second trimester scan has a detection rate of 50.5%, a two-stage approach—a combination of early and mid-pregnancy scans—results in the highest overall detection rate of 83.8%, supporting the introduction of an early scan into clinical practice </w:t>
      </w:r>
      <w:r w:rsidR="000C37AE">
        <w:rPr>
          <w:rStyle w:val="citebib"/>
          <w:rFonts w:ascii="Times New Roman" w:hAnsi="Times New Roman" w:cs="Times New Roman"/>
          <w:szCs w:val="24"/>
          <w:vertAlign w:val="superscript"/>
          <w:lang w:val="en-US"/>
        </w:rPr>
        <w:t>18</w:t>
      </w:r>
      <w:r w:rsidRPr="00D17A5D">
        <w:rPr>
          <w:rFonts w:ascii="Times New Roman" w:hAnsi="Times New Roman" w:cs="Times New Roman"/>
          <w:sz w:val="24"/>
          <w:szCs w:val="24"/>
          <w:lang w:val="en-US"/>
        </w:rPr>
        <w:t xml:space="preserve">.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w:t>
      </w:r>
    </w:p>
    <w:p w:rsidR="00EC52A2" w:rsidRPr="00D17A5D" w:rsidRDefault="000468CF">
      <w:pPr>
        <w:pStyle w:val="KP-H1"/>
        <w:keepNext w:val="0"/>
        <w:widowControl w:val="0"/>
        <w:spacing w:line="480" w:lineRule="auto"/>
        <w:rPr>
          <w:rFonts w:ascii="Times New Roman" w:hAnsi="Times New Roman" w:cs="Times New Roman"/>
          <w:sz w:val="24"/>
          <w:szCs w:val="24"/>
          <w:lang w:val="en-US"/>
        </w:rPr>
      </w:pPr>
      <w:r w:rsidRPr="00D17A5D">
        <w:rPr>
          <w:rStyle w:val="Tag"/>
          <w:rFonts w:ascii="Times New Roman" w:hAnsi="Times New Roman" w:cs="Times New Roman"/>
          <w:sz w:val="24"/>
          <w:szCs w:val="24"/>
          <w:lang w:val="en-US"/>
        </w:rPr>
        <w:t>&lt;KP&gt;</w:t>
      </w:r>
      <w:r w:rsidRPr="00D17A5D">
        <w:rPr>
          <w:rFonts w:ascii="Times New Roman" w:hAnsi="Times New Roman" w:cs="Times New Roman"/>
          <w:sz w:val="24"/>
          <w:szCs w:val="24"/>
          <w:lang w:val="en-US"/>
        </w:rPr>
        <w:t>Key Points:</w:t>
      </w:r>
      <w:r w:rsidRPr="00D17A5D">
        <w:rPr>
          <w:rFonts w:ascii="Times New Roman" w:hAnsi="Times New Roman" w:cs="Times New Roman"/>
          <w:b w:val="0"/>
          <w:bCs w:val="0"/>
          <w:color w:val="0433FF"/>
          <w:sz w:val="24"/>
          <w:szCs w:val="24"/>
          <w:lang w:val="en-US"/>
        </w:rPr>
        <w:t xml:space="preserve"> </w:t>
      </w:r>
      <w:r w:rsidRPr="00D17A5D">
        <w:rPr>
          <w:rFonts w:ascii="Times New Roman" w:hAnsi="Times New Roman" w:cs="Times New Roman"/>
          <w:sz w:val="24"/>
          <w:szCs w:val="24"/>
          <w:lang w:val="en-US"/>
        </w:rPr>
        <w:t>Screening Studies and Performance of the First Trimester Ultrasound Examination</w:t>
      </w:r>
    </w:p>
    <w:p w:rsidR="00EC52A2" w:rsidRPr="00D17A5D" w:rsidRDefault="000468CF" w:rsidP="00492379">
      <w:pPr>
        <w:pStyle w:val="PMI"/>
      </w:pPr>
      <w:r w:rsidRPr="00D17A5D">
        <w:rPr>
          <w:rStyle w:val="Tag"/>
          <w:rFonts w:ascii="Times New Roman" w:hAnsi="Times New Roman" w:cs="Times New Roman"/>
          <w:color w:val="auto"/>
        </w:rPr>
        <w:t>&lt;BL1&gt;</w:t>
      </w:r>
    </w:p>
    <w:p w:rsidR="00EC52A2" w:rsidRPr="00D17A5D" w:rsidRDefault="00056FBF" w:rsidP="00056FBF">
      <w:pPr>
        <w:pStyle w:val="KP-BL-FIRST"/>
        <w:keepNext w:val="0"/>
        <w:widowControl w:val="0"/>
        <w:spacing w:line="480" w:lineRule="auto"/>
        <w:ind w:left="360" w:hanging="360"/>
        <w:rPr>
          <w:rFonts w:ascii="Times New Roman" w:hAnsi="Times New Roman" w:cs="Times New Roman"/>
          <w:color w:val="auto"/>
          <w:sz w:val="24"/>
          <w:szCs w:val="24"/>
        </w:rPr>
      </w:pPr>
      <w:r w:rsidRPr="00D17A5D">
        <w:rPr>
          <w:rFonts w:ascii="Symbol" w:hAnsi="Symbol" w:cs="Times New Roman"/>
          <w:b w:val="0"/>
          <w:color w:val="auto"/>
          <w:sz w:val="24"/>
          <w:szCs w:val="24"/>
        </w:rPr>
        <w:t></w:t>
      </w:r>
      <w:r w:rsidRPr="00D17A5D">
        <w:rPr>
          <w:rFonts w:ascii="Symbol" w:hAnsi="Symbol" w:cs="Times New Roman"/>
          <w:b w:val="0"/>
          <w:color w:val="auto"/>
          <w:sz w:val="24"/>
          <w:szCs w:val="24"/>
        </w:rPr>
        <w:tab/>
      </w:r>
      <w:r w:rsidR="000468CF" w:rsidRPr="00D17A5D">
        <w:rPr>
          <w:rFonts w:ascii="Times New Roman" w:hAnsi="Times New Roman" w:cs="Times New Roman"/>
          <w:color w:val="auto"/>
          <w:sz w:val="24"/>
          <w:szCs w:val="24"/>
          <w:lang w:val="en-US"/>
        </w:rPr>
        <w:t xml:space="preserve"> The performance of the </w:t>
      </w:r>
      <w:r w:rsidR="000468CF" w:rsidRPr="00D17A5D">
        <w:rPr>
          <w:rFonts w:ascii="Times New Roman" w:hAnsi="Times New Roman" w:cs="Times New Roman"/>
          <w:color w:val="auto"/>
          <w:sz w:val="24"/>
          <w:szCs w:val="24"/>
        </w:rPr>
        <w:t>fetal anatomic survey in the first trimester is enhanced if a systematic approach and a standardized unit protocol is employed.</w:t>
      </w:r>
    </w:p>
    <w:p w:rsidR="00EC52A2" w:rsidRPr="00D17A5D" w:rsidRDefault="00056FBF" w:rsidP="00056FBF">
      <w:pPr>
        <w:pStyle w:val="KP-BL2-MID"/>
        <w:widowControl w:val="0"/>
        <w:spacing w:line="480" w:lineRule="auto"/>
        <w:ind w:left="1077" w:hanging="360"/>
        <w:jc w:val="both"/>
        <w:rPr>
          <w:rFonts w:ascii="Times New Roman" w:eastAsia="Arial Unicode MS" w:hAnsi="Times New Roman" w:cs="Times New Roman"/>
        </w:rPr>
      </w:pPr>
      <w:r w:rsidRPr="00D17A5D">
        <w:rPr>
          <w:rFonts w:ascii="Courier New" w:eastAsia="Arial Unicode MS" w:hAnsi="Courier New" w:cs="Times New Roman"/>
        </w:rPr>
        <w:t>o</w:t>
      </w:r>
      <w:r w:rsidRPr="00D17A5D">
        <w:rPr>
          <w:rFonts w:ascii="Courier New" w:eastAsia="Arial Unicode MS" w:hAnsi="Courier New" w:cs="Times New Roman"/>
        </w:rPr>
        <w:tab/>
      </w:r>
      <w:r w:rsidR="000468CF" w:rsidRPr="00D17A5D">
        <w:rPr>
          <w:rFonts w:ascii="Times New Roman" w:eastAsia="Arial Unicode MS" w:hAnsi="Times New Roman" w:cs="Times New Roman"/>
        </w:rPr>
        <w:t xml:space="preserve">In Syngelaki study </w:t>
      </w:r>
      <w:r w:rsidR="000C37AE">
        <w:rPr>
          <w:rStyle w:val="citebib"/>
          <w:rFonts w:ascii="Times New Roman" w:eastAsia="Arial Unicode MS" w:hAnsi="Times New Roman" w:cs="Times New Roman"/>
          <w:vertAlign w:val="superscript"/>
        </w:rPr>
        <w:t>15</w:t>
      </w:r>
      <w:r w:rsidR="000468CF" w:rsidRPr="00D17A5D">
        <w:rPr>
          <w:rFonts w:ascii="Times New Roman" w:eastAsia="Arial Unicode MS" w:hAnsi="Times New Roman" w:cs="Times New Roman"/>
        </w:rPr>
        <w:t>, 27.6% of all non-chromosomal fetal structural anomalies were detected in the first trimester screening ultrasound.</w:t>
      </w:r>
    </w:p>
    <w:p w:rsidR="00EC52A2" w:rsidRPr="00D17A5D" w:rsidRDefault="00056FBF" w:rsidP="00056FBF">
      <w:pPr>
        <w:pStyle w:val="KP-BL2-MID"/>
        <w:widowControl w:val="0"/>
        <w:spacing w:line="480" w:lineRule="auto"/>
        <w:ind w:left="1077" w:hanging="360"/>
        <w:jc w:val="both"/>
        <w:rPr>
          <w:rFonts w:ascii="Times New Roman" w:eastAsia="Arial Unicode MS" w:hAnsi="Times New Roman" w:cs="Times New Roman"/>
        </w:rPr>
      </w:pPr>
      <w:r w:rsidRPr="00D17A5D">
        <w:rPr>
          <w:rFonts w:ascii="Courier New" w:eastAsia="Arial Unicode MS" w:hAnsi="Courier New" w:cs="Times New Roman"/>
        </w:rPr>
        <w:t>o</w:t>
      </w:r>
      <w:r w:rsidRPr="00D17A5D">
        <w:rPr>
          <w:rFonts w:ascii="Courier New" w:eastAsia="Arial Unicode MS" w:hAnsi="Courier New" w:cs="Times New Roman"/>
        </w:rPr>
        <w:tab/>
      </w:r>
      <w:r w:rsidR="000468CF" w:rsidRPr="00D17A5D">
        <w:rPr>
          <w:rFonts w:ascii="Times New Roman" w:eastAsia="Arial Unicode MS" w:hAnsi="Times New Roman" w:cs="Times New Roman"/>
        </w:rPr>
        <w:t>Consistently detected anomalies in the first trimester include acrania, alobar holoprosencephaly, encephalocele, large anterior wall defects, severe cardiac anomalies and body-stalk anomaly.</w:t>
      </w:r>
    </w:p>
    <w:p w:rsidR="00EC52A2" w:rsidRPr="00D17A5D" w:rsidRDefault="00056FBF" w:rsidP="00056FBF">
      <w:pPr>
        <w:pStyle w:val="KP-BL2-MID"/>
        <w:widowControl w:val="0"/>
        <w:spacing w:line="480" w:lineRule="auto"/>
        <w:ind w:left="1077" w:hanging="360"/>
        <w:jc w:val="both"/>
        <w:rPr>
          <w:rFonts w:ascii="Times New Roman" w:eastAsia="Arial Unicode MS" w:hAnsi="Times New Roman" w:cs="Times New Roman"/>
        </w:rPr>
      </w:pPr>
      <w:r w:rsidRPr="00D17A5D">
        <w:rPr>
          <w:rFonts w:ascii="Courier New" w:eastAsia="Arial Unicode MS" w:hAnsi="Courier New" w:cs="Times New Roman"/>
        </w:rPr>
        <w:t>o</w:t>
      </w:r>
      <w:r w:rsidRPr="00D17A5D">
        <w:rPr>
          <w:rFonts w:ascii="Courier New" w:eastAsia="Arial Unicode MS" w:hAnsi="Courier New" w:cs="Times New Roman"/>
        </w:rPr>
        <w:tab/>
      </w:r>
      <w:r w:rsidR="000468CF" w:rsidRPr="00D17A5D">
        <w:rPr>
          <w:rFonts w:ascii="Times New Roman" w:eastAsia="Arial Unicode MS" w:hAnsi="Times New Roman" w:cs="Times New Roman"/>
        </w:rPr>
        <w:t>Following a first trimester screening ultrasound examination, detailed anatomic screening in the second and/or third trimester is still recommended as some severe anomalies escape detection in early gestation.</w:t>
      </w:r>
    </w:p>
    <w:p w:rsidR="00EC52A2" w:rsidRPr="00D17A5D" w:rsidRDefault="00056FBF" w:rsidP="00056FBF">
      <w:pPr>
        <w:pStyle w:val="KP-BL2-MID"/>
        <w:widowControl w:val="0"/>
        <w:spacing w:line="480" w:lineRule="auto"/>
        <w:ind w:left="1077" w:hanging="360"/>
        <w:jc w:val="both"/>
        <w:rPr>
          <w:rFonts w:ascii="Times New Roman" w:eastAsia="Arial Unicode MS" w:hAnsi="Times New Roman" w:cs="Times New Roman"/>
        </w:rPr>
      </w:pPr>
      <w:r w:rsidRPr="00D17A5D">
        <w:rPr>
          <w:rFonts w:ascii="Courier New" w:eastAsia="Arial Unicode MS" w:hAnsi="Courier New" w:cs="Times New Roman"/>
        </w:rPr>
        <w:t>o</w:t>
      </w:r>
      <w:r w:rsidRPr="00D17A5D">
        <w:rPr>
          <w:rFonts w:ascii="Courier New" w:eastAsia="Arial Unicode MS" w:hAnsi="Courier New" w:cs="Times New Roman"/>
        </w:rPr>
        <w:tab/>
      </w:r>
      <w:r w:rsidR="000468CF" w:rsidRPr="00D17A5D">
        <w:rPr>
          <w:rFonts w:ascii="Times New Roman" w:eastAsia="Arial Unicode MS" w:hAnsi="Times New Roman" w:cs="Times New Roman"/>
        </w:rPr>
        <w:t>A common false positive finding in the first trimester ultrasound examination is the presence of a bowel-only omphalocele, in euploid fetuses, which subsequently resolves.</w:t>
      </w:r>
    </w:p>
    <w:p w:rsidR="00EC52A2" w:rsidRPr="00D17A5D" w:rsidRDefault="00056FBF" w:rsidP="00056FBF">
      <w:pPr>
        <w:pStyle w:val="KP-BL2-MID"/>
        <w:widowControl w:val="0"/>
        <w:spacing w:line="480" w:lineRule="auto"/>
        <w:ind w:left="1077" w:hanging="360"/>
        <w:jc w:val="both"/>
        <w:rPr>
          <w:rFonts w:ascii="Times New Roman" w:eastAsia="Arial Unicode MS" w:hAnsi="Times New Roman" w:cs="Times New Roman"/>
        </w:rPr>
      </w:pPr>
      <w:r w:rsidRPr="00D17A5D">
        <w:rPr>
          <w:rFonts w:ascii="Courier New" w:eastAsia="Arial Unicode MS" w:hAnsi="Courier New" w:cs="Times New Roman"/>
        </w:rPr>
        <w:t>o</w:t>
      </w:r>
      <w:r w:rsidRPr="00D17A5D">
        <w:rPr>
          <w:rFonts w:ascii="Courier New" w:eastAsia="Arial Unicode MS" w:hAnsi="Courier New" w:cs="Times New Roman"/>
        </w:rPr>
        <w:tab/>
      </w:r>
      <w:r w:rsidR="000468CF" w:rsidRPr="00D17A5D">
        <w:rPr>
          <w:rFonts w:ascii="Times New Roman" w:eastAsia="Arial Unicode MS" w:hAnsi="Times New Roman" w:cs="Times New Roman"/>
        </w:rPr>
        <w:t xml:space="preserve">Based on the Cochrane review </w:t>
      </w:r>
      <w:r w:rsidR="000C37AE">
        <w:rPr>
          <w:rStyle w:val="citebib"/>
          <w:rFonts w:ascii="Times New Roman" w:eastAsia="Arial Unicode MS" w:hAnsi="Times New Roman" w:cs="Times New Roman"/>
          <w:vertAlign w:val="superscript"/>
        </w:rPr>
        <w:t>18</w:t>
      </w:r>
      <w:r w:rsidR="000468CF" w:rsidRPr="00D17A5D">
        <w:rPr>
          <w:rFonts w:ascii="Times New Roman" w:eastAsia="Arial Unicode MS" w:hAnsi="Times New Roman" w:cs="Times New Roman"/>
        </w:rPr>
        <w:t xml:space="preserve">, a strategy of a single-stage second-trimester scan has an overall sensitivity of 50.5% and specificity in 99.8% in detecting fetal structural anomalies, whereas a two-stage approach of first and second trimester scan has a combined sensitivity of an overall 83.8% with a specificity of 99.9%. </w:t>
      </w:r>
    </w:p>
    <w:p w:rsidR="00EC52A2" w:rsidRPr="00D17A5D" w:rsidRDefault="000468CF">
      <w:pPr>
        <w:widowControl w:val="0"/>
        <w:spacing w:line="480" w:lineRule="auto"/>
        <w:jc w:val="both"/>
      </w:pPr>
      <w:r w:rsidRPr="00D17A5D">
        <w:rPr>
          <w:rStyle w:val="Tag"/>
        </w:rPr>
        <w:t>&lt;/BL1&gt;</w:t>
      </w:r>
    </w:p>
    <w:p w:rsidR="00EC52A2" w:rsidRPr="00D17A5D" w:rsidRDefault="000468CF">
      <w:pPr>
        <w:widowControl w:val="0"/>
        <w:spacing w:line="480" w:lineRule="auto"/>
        <w:jc w:val="both"/>
      </w:pPr>
      <w:r w:rsidRPr="00D17A5D">
        <w:t>&lt;/KP&gt;</w:t>
      </w:r>
      <w:r w:rsidRPr="00D17A5D">
        <w:br w:type="page"/>
      </w:r>
    </w:p>
    <w:p w:rsidR="00EC52A2" w:rsidRPr="00D17A5D" w:rsidRDefault="000468CF" w:rsidP="00730A4B">
      <w:pPr>
        <w:pStyle w:val="REFH1"/>
      </w:pPr>
      <w:r w:rsidRPr="00D17A5D">
        <w:rPr>
          <w:rStyle w:val="Tag"/>
          <w:rFonts w:ascii="Times New Roman" w:hAnsi="Times New Roman" w:cs="Times New Roman"/>
          <w:b/>
          <w:bCs/>
          <w:color w:val="EE220C"/>
          <w:sz w:val="24"/>
          <w:szCs w:val="24"/>
          <w:lang w:eastAsia="de-DE"/>
          <w14:textOutline w14:w="0" w14:cap="flat" w14:cmpd="sng" w14:algn="ctr">
            <w14:noFill/>
            <w14:prstDash w14:val="solid"/>
            <w14:bevel/>
          </w14:textOutline>
        </w:rPr>
        <w:t>&lt;H1&gt;</w:t>
      </w:r>
      <w:r w:rsidRPr="00D17A5D">
        <w:rPr>
          <w:rFonts w:ascii="Times New Roman" w:hAnsi="Times New Roman" w:cs="Times New Roman"/>
          <w:b/>
          <w:bCs/>
          <w:color w:val="EE220C"/>
          <w:sz w:val="24"/>
          <w:szCs w:val="24"/>
          <w:lang w:eastAsia="de-DE"/>
          <w14:textOutline w14:w="0" w14:cap="flat" w14:cmpd="sng" w14:algn="ctr">
            <w14:noFill/>
            <w14:prstDash w14:val="solid"/>
            <w14:bevel/>
          </w14:textOutline>
        </w:rPr>
        <w:t>References</w:t>
      </w:r>
    </w:p>
    <w:p w:rsidR="000C37AE" w:rsidRDefault="000C37AE" w:rsidP="000C37AE">
      <w:pPr>
        <w:pStyle w:val="REF-N"/>
      </w:pPr>
      <w:r>
        <w:t>1 Syngelaki A, Chelemen T, Dagklis T, Allan L, Nicolaides KH. Challenges in the diagnosis of fetal non-chromosomal abnormalities at 11-13 weeks. Prenat Diagn. 2011;31(1):90-102. doi:10.1002/pd.2642</w:t>
      </w:r>
    </w:p>
    <w:p w:rsidR="000C37AE" w:rsidRDefault="000C37AE">
      <w:pPr>
        <w:widowControl w:val="0"/>
        <w:spacing w:line="480" w:lineRule="auto"/>
        <w:rPr>
          <w:i/>
          <w:iCs/>
        </w:rPr>
      </w:pPr>
    </w:p>
    <w:p w:rsidR="000C37AE" w:rsidRDefault="000C37AE" w:rsidP="000C37AE">
      <w:pPr>
        <w:pStyle w:val="REF-N"/>
      </w:pPr>
      <w:r>
        <w:t>2 Achiron R, Achiron A. Transvaginal ultrasonic assessment of the early fetal brain. Ultrasound Obstet Gynecol. 1991;1(5):336-344. doi:10.1046/j.1469-0705.1991.01050336.x</w:t>
      </w:r>
    </w:p>
    <w:p w:rsidR="000C37AE" w:rsidRDefault="000C37AE">
      <w:pPr>
        <w:widowControl w:val="0"/>
        <w:spacing w:line="480" w:lineRule="auto"/>
        <w:rPr>
          <w:i/>
          <w:iCs/>
        </w:rPr>
      </w:pPr>
    </w:p>
    <w:p w:rsidR="000C37AE" w:rsidRDefault="000C37AE" w:rsidP="000C37AE">
      <w:pPr>
        <w:pStyle w:val="REF-N"/>
      </w:pPr>
      <w:r>
        <w:t>3 Karim JN, Roberts NW, Salomon LJ, Papageorghiou AT. Systematic review of first‐trimester ultrasound screening for detection of fetal structural anomalies and factors that affect screening performance. Ultrasound Obstet Gynecol. 2016;50(4):429-441. doi:10.1002/uog.17246</w:t>
      </w:r>
    </w:p>
    <w:p w:rsidR="000C37AE" w:rsidRDefault="000C37AE">
      <w:pPr>
        <w:widowControl w:val="0"/>
        <w:spacing w:line="480" w:lineRule="auto"/>
        <w:rPr>
          <w:i/>
          <w:iCs/>
        </w:rPr>
      </w:pPr>
    </w:p>
    <w:p w:rsidR="000C37AE" w:rsidRDefault="000C37AE" w:rsidP="000C37AE">
      <w:pPr>
        <w:pStyle w:val="REF-N"/>
      </w:pPr>
      <w:r>
        <w:t>4 Achiron R, Tadmor O. Screening for fetal anomalies during the first trimester of pregnancy: transvaginal versus transabdominal sonography. Ultrasound Obstet Gynecol. 1991;1(3):186-191. doi:10.1046/j.1469-0705.1991.01030186.x</w:t>
      </w:r>
    </w:p>
    <w:p w:rsidR="000C37AE" w:rsidRDefault="000C37AE">
      <w:pPr>
        <w:widowControl w:val="0"/>
        <w:spacing w:line="480" w:lineRule="auto"/>
        <w:rPr>
          <w:i/>
          <w:iCs/>
        </w:rPr>
      </w:pPr>
    </w:p>
    <w:p w:rsidR="000C37AE" w:rsidRDefault="000C37AE" w:rsidP="000C37AE">
      <w:pPr>
        <w:pStyle w:val="REF-N"/>
      </w:pPr>
      <w:r>
        <w:t>5 Blaas HG, Eik-Nes SH, Kiserud T, Hellevik LR. Early development of the forebrain and midbrain: a longitudinal ultrasound study from 7 to 12 weeks of gestation. Ultrasound Obstet Gynecol. 1994;4(3):183-192. doi:10.1046/j.1469-0705.1994.04030183.x</w:t>
      </w:r>
    </w:p>
    <w:p w:rsidR="000C37AE" w:rsidRDefault="000C37AE">
      <w:pPr>
        <w:widowControl w:val="0"/>
        <w:spacing w:line="480" w:lineRule="auto"/>
        <w:rPr>
          <w:i/>
          <w:iCs/>
        </w:rPr>
      </w:pPr>
    </w:p>
    <w:p w:rsidR="000C37AE" w:rsidRDefault="000C37AE" w:rsidP="000C37AE">
      <w:pPr>
        <w:pStyle w:val="REF-N"/>
      </w:pPr>
      <w:r>
        <w:t>6 Bronshtein M, Blumenfeld Z. Transvaginal sonography-detection of findings suggestive of fetal chromosomal anomalies in the first and early second trimesters. Prenat Diagn. 1992;12(7):587-593.</w:t>
      </w:r>
    </w:p>
    <w:p w:rsidR="000C37AE" w:rsidRDefault="000C37AE">
      <w:pPr>
        <w:widowControl w:val="0"/>
        <w:spacing w:line="480" w:lineRule="auto"/>
        <w:rPr>
          <w:i/>
          <w:iCs/>
        </w:rPr>
      </w:pPr>
    </w:p>
    <w:p w:rsidR="000C37AE" w:rsidRDefault="000C37AE" w:rsidP="000C37AE">
      <w:pPr>
        <w:pStyle w:val="REF-N"/>
      </w:pPr>
      <w:r>
        <w:t>7 Bronshtein M, Siegler E, Eshcoli Z, Zimmer EZ. Transvaginal ultrasound measurements of the fetal heart at 11 to 17 weeks of gestation. Am J Perinat. 1992;9(1):38-42. doi:10.1055/s-2007-994667</w:t>
      </w:r>
    </w:p>
    <w:p w:rsidR="000C37AE" w:rsidRDefault="000C37AE">
      <w:pPr>
        <w:widowControl w:val="0"/>
        <w:spacing w:line="480" w:lineRule="auto"/>
        <w:rPr>
          <w:i/>
          <w:iCs/>
        </w:rPr>
      </w:pPr>
    </w:p>
    <w:p w:rsidR="000C37AE" w:rsidRDefault="000C37AE" w:rsidP="000C37AE">
      <w:pPr>
        <w:pStyle w:val="REF-N"/>
      </w:pPr>
      <w:r>
        <w:t>8 Gembruch U, Knopfle G, Chatterjee M, Bald R, Hansmann M. First-trimester diagnosis of fetal congenital heart disease by transvaginal two-dimensional and Doppler echocardiography. Obstet Gynecol. 1990;75(3 Pt 2):496-498.</w:t>
      </w:r>
    </w:p>
    <w:p w:rsidR="000C37AE" w:rsidRDefault="000C37AE">
      <w:pPr>
        <w:widowControl w:val="0"/>
        <w:spacing w:line="480" w:lineRule="auto"/>
        <w:rPr>
          <w:i/>
          <w:iCs/>
        </w:rPr>
      </w:pPr>
    </w:p>
    <w:p w:rsidR="000C37AE" w:rsidRDefault="000C37AE" w:rsidP="000C37AE">
      <w:pPr>
        <w:pStyle w:val="REF-N"/>
      </w:pPr>
      <w:r>
        <w:t>9 Rottem S, Bronshtein M. Transvaginal sonographic diagnosis of congenital anomalies between 9 weeks and 16 weeks, menstrual age. J Clin Ultrasound. 1990;18(4):307-314.</w:t>
      </w:r>
    </w:p>
    <w:p w:rsidR="000C37AE" w:rsidRDefault="000C37AE">
      <w:pPr>
        <w:widowControl w:val="0"/>
        <w:spacing w:line="480" w:lineRule="auto"/>
        <w:rPr>
          <w:i/>
          <w:iCs/>
        </w:rPr>
      </w:pPr>
    </w:p>
    <w:p w:rsidR="000C37AE" w:rsidRDefault="000C37AE" w:rsidP="000C37AE">
      <w:pPr>
        <w:pStyle w:val="REF-N"/>
      </w:pPr>
      <w:r>
        <w:t>10 Becker R, Wegner RD. Detailed screening for fetal anomalies and cardiac defects at the 11–13-week scan. Ultrasound Obstet Gynecol. 2006;27(6):613-618. doi:10.1002/uog.2709</w:t>
      </w:r>
    </w:p>
    <w:p w:rsidR="000C37AE" w:rsidRDefault="000C37AE">
      <w:pPr>
        <w:widowControl w:val="0"/>
        <w:spacing w:line="480" w:lineRule="auto"/>
        <w:rPr>
          <w:i/>
          <w:iCs/>
        </w:rPr>
      </w:pPr>
    </w:p>
    <w:p w:rsidR="000C37AE" w:rsidRDefault="000C37AE" w:rsidP="000C37AE">
      <w:pPr>
        <w:pStyle w:val="REF-N"/>
      </w:pPr>
      <w:r>
        <w:t>11 Abu-Rustum RS, Daou L, Abu-Rustum SE. Role of first-trimester sonography in the diagnosis of aneuploidy and structural fetal anomalies. J Ultrasound Med. 2010;29(10):1445-1452.</w:t>
      </w:r>
    </w:p>
    <w:p w:rsidR="000C37AE" w:rsidRDefault="000C37AE">
      <w:pPr>
        <w:widowControl w:val="0"/>
        <w:spacing w:line="480" w:lineRule="auto"/>
        <w:rPr>
          <w:i/>
          <w:iCs/>
        </w:rPr>
      </w:pPr>
    </w:p>
    <w:p w:rsidR="000C37AE" w:rsidRDefault="000C37AE" w:rsidP="000C37AE">
      <w:pPr>
        <w:pStyle w:val="REF-N"/>
      </w:pPr>
      <w:r>
        <w:t>12 Iliescu D, Tudorache S, Com̆anescu A, Antsaklis P, Cotarcea S, Novac L, et al. Improved detection rate of structural abnormalities in the first trimester using an extended examination protocol. Ultrasound Obstet Gynecol. 2013;42(3):300-309. doi:10.1002/uog.12489</w:t>
      </w:r>
    </w:p>
    <w:p w:rsidR="000C37AE" w:rsidRDefault="000C37AE">
      <w:pPr>
        <w:widowControl w:val="0"/>
        <w:spacing w:line="480" w:lineRule="auto"/>
        <w:rPr>
          <w:i/>
          <w:iCs/>
        </w:rPr>
      </w:pPr>
    </w:p>
    <w:p w:rsidR="000C37AE" w:rsidRDefault="000C37AE" w:rsidP="000C37AE">
      <w:pPr>
        <w:pStyle w:val="REF-N"/>
      </w:pPr>
      <w:r>
        <w:t>13 Wiechec M, Knafel A, Nocun A. Prenatal detection of congenital heart defects at the 11- to 13-week scan using a simple color Doppler protocol including the 4-chamber and 3-vessel and trachea views. J Ultrasound Med. 2015;34(4):585-594. doi:10.7863/ultra.34.4.585</w:t>
      </w:r>
    </w:p>
    <w:p w:rsidR="000C37AE" w:rsidRDefault="000C37AE">
      <w:pPr>
        <w:widowControl w:val="0"/>
        <w:spacing w:line="480" w:lineRule="auto"/>
        <w:rPr>
          <w:i/>
          <w:iCs/>
        </w:rPr>
      </w:pPr>
    </w:p>
    <w:p w:rsidR="000C37AE" w:rsidRDefault="000C37AE" w:rsidP="000C37AE">
      <w:pPr>
        <w:pStyle w:val="REF-N"/>
      </w:pPr>
      <w:r>
        <w:t>14 Mieghem TV, Hindryckx A, Calsteren KV. Early fetal anatomy screening: who, what, when and why? Curr Opin Obstet Gynecol. 2015;27(2):143-150. doi:10.1097/gco.0000000000000161</w:t>
      </w:r>
    </w:p>
    <w:p w:rsidR="000C37AE" w:rsidRDefault="000C37AE">
      <w:pPr>
        <w:widowControl w:val="0"/>
        <w:spacing w:line="480" w:lineRule="auto"/>
        <w:rPr>
          <w:i/>
          <w:iCs/>
        </w:rPr>
      </w:pPr>
    </w:p>
    <w:p w:rsidR="000C37AE" w:rsidRDefault="000C37AE" w:rsidP="000C37AE">
      <w:pPr>
        <w:pStyle w:val="REF-N"/>
      </w:pPr>
      <w:r>
        <w:t>15 Syngelaki A, Hammami A, Bower S, Zidere V, Akolekar R, Nicolaides KH. Diagnosis of fetal non‐chromosomal abnormalities on routine ultrasound examination at 11–13 weeks’ gestation. Ultrasound Obstet Gynecol. 2019;54(4):468-476. doi:10.1002/uog.20844</w:t>
      </w:r>
    </w:p>
    <w:p w:rsidR="000C37AE" w:rsidRDefault="000C37AE">
      <w:pPr>
        <w:widowControl w:val="0"/>
        <w:spacing w:line="480" w:lineRule="auto"/>
        <w:rPr>
          <w:i/>
          <w:iCs/>
        </w:rPr>
      </w:pPr>
    </w:p>
    <w:p w:rsidR="000C37AE" w:rsidRDefault="000C37AE" w:rsidP="000C37AE">
      <w:pPr>
        <w:pStyle w:val="REF-N"/>
      </w:pPr>
      <w:r>
        <w:t>16 Liao Y, Wen H, Ouyang S, Yuan Y, Bi J, Guan Y, et al. Routine first-trimester ultrasound screening using a standardized anatomical protocol. Am J Obstet Gynecol. 2021;224(4):396.e1-396.e15. doi:10.1016/j.ajog.2020.10.037</w:t>
      </w:r>
    </w:p>
    <w:p w:rsidR="000C37AE" w:rsidRDefault="000C37AE">
      <w:pPr>
        <w:widowControl w:val="0"/>
        <w:spacing w:line="480" w:lineRule="auto"/>
        <w:rPr>
          <w:i/>
          <w:iCs/>
        </w:rPr>
      </w:pPr>
    </w:p>
    <w:p w:rsidR="000C37AE" w:rsidRDefault="000C37AE" w:rsidP="000C37AE">
      <w:pPr>
        <w:pStyle w:val="REF-N"/>
      </w:pPr>
      <w:r>
        <w:t>17 Karim J, Mascio DD, Roberts N, Papageorghiou AT, study for the A. Detection of non‐cardiac fetal abnormalities by ultrasound at 11–14 weeks: systematic review and meta‐analysis. Ultrasound Obstet Gynecol. Published online 2024. doi:10.1002/uog.27649</w:t>
      </w:r>
    </w:p>
    <w:p w:rsidR="000C37AE" w:rsidRDefault="000C37AE">
      <w:pPr>
        <w:widowControl w:val="0"/>
        <w:spacing w:line="480" w:lineRule="auto"/>
        <w:rPr>
          <w:i/>
          <w:iCs/>
        </w:rPr>
      </w:pPr>
    </w:p>
    <w:p w:rsidR="000C37AE" w:rsidRDefault="000C37AE" w:rsidP="000C37AE">
      <w:pPr>
        <w:pStyle w:val="REF-N"/>
      </w:pPr>
      <w:r>
        <w:t>18 Buijtendijk MF, Bet BB, Leeflang MM, Shah H, Reuvekamp T, Goring T, et al. Diagnostic accuracy of ultrasound screening for fetal structural abnormalities during the first and second trimester of pregnancy in low‐risk and unselected populations. Cochrane Database Syst Rev. 2024;2024(5):CD014715. doi:10.1002/14651858.cd014715.pub2</w:t>
      </w:r>
    </w:p>
    <w:p w:rsidR="000C37AE" w:rsidRDefault="000C37AE">
      <w:pPr>
        <w:widowControl w:val="0"/>
        <w:spacing w:line="480" w:lineRule="auto"/>
        <w:rPr>
          <w:i/>
          <w:iCs/>
        </w:rPr>
      </w:pPr>
    </w:p>
    <w:p w:rsidR="00EC52A2" w:rsidRPr="00D17A5D" w:rsidRDefault="000468CF">
      <w:pPr>
        <w:widowControl w:val="0"/>
        <w:spacing w:line="480" w:lineRule="auto"/>
        <w:rPr>
          <w:i/>
          <w:iCs/>
        </w:rPr>
      </w:pPr>
      <w:r w:rsidRPr="00D17A5D">
        <w:rPr>
          <w:i/>
          <w:iCs/>
        </w:rPr>
        <w:br w:type="page"/>
      </w:r>
    </w:p>
    <w:p w:rsidR="00EC52A2" w:rsidRPr="00D17A5D" w:rsidRDefault="000468CF" w:rsidP="00730A4B">
      <w:pPr>
        <w:pStyle w:val="PMI"/>
        <w:rPr>
          <w:b/>
        </w:rPr>
      </w:pPr>
      <w:r w:rsidRPr="00D17A5D">
        <w:rPr>
          <w:rFonts w:ascii="Times New Roman" w:hAnsi="Times New Roman" w:cs="Times New Roman"/>
          <w:b/>
        </w:rPr>
        <w:t>Legends to Figures</w:t>
      </w:r>
    </w:p>
    <w:p w:rsidR="00EC52A2" w:rsidRPr="00D17A5D" w:rsidRDefault="000468CF">
      <w:pPr>
        <w:pStyle w:val="FIG-LEG0"/>
        <w:widowControl w:val="0"/>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spacing w:line="480" w:lineRule="auto"/>
        <w:jc w:val="both"/>
        <w:rPr>
          <w:color w:val="000000"/>
          <w:lang w:eastAsia="de-DE"/>
        </w:rPr>
      </w:pPr>
      <w:r w:rsidRPr="00D17A5D">
        <w:rPr>
          <w:rStyle w:val="FIG-NUM"/>
          <w:b/>
          <w:bCs/>
          <w:color w:val="000000"/>
          <w:lang w:eastAsia="de-DE"/>
        </w:rPr>
        <w:t>Figure 2.1:</w:t>
      </w:r>
      <w:r w:rsidRPr="00D17A5D">
        <w:rPr>
          <w:color w:val="000000"/>
          <w:lang w:eastAsia="de-DE"/>
        </w:rPr>
        <w:t xml:space="preserve">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w:t>
      </w:r>
      <w:r w:rsidRPr="00D17A5D">
        <w:rPr>
          <w:rStyle w:val="allcaps"/>
          <w:color w:val="000000"/>
          <w:lang w:eastAsia="de-DE"/>
        </w:rPr>
        <w:t>CNS</w:t>
      </w:r>
      <w:r w:rsidRPr="00D17A5D">
        <w:rPr>
          <w:color w:val="000000"/>
          <w:lang w:eastAsia="de-DE"/>
        </w:rPr>
        <w:t xml:space="preserve">, central nervous system; Resp, Respiratory system; Thor/Abd, thoracic and abdominal wall; </w:t>
      </w:r>
      <w:r w:rsidRPr="00D17A5D">
        <w:rPr>
          <w:rStyle w:val="allcaps"/>
          <w:color w:val="000000"/>
          <w:lang w:eastAsia="de-DE"/>
        </w:rPr>
        <w:t>GIT</w:t>
      </w:r>
      <w:r w:rsidRPr="00D17A5D">
        <w:rPr>
          <w:color w:val="000000"/>
          <w:lang w:eastAsia="de-DE"/>
        </w:rPr>
        <w:t xml:space="preserve">, gastrointestinal tract system; </w:t>
      </w:r>
      <w:r w:rsidRPr="00D17A5D">
        <w:rPr>
          <w:rStyle w:val="allcaps"/>
          <w:color w:val="000000"/>
          <w:lang w:eastAsia="de-DE"/>
        </w:rPr>
        <w:t>UT</w:t>
      </w:r>
      <w:r w:rsidRPr="00D17A5D">
        <w:rPr>
          <w:color w:val="000000"/>
          <w:lang w:eastAsia="de-DE"/>
        </w:rPr>
        <w:t xml:space="preserve">,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w:t>
      </w:r>
      <w:r w:rsidRPr="00D17A5D">
        <w:rPr>
          <w:rStyle w:val="allcaps"/>
          <w:color w:val="000000"/>
          <w:lang w:eastAsia="de-DE"/>
        </w:rPr>
        <w:t>CD</w:t>
      </w:r>
      <w:r w:rsidRPr="00D17A5D">
        <w:rPr>
          <w:color w:val="000000"/>
          <w:lang w:eastAsia="de-DE"/>
        </w:rPr>
        <w:t>014715. Copyright of John Wiley &amp; Sons, Ltd., with permission).</w:t>
      </w:r>
    </w:p>
    <w:p w:rsidR="00EC52A2" w:rsidRPr="00D17A5D" w:rsidRDefault="000468CF">
      <w:pPr>
        <w:pStyle w:val="FIG-LEG0"/>
        <w:widowControl w:val="0"/>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spacing w:line="480" w:lineRule="auto"/>
        <w:jc w:val="both"/>
        <w:rPr>
          <w:color w:val="000000"/>
          <w:lang w:eastAsia="de-DE"/>
        </w:rPr>
      </w:pPr>
      <w:r w:rsidRPr="00D17A5D">
        <w:rPr>
          <w:rStyle w:val="FIG-NUM"/>
          <w:b/>
          <w:bCs/>
          <w:color w:val="000000"/>
          <w:lang w:eastAsia="de-DE"/>
        </w:rPr>
        <w:t>Figure 2.2:</w:t>
      </w:r>
      <w:r w:rsidRPr="00D17A5D">
        <w:rPr>
          <w:color w:val="000000"/>
          <w:lang w:eastAsia="de-DE"/>
        </w:rPr>
        <w:t xml:space="preserve">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w:t>
      </w:r>
      <w:r w:rsidRPr="00D17A5D">
        <w:rPr>
          <w:rStyle w:val="allcaps"/>
          <w:color w:val="000000"/>
          <w:lang w:eastAsia="de-DE"/>
        </w:rPr>
        <w:t>CNS</w:t>
      </w:r>
      <w:r w:rsidRPr="00D17A5D">
        <w:rPr>
          <w:color w:val="000000"/>
          <w:lang w:eastAsia="de-DE"/>
        </w:rPr>
        <w:t xml:space="preserve">, central nervous system; Resp, Respiratory system; Thor/Abd, thoracic and abdominal wall; </w:t>
      </w:r>
      <w:r w:rsidRPr="00D17A5D">
        <w:rPr>
          <w:rStyle w:val="allcaps"/>
          <w:color w:val="000000"/>
          <w:lang w:eastAsia="de-DE"/>
        </w:rPr>
        <w:t>GIT</w:t>
      </w:r>
      <w:r w:rsidRPr="00D17A5D">
        <w:rPr>
          <w:color w:val="000000"/>
          <w:lang w:eastAsia="de-DE"/>
        </w:rPr>
        <w:t xml:space="preserve">, gastrointestinal tract system; </w:t>
      </w:r>
      <w:r w:rsidRPr="00D17A5D">
        <w:rPr>
          <w:rStyle w:val="allcaps"/>
          <w:color w:val="000000"/>
          <w:lang w:eastAsia="de-DE"/>
        </w:rPr>
        <w:t>UT</w:t>
      </w:r>
      <w:r w:rsidRPr="00D17A5D">
        <w:rPr>
          <w:color w:val="000000"/>
          <w:lang w:eastAsia="de-DE"/>
        </w:rPr>
        <w:t xml:space="preserve">,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w:t>
      </w:r>
      <w:r w:rsidRPr="00D17A5D">
        <w:rPr>
          <w:rStyle w:val="allcaps"/>
          <w:color w:val="000000"/>
          <w:lang w:eastAsia="de-DE"/>
        </w:rPr>
        <w:t>CD</w:t>
      </w:r>
      <w:r w:rsidRPr="00D17A5D">
        <w:rPr>
          <w:color w:val="000000"/>
          <w:lang w:eastAsia="de-DE"/>
        </w:rPr>
        <w:t>014715. Copyright of John Wiley &amp; Sons, Ltd., with permission).</w:t>
      </w:r>
    </w:p>
    <w:p w:rsidR="00EC52A2" w:rsidRPr="00D17A5D" w:rsidRDefault="000468CF">
      <w:pPr>
        <w:pStyle w:val="FIG-LEG0"/>
        <w:widowControl w:val="0"/>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spacing w:line="480" w:lineRule="auto"/>
        <w:jc w:val="both"/>
        <w:rPr>
          <w:color w:val="000000"/>
          <w:lang w:eastAsia="de-DE"/>
        </w:rPr>
      </w:pPr>
      <w:r w:rsidRPr="00D17A5D">
        <w:rPr>
          <w:rStyle w:val="FIG-NUM"/>
          <w:b/>
          <w:bCs/>
          <w:color w:val="000000"/>
          <w:lang w:eastAsia="de-DE"/>
        </w:rPr>
        <w:t>Figure 2.3:</w:t>
      </w:r>
      <w:r w:rsidRPr="00D17A5D">
        <w:rPr>
          <w:color w:val="000000"/>
          <w:lang w:eastAsia="de-DE"/>
        </w:rPr>
        <w:t xml:space="preserve">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w:t>
      </w:r>
      <w:r w:rsidRPr="00D17A5D">
        <w:rPr>
          <w:rStyle w:val="allcaps"/>
          <w:color w:val="000000"/>
          <w:lang w:eastAsia="de-DE"/>
        </w:rPr>
        <w:t>CNS</w:t>
      </w:r>
      <w:r w:rsidRPr="00D17A5D">
        <w:rPr>
          <w:color w:val="000000"/>
          <w:lang w:eastAsia="de-DE"/>
        </w:rPr>
        <w:t xml:space="preserve">, central nervous system; Resp, Respiratory system; Thor/Abd, thoracic and abdominal wall; </w:t>
      </w:r>
      <w:r w:rsidRPr="00D17A5D">
        <w:rPr>
          <w:rStyle w:val="allcaps"/>
          <w:color w:val="000000"/>
          <w:lang w:eastAsia="de-DE"/>
        </w:rPr>
        <w:t>GIT</w:t>
      </w:r>
      <w:r w:rsidRPr="00D17A5D">
        <w:rPr>
          <w:color w:val="000000"/>
          <w:lang w:eastAsia="de-DE"/>
        </w:rPr>
        <w:t xml:space="preserve">, gastrointestinal tract system; </w:t>
      </w:r>
      <w:r w:rsidRPr="00D17A5D">
        <w:rPr>
          <w:rStyle w:val="allcaps"/>
          <w:color w:val="000000"/>
          <w:lang w:eastAsia="de-DE"/>
        </w:rPr>
        <w:t>UT</w:t>
      </w:r>
      <w:r w:rsidRPr="00D17A5D">
        <w:rPr>
          <w:color w:val="000000"/>
          <w:lang w:eastAsia="de-DE"/>
        </w:rPr>
        <w:t xml:space="preserve">,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w:t>
      </w:r>
      <w:r w:rsidRPr="00D17A5D">
        <w:rPr>
          <w:rStyle w:val="allcaps"/>
          <w:color w:val="000000"/>
          <w:lang w:eastAsia="de-DE"/>
        </w:rPr>
        <w:t>CD</w:t>
      </w:r>
      <w:r w:rsidRPr="00D17A5D">
        <w:rPr>
          <w:color w:val="000000"/>
          <w:lang w:eastAsia="de-DE"/>
        </w:rPr>
        <w:t>014715. Copyright of John Wiley &amp; Sons, Ltd., with permission).</w:t>
      </w:r>
    </w:p>
    <w:p w:rsidR="00EC52A2" w:rsidRPr="00D17A5D" w:rsidRDefault="000468CF">
      <w:pPr>
        <w:widowControl w:val="0"/>
        <w:spacing w:line="480" w:lineRule="auto"/>
        <w:rPr>
          <w:rFonts w:eastAsiaTheme="majorEastAsia"/>
          <w:b/>
          <w:bCs/>
          <w:color w:val="EE220C"/>
          <w:lang w:eastAsia="de-DE"/>
          <w14:textOutline w14:w="0" w14:cap="flat" w14:cmpd="sng" w14:algn="ctr">
            <w14:noFill/>
            <w14:prstDash w14:val="solid"/>
            <w14:bevel/>
          </w14:textOutline>
        </w:rPr>
      </w:pPr>
      <w:r w:rsidRPr="00D17A5D">
        <w:rPr>
          <w:b/>
          <w:bCs/>
          <w:color w:val="EE220C"/>
          <w:lang w:eastAsia="de-DE"/>
          <w14:textOutline w14:w="0" w14:cap="flat" w14:cmpd="sng" w14:algn="ctr">
            <w14:noFill/>
            <w14:prstDash w14:val="solid"/>
            <w14:bevel/>
          </w14:textOutline>
        </w:rPr>
        <w:br w:type="page"/>
      </w:r>
    </w:p>
    <w:p w:rsidR="00EC52A2" w:rsidRPr="00D17A5D" w:rsidRDefault="000468CF" w:rsidP="00730A4B">
      <w:pPr>
        <w:pStyle w:val="PMI"/>
        <w:rPr>
          <w:rFonts w:ascii="Times New Roman" w:hAnsi="Times New Roman" w:cs="Times New Roman"/>
          <w:b/>
          <w:bCs/>
          <w:color w:val="EE220C"/>
        </w:rPr>
      </w:pPr>
      <w:r w:rsidRPr="00D17A5D">
        <w:rPr>
          <w:rFonts w:ascii="Times New Roman" w:hAnsi="Times New Roman" w:cs="Times New Roman"/>
          <w:b/>
          <w:bCs/>
          <w:color w:val="EE220C"/>
        </w:rPr>
        <w:t>Tables</w:t>
      </w:r>
    </w:p>
    <w:p w:rsidR="00730A4B" w:rsidRPr="00D17A5D" w:rsidRDefault="00730A4B" w:rsidP="00730A4B">
      <w:pPr>
        <w:pStyle w:val="T11"/>
        <w:rPr>
          <w:b/>
          <w:bCs/>
          <w14:textOutline w14:w="12700" w14:cap="flat" w14:cmpd="sng" w14:algn="ctr">
            <w14:noFill/>
            <w14:prstDash w14:val="solid"/>
            <w14:miter w14:lim="400000"/>
          </w14:textOutline>
        </w:rPr>
      </w:pPr>
      <w:r w:rsidRPr="00D17A5D">
        <w:rPr>
          <w:rStyle w:val="TN"/>
          <w:b/>
          <w:bCs/>
          <w14:textOutline w14:w="12700" w14:cap="flat" w14:cmpd="sng" w14:algn="ctr">
            <w14:noFill/>
            <w14:prstDash w14:val="solid"/>
            <w14:miter w14:lim="400000"/>
          </w14:textOutline>
        </w:rPr>
        <w:t>Table 2.1:</w:t>
      </w:r>
      <w:r w:rsidRPr="00D17A5D">
        <w:rPr>
          <w:b/>
          <w:bCs/>
          <w14:textOutline w14:w="12700" w14:cap="flat" w14:cmpd="sng" w14:algn="ctr">
            <w14:noFill/>
            <w14:prstDash w14:val="solid"/>
            <w14:miter w14:lim="400000"/>
          </w14:textOutline>
        </w:rPr>
        <w:t xml:space="preserve"> Standardized protocol applied in the first trimester anomaly scan in two centers in London-United Kingdom</w:t>
      </w:r>
    </w:p>
    <w:tbl>
      <w:tblPr>
        <w:tblStyle w:val="TableNormal10"/>
        <w:tblW w:w="9617" w:type="dxa"/>
        <w:tblInd w:w="16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499"/>
        <w:gridCol w:w="6118"/>
      </w:tblGrid>
      <w:tr w:rsidR="00EC52A2" w:rsidRPr="00D17A5D" w:rsidTr="00730A4B">
        <w:trPr>
          <w:trHeight w:val="20"/>
        </w:trPr>
        <w:tc>
          <w:tcPr>
            <w:tcW w:w="3499"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
              <w:widowControl w:val="0"/>
              <w:tabs>
                <w:tab w:val="left" w:pos="220"/>
                <w:tab w:val="left" w:pos="720"/>
              </w:tabs>
              <w:spacing w:line="480" w:lineRule="auto"/>
              <w:jc w:val="center"/>
              <w:rPr>
                <w:rFonts w:ascii="Times New Roman" w:hAnsi="Times New Roman" w:cs="Times New Roman"/>
                <w:sz w:val="24"/>
                <w:szCs w:val="24"/>
                <w:lang w:val="en-US"/>
              </w:rPr>
            </w:pPr>
            <w:r w:rsidRPr="00D17A5D">
              <w:rPr>
                <w:rFonts w:ascii="Times New Roman" w:hAnsi="Times New Roman" w:cs="Times New Roman"/>
                <w:sz w:val="24"/>
                <w:szCs w:val="24"/>
                <w:u w:color="000000"/>
                <w:lang w:val="en-US"/>
              </w:rPr>
              <w:t>Plane</w:t>
            </w:r>
          </w:p>
        </w:tc>
        <w:tc>
          <w:tcPr>
            <w:tcW w:w="6118"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
              <w:widowControl w:val="0"/>
              <w:tabs>
                <w:tab w:val="left" w:pos="220"/>
                <w:tab w:val="left" w:pos="720"/>
              </w:tabs>
              <w:spacing w:line="480" w:lineRule="auto"/>
              <w:jc w:val="center"/>
              <w:rPr>
                <w:rFonts w:ascii="Times New Roman" w:hAnsi="Times New Roman" w:cs="Times New Roman"/>
                <w:sz w:val="24"/>
                <w:szCs w:val="24"/>
                <w:lang w:val="en-US"/>
              </w:rPr>
            </w:pPr>
            <w:r w:rsidRPr="00D17A5D">
              <w:rPr>
                <w:rFonts w:ascii="Times New Roman" w:hAnsi="Times New Roman" w:cs="Times New Roman"/>
                <w:sz w:val="24"/>
                <w:szCs w:val="24"/>
                <w:u w:color="000000"/>
                <w:lang w:val="en-US"/>
              </w:rPr>
              <w:t>Checklist</w:t>
            </w:r>
          </w:p>
        </w:tc>
      </w:tr>
      <w:tr w:rsidR="00EC52A2" w:rsidRPr="00D17A5D" w:rsidTr="00730A4B">
        <w:trPr>
          <w:trHeight w:val="415"/>
        </w:trPr>
        <w:tc>
          <w:tcPr>
            <w:tcW w:w="3499"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Head axial</w:t>
            </w:r>
          </w:p>
        </w:tc>
        <w:tc>
          <w:tcPr>
            <w:tcW w:w="611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Skull, midline echo and choroid plexuses</w:t>
            </w:r>
          </w:p>
        </w:tc>
      </w:tr>
      <w:tr w:rsidR="00EC52A2" w:rsidRPr="00D17A5D" w:rsidTr="00730A4B">
        <w:trPr>
          <w:trHeight w:val="300"/>
        </w:trPr>
        <w:tc>
          <w:tcPr>
            <w:tcW w:w="349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Face midsagittal</w:t>
            </w:r>
          </w:p>
        </w:tc>
        <w:tc>
          <w:tcPr>
            <w:tcW w:w="611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Nuchal translucency, nasal bone, midbrain and brain stem</w:t>
            </w:r>
          </w:p>
        </w:tc>
      </w:tr>
      <w:tr w:rsidR="00EC52A2" w:rsidRPr="00D17A5D" w:rsidTr="00730A4B">
        <w:trPr>
          <w:trHeight w:val="687"/>
        </w:trPr>
        <w:tc>
          <w:tcPr>
            <w:tcW w:w="3499"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Posterior fossa (introduced &gt;2011)</w:t>
            </w:r>
          </w:p>
        </w:tc>
        <w:tc>
          <w:tcPr>
            <w:tcW w:w="611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Visual assessment but no measurements of brain stem and brainstem–occipital bone diameter</w:t>
            </w:r>
          </w:p>
        </w:tc>
      </w:tr>
      <w:tr w:rsidR="00EC52A2" w:rsidRPr="00D17A5D" w:rsidTr="00730A4B">
        <w:trPr>
          <w:trHeight w:val="300"/>
        </w:trPr>
        <w:tc>
          <w:tcPr>
            <w:tcW w:w="349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Face axial</w:t>
            </w:r>
          </w:p>
        </w:tc>
        <w:tc>
          <w:tcPr>
            <w:tcW w:w="611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Orbits, upper lip and palate</w:t>
            </w:r>
          </w:p>
        </w:tc>
      </w:tr>
      <w:tr w:rsidR="00EC52A2" w:rsidRPr="00D17A5D" w:rsidTr="00730A4B">
        <w:trPr>
          <w:trHeight w:val="415"/>
        </w:trPr>
        <w:tc>
          <w:tcPr>
            <w:tcW w:w="3499"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Spine sagittal</w:t>
            </w:r>
          </w:p>
        </w:tc>
        <w:tc>
          <w:tcPr>
            <w:tcW w:w="611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Spine and overlying skin</w:t>
            </w:r>
          </w:p>
        </w:tc>
      </w:tr>
      <w:tr w:rsidR="00EC52A2" w:rsidRPr="00D17A5D" w:rsidTr="00730A4B">
        <w:trPr>
          <w:trHeight w:val="580"/>
        </w:trPr>
        <w:tc>
          <w:tcPr>
            <w:tcW w:w="349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Thorax axial</w:t>
            </w:r>
          </w:p>
        </w:tc>
        <w:tc>
          <w:tcPr>
            <w:tcW w:w="611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Heart in four-chamber plane and outflow tracts with 2D and color. Blood flow across the tricuspid valve</w:t>
            </w:r>
          </w:p>
        </w:tc>
      </w:tr>
      <w:tr w:rsidR="00EC52A2" w:rsidRPr="00D17A5D" w:rsidTr="00730A4B">
        <w:trPr>
          <w:trHeight w:val="687"/>
        </w:trPr>
        <w:tc>
          <w:tcPr>
            <w:tcW w:w="3499"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Trunk axial and sagittal</w:t>
            </w:r>
          </w:p>
        </w:tc>
        <w:tc>
          <w:tcPr>
            <w:tcW w:w="611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Stomach, kidneys, bladder, abdominal insertion of the umbilical cord</w:t>
            </w:r>
          </w:p>
        </w:tc>
      </w:tr>
      <w:tr w:rsidR="00EC52A2" w:rsidRPr="00D17A5D" w:rsidTr="00730A4B">
        <w:trPr>
          <w:trHeight w:val="465"/>
        </w:trPr>
        <w:tc>
          <w:tcPr>
            <w:tcW w:w="3499"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Limbs axial and sagittal</w:t>
            </w:r>
          </w:p>
        </w:tc>
        <w:tc>
          <w:tcPr>
            <w:tcW w:w="6118"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468CF">
            <w:pPr>
              <w:pStyle w:val="T"/>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spacing w:after="0" w:line="480" w:lineRule="auto"/>
              <w:jc w:val="left"/>
              <w:rPr>
                <w:rFonts w:ascii="Times New Roman" w:hAnsi="Times New Roman" w:cs="Times New Roman"/>
              </w:rPr>
            </w:pPr>
            <w:r w:rsidRPr="00D17A5D">
              <w:rPr>
                <w:rFonts w:ascii="Times New Roman" w:hAnsi="Times New Roman" w:cs="Times New Roman"/>
              </w:rPr>
              <w:t>All the long bones, hands and feet</w:t>
            </w:r>
          </w:p>
        </w:tc>
      </w:tr>
    </w:tbl>
    <w:p w:rsidR="00730A4B" w:rsidRPr="00D17A5D" w:rsidRDefault="00730A4B" w:rsidP="00730A4B">
      <w:pPr>
        <w:pStyle w:val="TSN"/>
      </w:pPr>
      <w:r w:rsidRPr="00D17A5D">
        <w:rPr>
          <w:rFonts w:ascii="Times New Roman" w:hAnsi="Times New Roman" w:cs="Times New Roman"/>
          <w:i/>
          <w:iCs/>
        </w:rPr>
        <w:t>Modified and adapted from Syngelaki A, et al. Diagnosis of fetal non-chromosomal abnormalities on routine ultrasound examination at 11-13</w:t>
      </w:r>
      <w:r w:rsidR="00E877AB" w:rsidRPr="00D17A5D">
        <w:rPr>
          <w:rFonts w:ascii="Times New Roman" w:hAnsi="Times New Roman" w:cs="Times New Roman"/>
          <w:i/>
          <w:iCs/>
        </w:rPr>
        <w:t> </w:t>
      </w:r>
      <w:r w:rsidRPr="00D17A5D">
        <w:rPr>
          <w:rFonts w:ascii="Times New Roman" w:hAnsi="Times New Roman" w:cs="Times New Roman"/>
          <w:i/>
          <w:iCs/>
        </w:rPr>
        <w:t>weeks' gestation. Ultrasound Obstet. Gynecol. 2019;54:468-476. (Copyright John Wiley &amp; Sons, Ltd., with permission)</w:t>
      </w:r>
    </w:p>
    <w:p w:rsidR="00EC52A2" w:rsidRPr="00D17A5D" w:rsidRDefault="000468CF">
      <w:pPr>
        <w:widowControl w:val="0"/>
        <w:spacing w:line="480" w:lineRule="auto"/>
      </w:pPr>
      <w:r w:rsidRPr="00D17A5D">
        <w:br w:type="page"/>
      </w:r>
    </w:p>
    <w:p w:rsidR="00730A4B" w:rsidRPr="00D17A5D" w:rsidRDefault="00730A4B" w:rsidP="00730A4B">
      <w:pPr>
        <w:pStyle w:val="T11"/>
      </w:pPr>
      <w:r w:rsidRPr="00D17A5D">
        <w:rPr>
          <w:rStyle w:val="TN"/>
          <w:b/>
          <w:bCs/>
          <w14:textOutline w14:w="12700" w14:cap="flat" w14:cmpd="sng" w14:algn="ctr">
            <w14:noFill/>
            <w14:prstDash w14:val="solid"/>
            <w14:miter w14:lim="400000"/>
          </w14:textOutline>
        </w:rPr>
        <w:t>Table 2.2:</w:t>
      </w:r>
      <w:r w:rsidRPr="00D17A5D">
        <w:rPr>
          <w:b/>
          <w:bCs/>
          <w14:textOutline w14:w="12700" w14:cap="flat" w14:cmpd="sng" w14:algn="ctr">
            <w14:noFill/>
            <w14:prstDash w14:val="solid"/>
            <w14:miter w14:lim="400000"/>
          </w14:textOutline>
        </w:rPr>
        <w:t xml:space="preserve"> Standardized protocol including 14 standard sections, applied in the large study of the first trimester anomaly scan performed in one center in Shenzhen-China</w:t>
      </w:r>
    </w:p>
    <w:tbl>
      <w:tblPr>
        <w:tblStyle w:val="TableNormal10"/>
        <w:tblW w:w="9617" w:type="dxa"/>
        <w:tblInd w:w="16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612"/>
        <w:gridCol w:w="7005"/>
      </w:tblGrid>
      <w:tr w:rsidR="00EC52A2" w:rsidRPr="00D17A5D" w:rsidTr="00730A4B">
        <w:trPr>
          <w:trHeight w:val="295"/>
        </w:trPr>
        <w:tc>
          <w:tcPr>
            <w:tcW w:w="2612"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
              <w:widowControl w:val="0"/>
              <w:tabs>
                <w:tab w:val="left" w:pos="220"/>
                <w:tab w:val="left" w:pos="720"/>
              </w:tabs>
              <w:spacing w:line="480" w:lineRule="auto"/>
              <w:jc w:val="center"/>
              <w:rPr>
                <w:rFonts w:ascii="Times New Roman" w:hAnsi="Times New Roman" w:cs="Times New Roman"/>
                <w:b/>
                <w:bCs/>
                <w:sz w:val="24"/>
                <w:szCs w:val="24"/>
                <w:lang w:val="en-US"/>
              </w:rPr>
            </w:pPr>
            <w:r w:rsidRPr="00D17A5D">
              <w:rPr>
                <w:rFonts w:ascii="Times New Roman" w:hAnsi="Times New Roman" w:cs="Times New Roman"/>
                <w:b/>
                <w:bCs/>
                <w:sz w:val="24"/>
                <w:szCs w:val="24"/>
                <w:u w:color="000000"/>
                <w:lang w:val="en-US"/>
              </w:rPr>
              <w:t>Plane</w:t>
            </w:r>
          </w:p>
        </w:tc>
        <w:tc>
          <w:tcPr>
            <w:tcW w:w="7005"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
              <w:widowControl w:val="0"/>
              <w:tabs>
                <w:tab w:val="left" w:pos="220"/>
                <w:tab w:val="left" w:pos="720"/>
              </w:tabs>
              <w:spacing w:line="480" w:lineRule="auto"/>
              <w:jc w:val="center"/>
              <w:rPr>
                <w:rFonts w:ascii="Times New Roman" w:hAnsi="Times New Roman" w:cs="Times New Roman"/>
                <w:b/>
                <w:bCs/>
                <w:sz w:val="24"/>
                <w:szCs w:val="24"/>
                <w:lang w:val="en-US"/>
              </w:rPr>
            </w:pPr>
            <w:r w:rsidRPr="00D17A5D">
              <w:rPr>
                <w:rFonts w:ascii="Times New Roman" w:hAnsi="Times New Roman" w:cs="Times New Roman"/>
                <w:b/>
                <w:bCs/>
                <w:sz w:val="24"/>
                <w:szCs w:val="24"/>
                <w:u w:color="000000"/>
                <w:lang w:val="en-US"/>
              </w:rPr>
              <w:t>Checklist</w:t>
            </w:r>
          </w:p>
        </w:tc>
      </w:tr>
      <w:tr w:rsidR="00EC52A2" w:rsidRPr="00D17A5D" w:rsidTr="00730A4B">
        <w:trPr>
          <w:trHeight w:val="686"/>
        </w:trPr>
        <w:tc>
          <w:tcPr>
            <w:tcW w:w="261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0"/>
              <w:widowControl w:val="0"/>
              <w:suppressAutoHyphens/>
              <w:spacing w:line="480" w:lineRule="auto"/>
              <w:outlineLvl w:val="0"/>
              <w:rPr>
                <w:rFonts w:ascii="Times New Roman" w:hAnsi="Times New Roman" w:cs="Times New Roman"/>
                <w:sz w:val="24"/>
                <w:szCs w:val="24"/>
                <w:lang w:val="en-US"/>
              </w:rPr>
            </w:pPr>
            <w:r w:rsidRPr="00D17A5D">
              <w:rPr>
                <w:rFonts w:ascii="Times New Roman" w:hAnsi="Times New Roman" w:cs="Times New Roman"/>
                <w:sz w:val="24"/>
                <w:szCs w:val="24"/>
                <w:lang w:val="en-US"/>
                <w14:textOutline w14:w="12700" w14:cap="flat" w14:cmpd="sng" w14:algn="ctr">
                  <w14:noFill/>
                  <w14:prstDash w14:val="solid"/>
                  <w14:miter w14:lim="400000"/>
                </w14:textOutline>
              </w:rPr>
              <w:t>Midsagittal view of the fetus</w:t>
            </w:r>
          </w:p>
        </w:tc>
        <w:tc>
          <w:tcPr>
            <w:tcW w:w="7005"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56FBF" w:rsidP="00E60C81">
            <w:pPr>
              <w:pStyle w:val="TBL-MID0"/>
            </w:pPr>
            <w:r w:rsidRPr="00D17A5D">
              <w:rPr>
                <w:rFonts w:hAnsi="Arial Unicode MS"/>
              </w:rPr>
              <w:t>•</w:t>
            </w:r>
            <w:r w:rsidRPr="00D17A5D">
              <w:rPr>
                <w:rFonts w:hAnsi="Arial Unicode MS"/>
              </w:rPr>
              <w:tab/>
            </w:r>
            <w:r w:rsidR="000468CF" w:rsidRPr="00D17A5D">
              <w:t>Overview with display of facial profile and intracerebral structures, thorax, abdomen, bladder, and genitalia</w:t>
            </w:r>
          </w:p>
        </w:tc>
      </w:tr>
      <w:tr w:rsidR="00EC52A2" w:rsidRPr="00D17A5D" w:rsidTr="00730A4B">
        <w:trPr>
          <w:trHeight w:val="828"/>
        </w:trPr>
        <w:tc>
          <w:tcPr>
            <w:tcW w:w="2612"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0"/>
              <w:widowControl w:val="0"/>
              <w:spacing w:line="480" w:lineRule="auto"/>
              <w:rPr>
                <w:rFonts w:ascii="Times New Roman" w:hAnsi="Times New Roman" w:cs="Times New Roman"/>
                <w:sz w:val="24"/>
                <w:szCs w:val="24"/>
                <w:lang w:val="en-US"/>
              </w:rPr>
            </w:pPr>
            <w:r w:rsidRPr="00D17A5D">
              <w:rPr>
                <w:rFonts w:ascii="Times New Roman" w:hAnsi="Times New Roman" w:cs="Times New Roman"/>
                <w:sz w:val="24"/>
                <w:szCs w:val="24"/>
                <w:lang w:val="en-US"/>
              </w:rPr>
              <w:t>Midsagittal view of the face and neck</w:t>
            </w:r>
          </w:p>
        </w:tc>
        <w:tc>
          <w:tcPr>
            <w:tcW w:w="7005"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Nose and palate anteriorly, translucent diencephalon and nuchal membrane posteriorly</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Nuchal translucency measurement in this section</w:t>
            </w:r>
          </w:p>
        </w:tc>
      </w:tr>
      <w:tr w:rsidR="00EC52A2" w:rsidRPr="00D17A5D" w:rsidTr="00730A4B">
        <w:trPr>
          <w:trHeight w:val="1975"/>
        </w:trPr>
        <w:tc>
          <w:tcPr>
            <w:tcW w:w="261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0"/>
              <w:widowControl w:val="0"/>
              <w:suppressAutoHyphens/>
              <w:spacing w:line="480" w:lineRule="auto"/>
              <w:outlineLvl w:val="0"/>
              <w:rPr>
                <w:rFonts w:ascii="Times New Roman" w:hAnsi="Times New Roman" w:cs="Times New Roman"/>
                <w:sz w:val="24"/>
                <w:szCs w:val="24"/>
                <w:lang w:val="en-US"/>
              </w:rPr>
            </w:pPr>
            <w:r w:rsidRPr="00D17A5D">
              <w:rPr>
                <w:rFonts w:ascii="Times New Roman" w:hAnsi="Times New Roman" w:cs="Times New Roman"/>
                <w:sz w:val="24"/>
                <w:szCs w:val="24"/>
                <w:lang w:val="en-US"/>
                <w14:textOutline w14:w="12700" w14:cap="flat" w14:cmpd="sng" w14:algn="ctr">
                  <w14:noFill/>
                  <w14:prstDash w14:val="solid"/>
                  <w14:miter w14:lim="400000"/>
                </w14:textOutline>
              </w:rPr>
              <w:t>Axial plane of the head at the transventricular plane</w:t>
            </w:r>
          </w:p>
        </w:tc>
        <w:tc>
          <w:tcPr>
            <w:tcW w:w="7005"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Intact oval-shape cranium with the variable ossification of the skull assessed</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Hyperechoic falx cerebri divides the 2 hemispheres symmetrically</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Two echogenic butterfly shapes of choroid plexuses fill more than half of the lateral ventricles</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Lateral ventricles are surrounded by a thin peripheral cortex</w:t>
            </w:r>
          </w:p>
        </w:tc>
      </w:tr>
      <w:tr w:rsidR="00EC52A2" w:rsidRPr="00D17A5D" w:rsidTr="00730A4B">
        <w:trPr>
          <w:trHeight w:val="1115"/>
        </w:trPr>
        <w:tc>
          <w:tcPr>
            <w:tcW w:w="2612"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0"/>
              <w:widowControl w:val="0"/>
              <w:spacing w:line="480" w:lineRule="auto"/>
              <w:rPr>
                <w:rFonts w:ascii="Times New Roman" w:hAnsi="Times New Roman" w:cs="Times New Roman"/>
                <w:sz w:val="24"/>
                <w:szCs w:val="24"/>
                <w:lang w:val="en-US"/>
              </w:rPr>
            </w:pPr>
            <w:r w:rsidRPr="00D17A5D">
              <w:rPr>
                <w:rFonts w:ascii="Times New Roman" w:hAnsi="Times New Roman" w:cs="Times New Roman"/>
                <w:sz w:val="24"/>
                <w:szCs w:val="24"/>
                <w:lang w:val="en-US"/>
              </w:rPr>
              <w:t>Axial plane of the posterior fossa</w:t>
            </w:r>
          </w:p>
        </w:tc>
        <w:tc>
          <w:tcPr>
            <w:tcW w:w="7005"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Anatomy of the posterior fossa meticulously examined</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Three hypoechoic areas identified: brainstem, 4th ventricle (intracranial translucency) and future cisterna magna</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Two separated thalami and partial falx cerebri visualized</w:t>
            </w:r>
          </w:p>
        </w:tc>
      </w:tr>
      <w:tr w:rsidR="00EC52A2" w:rsidRPr="00D17A5D" w:rsidTr="00730A4B">
        <w:trPr>
          <w:trHeight w:val="609"/>
        </w:trPr>
        <w:tc>
          <w:tcPr>
            <w:tcW w:w="261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0"/>
              <w:widowControl w:val="0"/>
              <w:suppressAutoHyphens/>
              <w:spacing w:line="480" w:lineRule="auto"/>
              <w:outlineLvl w:val="0"/>
              <w:rPr>
                <w:rFonts w:ascii="Times New Roman" w:hAnsi="Times New Roman" w:cs="Times New Roman"/>
                <w:sz w:val="24"/>
                <w:szCs w:val="24"/>
                <w:lang w:val="en-US"/>
              </w:rPr>
            </w:pPr>
            <w:r w:rsidRPr="00D17A5D">
              <w:rPr>
                <w:rFonts w:ascii="Times New Roman" w:hAnsi="Times New Roman" w:cs="Times New Roman"/>
                <w:sz w:val="24"/>
                <w:szCs w:val="24"/>
                <w:lang w:val="en-US"/>
                <w14:textOutline w14:w="12700" w14:cap="flat" w14:cmpd="sng" w14:algn="ctr">
                  <w14:noFill/>
                  <w14:prstDash w14:val="solid"/>
                  <w14:miter w14:lim="400000"/>
                </w14:textOutline>
              </w:rPr>
              <w:t>Oblique coronal plane at the level of the orbits and ears</w:t>
            </w:r>
          </w:p>
        </w:tc>
        <w:tc>
          <w:tcPr>
            <w:tcW w:w="7005"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Two orbits with eyes visualized with the nose between them</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Two ears are located on either side of the head</w:t>
            </w:r>
          </w:p>
        </w:tc>
      </w:tr>
      <w:tr w:rsidR="00EC52A2" w:rsidRPr="00D17A5D" w:rsidTr="00730A4B">
        <w:trPr>
          <w:trHeight w:val="587"/>
        </w:trPr>
        <w:tc>
          <w:tcPr>
            <w:tcW w:w="2612"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0"/>
              <w:widowControl w:val="0"/>
              <w:spacing w:line="480" w:lineRule="auto"/>
              <w:rPr>
                <w:rFonts w:ascii="Times New Roman" w:hAnsi="Times New Roman" w:cs="Times New Roman"/>
                <w:sz w:val="24"/>
                <w:szCs w:val="24"/>
                <w:lang w:val="en-US"/>
              </w:rPr>
            </w:pPr>
            <w:r w:rsidRPr="00D17A5D">
              <w:rPr>
                <w:rFonts w:ascii="Times New Roman" w:hAnsi="Times New Roman" w:cs="Times New Roman"/>
                <w:sz w:val="24"/>
                <w:szCs w:val="24"/>
                <w:lang w:val="en-US"/>
              </w:rPr>
              <w:t>Oblique coronal plane of the retronasal triangle</w:t>
            </w:r>
          </w:p>
        </w:tc>
        <w:tc>
          <w:tcPr>
            <w:tcW w:w="7005"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Retronasal triangle with nasal bones, the frontal processes of the maxilla, and alveolar ridge (primary palate) inferiorly</w:t>
            </w:r>
          </w:p>
        </w:tc>
      </w:tr>
      <w:tr w:rsidR="00EC52A2" w:rsidRPr="00D17A5D" w:rsidTr="00730A4B">
        <w:trPr>
          <w:trHeight w:val="601"/>
        </w:trPr>
        <w:tc>
          <w:tcPr>
            <w:tcW w:w="261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0"/>
              <w:widowControl w:val="0"/>
              <w:suppressAutoHyphens/>
              <w:spacing w:line="480" w:lineRule="auto"/>
              <w:outlineLvl w:val="0"/>
              <w:rPr>
                <w:rFonts w:ascii="Times New Roman" w:hAnsi="Times New Roman" w:cs="Times New Roman"/>
                <w:sz w:val="24"/>
                <w:szCs w:val="24"/>
                <w:lang w:val="en-US"/>
              </w:rPr>
            </w:pPr>
            <w:r w:rsidRPr="00D17A5D">
              <w:rPr>
                <w:rFonts w:ascii="Times New Roman" w:hAnsi="Times New Roman" w:cs="Times New Roman"/>
                <w:sz w:val="24"/>
                <w:szCs w:val="24"/>
                <w:lang w:val="en-US"/>
                <w14:textOutline w14:w="12700" w14:cap="flat" w14:cmpd="sng" w14:algn="ctr">
                  <w14:noFill/>
                  <w14:prstDash w14:val="solid"/>
                  <w14:miter w14:lim="400000"/>
                </w14:textOutline>
              </w:rPr>
              <w:t>Oblique coronal plane of the nose and lips</w:t>
            </w:r>
          </w:p>
        </w:tc>
        <w:tc>
          <w:tcPr>
            <w:tcW w:w="7005"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Section demonstrates the integrity of the mouth and lips</w:t>
            </w:r>
          </w:p>
        </w:tc>
      </w:tr>
      <w:tr w:rsidR="00EC52A2" w:rsidRPr="00D17A5D" w:rsidTr="00730A4B">
        <w:trPr>
          <w:trHeight w:val="1996"/>
        </w:trPr>
        <w:tc>
          <w:tcPr>
            <w:tcW w:w="2612"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uppressAutoHyphens/>
              <w:spacing w:after="0" w:line="480" w:lineRule="auto"/>
              <w:rPr>
                <w:rFonts w:ascii="Times New Roman" w:hAnsi="Times New Roman" w:cs="Times New Roman"/>
              </w:rPr>
            </w:pPr>
            <w:r w:rsidRPr="00D17A5D">
              <w:rPr>
                <w:rFonts w:ascii="Times New Roman" w:hAnsi="Times New Roman" w:cs="Times New Roman"/>
                <w:b/>
                <w:bCs/>
              </w:rPr>
              <w:t>Four-chamber plane of the heart</w:t>
            </w:r>
          </w:p>
        </w:tc>
        <w:tc>
          <w:tcPr>
            <w:tcW w:w="7005"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Cardiac position in the chest</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Cardiac axis</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Right and left ventricular size</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Right and left atrioventricular valves</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Ribs and lungs</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Color Doppler confirming separate filling in diastole and absence of significant valve regurgitation in systole</w:t>
            </w:r>
          </w:p>
        </w:tc>
      </w:tr>
      <w:tr w:rsidR="00EC52A2" w:rsidRPr="00D17A5D" w:rsidTr="00730A4B">
        <w:trPr>
          <w:trHeight w:val="1251"/>
        </w:trPr>
        <w:tc>
          <w:tcPr>
            <w:tcW w:w="261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0"/>
              <w:widowControl w:val="0"/>
              <w:suppressAutoHyphens/>
              <w:spacing w:line="480" w:lineRule="auto"/>
              <w:outlineLvl w:val="0"/>
              <w:rPr>
                <w:rFonts w:ascii="Times New Roman" w:hAnsi="Times New Roman" w:cs="Times New Roman"/>
                <w:sz w:val="24"/>
                <w:szCs w:val="24"/>
                <w:lang w:val="en-US"/>
              </w:rPr>
            </w:pPr>
            <w:r w:rsidRPr="00D17A5D">
              <w:rPr>
                <w:rFonts w:ascii="Times New Roman" w:hAnsi="Times New Roman" w:cs="Times New Roman"/>
                <w:sz w:val="24"/>
                <w:szCs w:val="24"/>
                <w:lang w:val="en-US"/>
                <w14:textOutline w14:w="12700" w14:cap="flat" w14:cmpd="sng" w14:algn="ctr">
                  <w14:noFill/>
                  <w14:prstDash w14:val="solid"/>
                  <w14:miter w14:lim="400000"/>
                </w14:textOutline>
              </w:rPr>
              <w:t>3 vessel trachea view of the heart</w:t>
            </w:r>
          </w:p>
        </w:tc>
        <w:tc>
          <w:tcPr>
            <w:tcW w:w="7005"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Pulmonary artery and aortic arch visualized.</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Size, anatomic relationships, continuity of great vessels assessed</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Direction of blood flow confirmed</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V-shape of the great vessels clearly visualized using color Doppler</w:t>
            </w:r>
          </w:p>
        </w:tc>
      </w:tr>
      <w:tr w:rsidR="00EC52A2" w:rsidRPr="00D17A5D" w:rsidTr="00730A4B">
        <w:trPr>
          <w:trHeight w:val="601"/>
        </w:trPr>
        <w:tc>
          <w:tcPr>
            <w:tcW w:w="2612"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0"/>
              <w:widowControl w:val="0"/>
              <w:spacing w:line="480" w:lineRule="auto"/>
              <w:rPr>
                <w:rFonts w:ascii="Times New Roman" w:hAnsi="Times New Roman" w:cs="Times New Roman"/>
                <w:sz w:val="24"/>
                <w:szCs w:val="24"/>
                <w:lang w:val="en-US"/>
              </w:rPr>
            </w:pPr>
            <w:r w:rsidRPr="00D17A5D">
              <w:rPr>
                <w:rFonts w:ascii="Times New Roman" w:hAnsi="Times New Roman" w:cs="Times New Roman"/>
                <w:sz w:val="24"/>
                <w:szCs w:val="24"/>
                <w:lang w:val="en-US"/>
              </w:rPr>
              <w:t>Axial plane of the upper abdomen</w:t>
            </w:r>
          </w:p>
        </w:tc>
        <w:tc>
          <w:tcPr>
            <w:tcW w:w="7005"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left side of the stomach</w:t>
            </w:r>
          </w:p>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right side of the liver</w:t>
            </w:r>
          </w:p>
        </w:tc>
      </w:tr>
      <w:tr w:rsidR="00EC52A2" w:rsidRPr="00D17A5D" w:rsidTr="00730A4B">
        <w:trPr>
          <w:trHeight w:val="494"/>
        </w:trPr>
        <w:tc>
          <w:tcPr>
            <w:tcW w:w="261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0"/>
              <w:widowControl w:val="0"/>
              <w:suppressAutoHyphens/>
              <w:spacing w:line="480" w:lineRule="auto"/>
              <w:outlineLvl w:val="0"/>
              <w:rPr>
                <w:rFonts w:ascii="Times New Roman" w:hAnsi="Times New Roman" w:cs="Times New Roman"/>
                <w:sz w:val="24"/>
                <w:szCs w:val="24"/>
                <w:lang w:val="en-US"/>
              </w:rPr>
            </w:pPr>
            <w:r w:rsidRPr="00D17A5D">
              <w:rPr>
                <w:rFonts w:ascii="Times New Roman" w:hAnsi="Times New Roman" w:cs="Times New Roman"/>
                <w:sz w:val="24"/>
                <w:szCs w:val="24"/>
                <w:lang w:val="en-US"/>
                <w14:textOutline w14:w="12700" w14:cap="flat" w14:cmpd="sng" w14:algn="ctr">
                  <w14:noFill/>
                  <w14:prstDash w14:val="solid"/>
                  <w14:miter w14:lim="400000"/>
                </w14:textOutline>
              </w:rPr>
              <w:t>Axial plane of the cord insertion into the abdomen</w:t>
            </w:r>
          </w:p>
        </w:tc>
        <w:tc>
          <w:tcPr>
            <w:tcW w:w="7005"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56FBF" w:rsidP="00E60C81">
            <w:pPr>
              <w:pStyle w:val="TBL-MID0"/>
              <w:rPr>
                <w:rFonts w:cs="Times New Roman"/>
              </w:rPr>
            </w:pPr>
            <w:r w:rsidRPr="00D17A5D">
              <w:rPr>
                <w:rFonts w:hAnsi="Arial Unicode MS" w:cs="Times New Roman"/>
              </w:rPr>
              <w:t>•</w:t>
            </w:r>
            <w:r w:rsidRPr="00D17A5D">
              <w:rPr>
                <w:rFonts w:hAnsi="Arial Unicode MS" w:cs="Times New Roman"/>
              </w:rPr>
              <w:tab/>
            </w:r>
            <w:r w:rsidR="000468CF" w:rsidRPr="00D17A5D">
              <w:rPr>
                <w:rFonts w:cs="Times New Roman"/>
              </w:rPr>
              <w:t>Integrity of the anterior abdominal wall</w:t>
            </w:r>
          </w:p>
        </w:tc>
      </w:tr>
      <w:tr w:rsidR="00EC52A2" w:rsidRPr="00D17A5D" w:rsidTr="00730A4B">
        <w:trPr>
          <w:trHeight w:val="170"/>
        </w:trPr>
        <w:tc>
          <w:tcPr>
            <w:tcW w:w="2612"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0"/>
              <w:widowControl w:val="0"/>
              <w:spacing w:line="480" w:lineRule="auto"/>
              <w:rPr>
                <w:rFonts w:ascii="Times New Roman" w:hAnsi="Times New Roman" w:cs="Times New Roman"/>
                <w:sz w:val="24"/>
                <w:szCs w:val="24"/>
                <w:lang w:val="en-US"/>
              </w:rPr>
            </w:pPr>
            <w:r w:rsidRPr="00D17A5D">
              <w:rPr>
                <w:rFonts w:ascii="Times New Roman" w:hAnsi="Times New Roman" w:cs="Times New Roman"/>
                <w:sz w:val="24"/>
                <w:szCs w:val="24"/>
                <w:lang w:val="en-US"/>
              </w:rPr>
              <w:t>Axial plane of the bladder</w:t>
            </w:r>
          </w:p>
        </w:tc>
        <w:tc>
          <w:tcPr>
            <w:tcW w:w="7005"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Normal bladder is filled</w:t>
            </w:r>
          </w:p>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 xml:space="preserve">Color Doppler demonstrates </w:t>
            </w:r>
            <w:r w:rsidR="000468CF" w:rsidRPr="00D17A5D">
              <w:t>the</w:t>
            </w:r>
            <w:r w:rsidR="000468CF" w:rsidRPr="00D17A5D">
              <w:rPr>
                <w:rFonts w:cs="Times New Roman"/>
                <w:szCs w:val="24"/>
                <w:lang w:val="en-US"/>
              </w:rPr>
              <w:t xml:space="preserve"> 2 umbilical arteries surrounding the bladder</w:t>
            </w:r>
          </w:p>
        </w:tc>
      </w:tr>
      <w:tr w:rsidR="00EC52A2" w:rsidRPr="00D17A5D" w:rsidTr="00730A4B">
        <w:trPr>
          <w:trHeight w:val="653"/>
        </w:trPr>
        <w:tc>
          <w:tcPr>
            <w:tcW w:w="261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0"/>
              <w:widowControl w:val="0"/>
              <w:suppressAutoHyphens/>
              <w:spacing w:line="480" w:lineRule="auto"/>
              <w:outlineLvl w:val="0"/>
              <w:rPr>
                <w:rFonts w:ascii="Times New Roman" w:hAnsi="Times New Roman" w:cs="Times New Roman"/>
                <w:sz w:val="24"/>
                <w:szCs w:val="24"/>
                <w:lang w:val="en-US"/>
              </w:rPr>
            </w:pPr>
            <w:r w:rsidRPr="00D17A5D">
              <w:rPr>
                <w:rFonts w:ascii="Times New Roman" w:hAnsi="Times New Roman" w:cs="Times New Roman"/>
                <w:sz w:val="24"/>
                <w:szCs w:val="24"/>
                <w:lang w:val="en-US"/>
                <w14:textOutline w14:w="12700" w14:cap="flat" w14:cmpd="sng" w14:algn="ctr">
                  <w14:noFill/>
                  <w14:prstDash w14:val="solid"/>
                  <w14:miter w14:lim="400000"/>
                </w14:textOutline>
              </w:rPr>
              <w:t>Coronal/sagittal sections of the upper limbs</w:t>
            </w:r>
          </w:p>
        </w:tc>
        <w:tc>
          <w:tcPr>
            <w:tcW w:w="7005"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Upper arm with humerus, forearm with radius and ulna, and hand</w:t>
            </w:r>
          </w:p>
        </w:tc>
      </w:tr>
      <w:tr w:rsidR="00EC52A2" w:rsidRPr="00D17A5D" w:rsidTr="00730A4B">
        <w:trPr>
          <w:trHeight w:val="575"/>
        </w:trPr>
        <w:tc>
          <w:tcPr>
            <w:tcW w:w="2612"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0"/>
              <w:widowControl w:val="0"/>
              <w:spacing w:line="480" w:lineRule="auto"/>
              <w:rPr>
                <w:rFonts w:ascii="Times New Roman" w:hAnsi="Times New Roman" w:cs="Times New Roman"/>
                <w:sz w:val="24"/>
                <w:szCs w:val="24"/>
                <w:lang w:val="en-US"/>
              </w:rPr>
            </w:pPr>
            <w:r w:rsidRPr="00D17A5D">
              <w:rPr>
                <w:rFonts w:ascii="Times New Roman" w:hAnsi="Times New Roman" w:cs="Times New Roman"/>
                <w:sz w:val="24"/>
                <w:szCs w:val="24"/>
                <w:lang w:val="en-US"/>
              </w:rPr>
              <w:t>Coronal/sagittal sections of the lower limbs</w:t>
            </w:r>
          </w:p>
        </w:tc>
        <w:tc>
          <w:tcPr>
            <w:tcW w:w="7005"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tcPr>
          <w:p w:rsidR="00EC52A2" w:rsidRPr="00D17A5D" w:rsidRDefault="00056FBF" w:rsidP="00E60C81">
            <w:pPr>
              <w:pStyle w:val="TBL-MID0"/>
              <w:rPr>
                <w:rFonts w:cs="Times New Roman"/>
                <w:szCs w:val="24"/>
                <w:lang w:val="en-US"/>
              </w:rPr>
            </w:pPr>
            <w:r w:rsidRPr="00D17A5D">
              <w:rPr>
                <w:rFonts w:hAnsi="Arial Unicode MS" w:cs="Times New Roman"/>
                <w:szCs w:val="24"/>
                <w:lang w:val="en-US"/>
              </w:rPr>
              <w:t>•</w:t>
            </w:r>
            <w:r w:rsidRPr="00D17A5D">
              <w:rPr>
                <w:rFonts w:hAnsi="Arial Unicode MS" w:cs="Times New Roman"/>
                <w:szCs w:val="24"/>
                <w:lang w:val="en-US"/>
              </w:rPr>
              <w:tab/>
            </w:r>
            <w:r w:rsidR="000468CF" w:rsidRPr="00D17A5D">
              <w:rPr>
                <w:rFonts w:cs="Times New Roman"/>
                <w:szCs w:val="24"/>
                <w:lang w:val="en-US"/>
              </w:rPr>
              <w:t>Legs with femur, knee, tibia, fibula, and foot</w:t>
            </w:r>
          </w:p>
        </w:tc>
      </w:tr>
    </w:tbl>
    <w:p w:rsidR="00E60C81" w:rsidRPr="00D17A5D" w:rsidRDefault="00E60C81" w:rsidP="00E60C81">
      <w:pPr>
        <w:pStyle w:val="TSN"/>
      </w:pPr>
      <w:r w:rsidRPr="00D17A5D">
        <w:rPr>
          <w:rFonts w:ascii="Times New Roman" w:hAnsi="Times New Roman" w:cs="Times New Roman"/>
          <w:i/>
          <w:iCs/>
        </w:rPr>
        <w:t>Modified and adapted with permission from Liao Y, et al. Routine first-trimester ultrasound screening using a standardized anatomical protocol. Am J Obstet Gynecol. 2021;224:396.e1-396.e15.</w:t>
      </w:r>
    </w:p>
    <w:p w:rsidR="00EC52A2" w:rsidRPr="00D17A5D" w:rsidRDefault="000468CF">
      <w:pPr>
        <w:widowControl w:val="0"/>
        <w:spacing w:line="480" w:lineRule="auto"/>
      </w:pPr>
      <w:r w:rsidRPr="00D17A5D">
        <w:br w:type="page"/>
      </w:r>
    </w:p>
    <w:p w:rsidR="00E60C81" w:rsidRPr="00D17A5D" w:rsidRDefault="00E60C81" w:rsidP="00E60C81">
      <w:pPr>
        <w:pStyle w:val="T11"/>
        <w:rPr>
          <w:b/>
          <w:bCs/>
        </w:rPr>
      </w:pPr>
      <w:r w:rsidRPr="00D17A5D">
        <w:rPr>
          <w:rStyle w:val="TN"/>
          <w:b/>
          <w:bCs/>
        </w:rPr>
        <w:t>Table 2.3:</w:t>
      </w:r>
      <w:r w:rsidRPr="00D17A5D">
        <w:rPr>
          <w:b/>
          <w:bCs/>
        </w:rPr>
        <w:t xml:space="preserve"> Fetal structural abnormalities diagnosed during routine first-trimester scans performed in one center in Shenzhen-China on 53,349 fetuses</w:t>
      </w:r>
    </w:p>
    <w:tbl>
      <w:tblPr>
        <w:tblStyle w:val="TableNormal10"/>
        <w:tblW w:w="8732" w:type="dxa"/>
        <w:tblInd w:w="16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2434"/>
        <w:gridCol w:w="1161"/>
        <w:gridCol w:w="1314"/>
        <w:gridCol w:w="1461"/>
        <w:gridCol w:w="2362"/>
      </w:tblGrid>
      <w:tr w:rsidR="00EC52A2" w:rsidRPr="00D17A5D" w:rsidTr="00E60C81">
        <w:trPr>
          <w:trHeight w:val="620"/>
        </w:trPr>
        <w:tc>
          <w:tcPr>
            <w:tcW w:w="2434"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rsidP="00E60C81">
            <w:pPr>
              <w:pStyle w:val="T20"/>
              <w:rPr>
                <w:b/>
              </w:rPr>
            </w:pPr>
            <w:r w:rsidRPr="00D17A5D">
              <w:rPr>
                <w:b/>
                <w:u w:color="000000"/>
              </w:rPr>
              <w:t>Type of Anomaly</w:t>
            </w:r>
          </w:p>
        </w:tc>
        <w:tc>
          <w:tcPr>
            <w:tcW w:w="1161"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rsidP="00E60C81">
            <w:pPr>
              <w:pStyle w:val="T20"/>
              <w:rPr>
                <w:b/>
              </w:rPr>
            </w:pPr>
            <w:r w:rsidRPr="00D17A5D">
              <w:rPr>
                <w:b/>
                <w:u w:color="000000"/>
              </w:rPr>
              <w:t>Total</w:t>
            </w:r>
          </w:p>
        </w:tc>
        <w:tc>
          <w:tcPr>
            <w:tcW w:w="1314"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rsidP="00E60C81">
            <w:pPr>
              <w:pStyle w:val="T20"/>
              <w:rPr>
                <w:b/>
              </w:rPr>
            </w:pPr>
            <w:r w:rsidRPr="00D17A5D">
              <w:rPr>
                <w:b/>
                <w:u w:color="000000"/>
              </w:rPr>
              <w:t xml:space="preserve">Increased </w:t>
            </w:r>
            <w:r w:rsidRPr="00D17A5D">
              <w:rPr>
                <w:rStyle w:val="allcaps"/>
                <w:b/>
                <w:bCs/>
                <w:u w:color="000000"/>
              </w:rPr>
              <w:t>NT</w:t>
            </w:r>
          </w:p>
        </w:tc>
        <w:tc>
          <w:tcPr>
            <w:tcW w:w="1461"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rsidP="00E60C81">
            <w:pPr>
              <w:pStyle w:val="T20"/>
              <w:rPr>
                <w:b/>
              </w:rPr>
            </w:pPr>
            <w:r w:rsidRPr="00D17A5D">
              <w:rPr>
                <w:b/>
                <w:u w:color="000000"/>
              </w:rPr>
              <w:t>First Trimester Diagnosis</w:t>
            </w:r>
          </w:p>
        </w:tc>
        <w:tc>
          <w:tcPr>
            <w:tcW w:w="2362"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rsidP="00E60C81">
            <w:pPr>
              <w:pStyle w:val="T20"/>
              <w:rPr>
                <w:b/>
              </w:rPr>
            </w:pPr>
            <w:r w:rsidRPr="00D17A5D">
              <w:rPr>
                <w:b/>
                <w:u w:color="000000"/>
              </w:rPr>
              <w:t>Detection Rates Per</w:t>
            </w:r>
          </w:p>
          <w:p w:rsidR="00EC52A2" w:rsidRPr="00D17A5D" w:rsidRDefault="000468CF" w:rsidP="00E60C81">
            <w:pPr>
              <w:pStyle w:val="T20"/>
              <w:rPr>
                <w:b/>
              </w:rPr>
            </w:pPr>
            <w:r w:rsidRPr="00D17A5D">
              <w:rPr>
                <w:b/>
                <w:u w:color="000000"/>
              </w:rPr>
              <w:t>Organ System</w:t>
            </w:r>
          </w:p>
        </w:tc>
      </w:tr>
      <w:tr w:rsidR="00EC52A2" w:rsidRPr="00D17A5D" w:rsidTr="00E60C81">
        <w:trPr>
          <w:trHeight w:val="138"/>
        </w:trPr>
        <w:tc>
          <w:tcPr>
            <w:tcW w:w="2434"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Style w:val="allcaps"/>
                <w:rFonts w:ascii="Times New Roman" w:hAnsi="Times New Roman" w:cs="Times New Roman"/>
              </w:rPr>
              <w:t>CNS</w:t>
            </w:r>
          </w:p>
        </w:tc>
        <w:tc>
          <w:tcPr>
            <w:tcW w:w="1161" w:type="dxa"/>
            <w:tcBorders>
              <w:top w:val="single" w:sz="8" w:space="0" w:color="000000"/>
              <w:left w:val="single" w:sz="8" w:space="0" w:color="000000"/>
              <w:bottom w:val="single" w:sz="8" w:space="0" w:color="000000"/>
              <w:right w:val="single" w:sz="8" w:space="0" w:color="000000"/>
            </w:tcBorders>
            <w:shd w:val="clear" w:color="auto" w:fill="F8E5CF"/>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279</w:t>
            </w:r>
          </w:p>
        </w:tc>
        <w:tc>
          <w:tcPr>
            <w:tcW w:w="1314" w:type="dxa"/>
            <w:tcBorders>
              <w:top w:val="single" w:sz="8" w:space="0" w:color="000000"/>
              <w:left w:val="single" w:sz="8" w:space="0" w:color="000000"/>
              <w:bottom w:val="single" w:sz="8" w:space="0" w:color="000000"/>
              <w:right w:val="single" w:sz="8" w:space="0" w:color="000000"/>
            </w:tcBorders>
            <w:shd w:val="clear" w:color="auto" w:fill="F8E5CF"/>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71</w:t>
            </w:r>
          </w:p>
        </w:tc>
        <w:tc>
          <w:tcPr>
            <w:tcW w:w="1461" w:type="dxa"/>
            <w:tcBorders>
              <w:top w:val="single" w:sz="8" w:space="0" w:color="000000"/>
              <w:left w:val="single" w:sz="8" w:space="0" w:color="000000"/>
              <w:bottom w:val="single" w:sz="8" w:space="0" w:color="000000"/>
              <w:right w:val="single" w:sz="8" w:space="0" w:color="000000"/>
            </w:tcBorders>
            <w:shd w:val="clear" w:color="auto" w:fill="F8E5CF"/>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185</w:t>
            </w:r>
          </w:p>
        </w:tc>
        <w:tc>
          <w:tcPr>
            <w:tcW w:w="2362"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66.3%</w:t>
            </w:r>
          </w:p>
        </w:tc>
      </w:tr>
      <w:tr w:rsidR="00EC52A2" w:rsidRPr="00D17A5D" w:rsidTr="00E60C81">
        <w:trPr>
          <w:trHeight w:val="295"/>
        </w:trPr>
        <w:tc>
          <w:tcPr>
            <w:tcW w:w="2434"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Facial</w:t>
            </w:r>
          </w:p>
        </w:tc>
        <w:tc>
          <w:tcPr>
            <w:tcW w:w="1161"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169</w:t>
            </w:r>
          </w:p>
        </w:tc>
        <w:tc>
          <w:tcPr>
            <w:tcW w:w="1314"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22</w:t>
            </w:r>
          </w:p>
        </w:tc>
        <w:tc>
          <w:tcPr>
            <w:tcW w:w="14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52</w:t>
            </w:r>
          </w:p>
        </w:tc>
        <w:tc>
          <w:tcPr>
            <w:tcW w:w="2362"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30.8%</w:t>
            </w:r>
          </w:p>
        </w:tc>
      </w:tr>
      <w:tr w:rsidR="00EC52A2" w:rsidRPr="00D17A5D" w:rsidTr="00E60C81">
        <w:trPr>
          <w:trHeight w:val="295"/>
        </w:trPr>
        <w:tc>
          <w:tcPr>
            <w:tcW w:w="2434"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Thoracic/Lung</w:t>
            </w:r>
          </w:p>
        </w:tc>
        <w:tc>
          <w:tcPr>
            <w:tcW w:w="1161" w:type="dxa"/>
            <w:tcBorders>
              <w:top w:val="single" w:sz="8" w:space="0" w:color="000000"/>
              <w:left w:val="single" w:sz="8" w:space="0" w:color="000000"/>
              <w:bottom w:val="single" w:sz="8" w:space="0" w:color="000000"/>
              <w:right w:val="single" w:sz="8" w:space="0" w:color="000000"/>
            </w:tcBorders>
            <w:shd w:val="clear" w:color="auto" w:fill="F8E5CF"/>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49</w:t>
            </w:r>
          </w:p>
        </w:tc>
        <w:tc>
          <w:tcPr>
            <w:tcW w:w="1314" w:type="dxa"/>
            <w:tcBorders>
              <w:top w:val="single" w:sz="8" w:space="0" w:color="000000"/>
              <w:left w:val="single" w:sz="8" w:space="0" w:color="000000"/>
              <w:bottom w:val="single" w:sz="8" w:space="0" w:color="000000"/>
              <w:right w:val="single" w:sz="8" w:space="0" w:color="000000"/>
            </w:tcBorders>
            <w:shd w:val="clear" w:color="auto" w:fill="F8E5CF"/>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12</w:t>
            </w:r>
          </w:p>
        </w:tc>
        <w:tc>
          <w:tcPr>
            <w:tcW w:w="1461" w:type="dxa"/>
            <w:tcBorders>
              <w:top w:val="single" w:sz="8" w:space="0" w:color="000000"/>
              <w:left w:val="single" w:sz="8" w:space="0" w:color="000000"/>
              <w:bottom w:val="single" w:sz="8" w:space="0" w:color="000000"/>
              <w:right w:val="single" w:sz="8" w:space="0" w:color="000000"/>
            </w:tcBorders>
            <w:shd w:val="clear" w:color="auto" w:fill="F8E5CF"/>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9</w:t>
            </w:r>
          </w:p>
        </w:tc>
        <w:tc>
          <w:tcPr>
            <w:tcW w:w="2362"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18.4%</w:t>
            </w:r>
          </w:p>
        </w:tc>
      </w:tr>
      <w:tr w:rsidR="00EC52A2" w:rsidRPr="00D17A5D" w:rsidTr="00E60C81">
        <w:trPr>
          <w:trHeight w:val="295"/>
        </w:trPr>
        <w:tc>
          <w:tcPr>
            <w:tcW w:w="2434"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Cardiac All</w:t>
            </w:r>
          </w:p>
        </w:tc>
        <w:tc>
          <w:tcPr>
            <w:tcW w:w="11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419</w:t>
            </w:r>
          </w:p>
        </w:tc>
        <w:tc>
          <w:tcPr>
            <w:tcW w:w="1314"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169</w:t>
            </w:r>
          </w:p>
        </w:tc>
        <w:tc>
          <w:tcPr>
            <w:tcW w:w="14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154</w:t>
            </w:r>
          </w:p>
        </w:tc>
        <w:tc>
          <w:tcPr>
            <w:tcW w:w="2362"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37.7%</w:t>
            </w:r>
          </w:p>
        </w:tc>
      </w:tr>
      <w:tr w:rsidR="00EC52A2" w:rsidRPr="00D17A5D" w:rsidTr="00E60C81">
        <w:trPr>
          <w:trHeight w:val="295"/>
        </w:trPr>
        <w:tc>
          <w:tcPr>
            <w:tcW w:w="2434"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right"/>
              <w:rPr>
                <w:rFonts w:ascii="Times New Roman" w:hAnsi="Times New Roman" w:cs="Times New Roman"/>
              </w:rPr>
            </w:pPr>
            <w:commentRangeStart w:id="5"/>
            <w:r w:rsidRPr="00D17A5D">
              <w:rPr>
                <w:rFonts w:ascii="Times New Roman" w:hAnsi="Times New Roman" w:cs="Times New Roman"/>
                <w:i/>
                <w:iCs/>
              </w:rPr>
              <w:t>Cardiac Major</w:t>
            </w:r>
            <w:commentRangeEnd w:id="5"/>
            <w:r w:rsidR="003A52A8" w:rsidRPr="00D17A5D">
              <w:rPr>
                <w:rStyle w:val="CommentReference"/>
                <w:rFonts w:asciiTheme="minorHAnsi" w:eastAsiaTheme="minorHAnsi" w:hAnsiTheme="minorHAnsi" w:cstheme="minorBidi"/>
                <w:color w:val="auto"/>
                <w:bdr w:val="none" w:sz="0" w:space="0" w:color="auto"/>
                <w:lang w:val="en-IN" w:eastAsia="en-US"/>
                <w14:textOutline w14:w="0" w14:cap="rnd" w14:cmpd="sng" w14:algn="ctr">
                  <w14:noFill/>
                  <w14:prstDash w14:val="solid"/>
                  <w14:bevel/>
                </w14:textOutline>
              </w:rPr>
              <w:commentReference w:id="5"/>
            </w:r>
          </w:p>
        </w:tc>
        <w:tc>
          <w:tcPr>
            <w:tcW w:w="11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266</w:t>
            </w:r>
          </w:p>
        </w:tc>
        <w:tc>
          <w:tcPr>
            <w:tcW w:w="1314"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151</w:t>
            </w:r>
          </w:p>
        </w:tc>
        <w:tc>
          <w:tcPr>
            <w:tcW w:w="14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154</w:t>
            </w:r>
          </w:p>
        </w:tc>
        <w:tc>
          <w:tcPr>
            <w:tcW w:w="2362"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57.9%</w:t>
            </w:r>
          </w:p>
        </w:tc>
      </w:tr>
      <w:tr w:rsidR="00EC52A2" w:rsidRPr="00D17A5D" w:rsidTr="00E60C81">
        <w:trPr>
          <w:trHeight w:val="295"/>
        </w:trPr>
        <w:tc>
          <w:tcPr>
            <w:tcW w:w="2434"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right"/>
              <w:rPr>
                <w:rFonts w:ascii="Times New Roman" w:hAnsi="Times New Roman" w:cs="Times New Roman"/>
              </w:rPr>
            </w:pPr>
            <w:r w:rsidRPr="00D17A5D">
              <w:rPr>
                <w:rFonts w:ascii="Times New Roman" w:hAnsi="Times New Roman" w:cs="Times New Roman"/>
                <w:i/>
                <w:iCs/>
              </w:rPr>
              <w:t>Cardiac Minor</w:t>
            </w:r>
          </w:p>
        </w:tc>
        <w:tc>
          <w:tcPr>
            <w:tcW w:w="11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153</w:t>
            </w:r>
          </w:p>
        </w:tc>
        <w:tc>
          <w:tcPr>
            <w:tcW w:w="1314"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18</w:t>
            </w:r>
          </w:p>
        </w:tc>
        <w:tc>
          <w:tcPr>
            <w:tcW w:w="14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4</w:t>
            </w:r>
          </w:p>
        </w:tc>
        <w:tc>
          <w:tcPr>
            <w:tcW w:w="2362"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jc w:val="right"/>
              <w:rPr>
                <w:rFonts w:ascii="Times New Roman" w:hAnsi="Times New Roman" w:cs="Times New Roman"/>
              </w:rPr>
            </w:pPr>
            <w:r w:rsidRPr="00D17A5D">
              <w:rPr>
                <w:rFonts w:ascii="Times New Roman" w:hAnsi="Times New Roman" w:cs="Times New Roman"/>
                <w:i/>
                <w:iCs/>
              </w:rPr>
              <w:t>2.6%</w:t>
            </w:r>
          </w:p>
        </w:tc>
      </w:tr>
      <w:tr w:rsidR="00EC52A2" w:rsidRPr="00D17A5D" w:rsidTr="00E60C81">
        <w:trPr>
          <w:trHeight w:val="295"/>
        </w:trPr>
        <w:tc>
          <w:tcPr>
            <w:tcW w:w="2434"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Abdominal Wall</w:t>
            </w:r>
          </w:p>
        </w:tc>
        <w:tc>
          <w:tcPr>
            <w:tcW w:w="1161" w:type="dxa"/>
            <w:tcBorders>
              <w:top w:val="single" w:sz="8" w:space="0" w:color="000000"/>
              <w:left w:val="single" w:sz="8" w:space="0" w:color="000000"/>
              <w:bottom w:val="single" w:sz="8" w:space="0" w:color="000000"/>
              <w:right w:val="single" w:sz="8" w:space="0" w:color="000000"/>
            </w:tcBorders>
            <w:shd w:val="clear" w:color="auto" w:fill="F8E5CF"/>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160</w:t>
            </w:r>
          </w:p>
        </w:tc>
        <w:tc>
          <w:tcPr>
            <w:tcW w:w="1314" w:type="dxa"/>
            <w:tcBorders>
              <w:top w:val="single" w:sz="8" w:space="0" w:color="000000"/>
              <w:left w:val="single" w:sz="8" w:space="0" w:color="000000"/>
              <w:bottom w:val="single" w:sz="8" w:space="0" w:color="000000"/>
              <w:right w:val="single" w:sz="8" w:space="0" w:color="000000"/>
            </w:tcBorders>
            <w:shd w:val="clear" w:color="auto" w:fill="F8E5CF"/>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76</w:t>
            </w:r>
          </w:p>
        </w:tc>
        <w:tc>
          <w:tcPr>
            <w:tcW w:w="1461" w:type="dxa"/>
            <w:tcBorders>
              <w:top w:val="single" w:sz="8" w:space="0" w:color="000000"/>
              <w:left w:val="single" w:sz="8" w:space="0" w:color="000000"/>
              <w:bottom w:val="single" w:sz="8" w:space="0" w:color="000000"/>
              <w:right w:val="single" w:sz="8" w:space="0" w:color="000000"/>
            </w:tcBorders>
            <w:shd w:val="clear" w:color="auto" w:fill="F8E5CF"/>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153</w:t>
            </w:r>
          </w:p>
        </w:tc>
        <w:tc>
          <w:tcPr>
            <w:tcW w:w="2362"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95.6%</w:t>
            </w:r>
          </w:p>
        </w:tc>
      </w:tr>
      <w:tr w:rsidR="00EC52A2" w:rsidRPr="00D17A5D" w:rsidTr="00E60C81">
        <w:trPr>
          <w:trHeight w:val="455"/>
        </w:trPr>
        <w:tc>
          <w:tcPr>
            <w:tcW w:w="2434"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Gastrointestinal system</w:t>
            </w:r>
          </w:p>
        </w:tc>
        <w:tc>
          <w:tcPr>
            <w:tcW w:w="1161"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49</w:t>
            </w:r>
          </w:p>
        </w:tc>
        <w:tc>
          <w:tcPr>
            <w:tcW w:w="1314"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8</w:t>
            </w:r>
          </w:p>
        </w:tc>
        <w:tc>
          <w:tcPr>
            <w:tcW w:w="1461"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2</w:t>
            </w:r>
          </w:p>
        </w:tc>
        <w:tc>
          <w:tcPr>
            <w:tcW w:w="2362"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4.1%</w:t>
            </w:r>
          </w:p>
        </w:tc>
      </w:tr>
      <w:tr w:rsidR="00EC52A2" w:rsidRPr="00D17A5D" w:rsidTr="00E60C81">
        <w:trPr>
          <w:trHeight w:val="295"/>
        </w:trPr>
        <w:tc>
          <w:tcPr>
            <w:tcW w:w="2434"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Urogenital system</w:t>
            </w:r>
          </w:p>
        </w:tc>
        <w:tc>
          <w:tcPr>
            <w:tcW w:w="1161" w:type="dxa"/>
            <w:tcBorders>
              <w:top w:val="single" w:sz="8" w:space="0" w:color="000000"/>
              <w:left w:val="single" w:sz="8" w:space="0" w:color="000000"/>
              <w:bottom w:val="single" w:sz="8" w:space="0" w:color="000000"/>
              <w:right w:val="single" w:sz="8" w:space="0" w:color="000000"/>
            </w:tcBorders>
            <w:shd w:val="clear" w:color="auto" w:fill="F8E5CF"/>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236</w:t>
            </w:r>
          </w:p>
        </w:tc>
        <w:tc>
          <w:tcPr>
            <w:tcW w:w="1314" w:type="dxa"/>
            <w:tcBorders>
              <w:top w:val="single" w:sz="8" w:space="0" w:color="000000"/>
              <w:left w:val="single" w:sz="8" w:space="0" w:color="000000"/>
              <w:bottom w:val="single" w:sz="8" w:space="0" w:color="000000"/>
              <w:right w:val="single" w:sz="8" w:space="0" w:color="000000"/>
            </w:tcBorders>
            <w:shd w:val="clear" w:color="auto" w:fill="F8E5CF"/>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40</w:t>
            </w:r>
          </w:p>
        </w:tc>
        <w:tc>
          <w:tcPr>
            <w:tcW w:w="1461" w:type="dxa"/>
            <w:tcBorders>
              <w:top w:val="single" w:sz="8" w:space="0" w:color="000000"/>
              <w:left w:val="single" w:sz="8" w:space="0" w:color="000000"/>
              <w:bottom w:val="single" w:sz="8" w:space="0" w:color="000000"/>
              <w:right w:val="single" w:sz="8" w:space="0" w:color="000000"/>
            </w:tcBorders>
            <w:shd w:val="clear" w:color="auto" w:fill="F8E5CF"/>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50</w:t>
            </w:r>
          </w:p>
        </w:tc>
        <w:tc>
          <w:tcPr>
            <w:tcW w:w="2362"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21.2%</w:t>
            </w:r>
          </w:p>
        </w:tc>
      </w:tr>
      <w:tr w:rsidR="00EC52A2" w:rsidRPr="00D17A5D" w:rsidTr="00E60C81">
        <w:trPr>
          <w:trHeight w:val="455"/>
        </w:trPr>
        <w:tc>
          <w:tcPr>
            <w:tcW w:w="2434"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Limbs/Skeleton</w:t>
            </w:r>
          </w:p>
        </w:tc>
        <w:tc>
          <w:tcPr>
            <w:tcW w:w="1161"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231</w:t>
            </w:r>
          </w:p>
        </w:tc>
        <w:tc>
          <w:tcPr>
            <w:tcW w:w="1314"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65</w:t>
            </w:r>
          </w:p>
        </w:tc>
        <w:tc>
          <w:tcPr>
            <w:tcW w:w="1461" w:type="dxa"/>
            <w:tcBorders>
              <w:top w:val="single" w:sz="8" w:space="0" w:color="000000"/>
              <w:left w:val="single" w:sz="8" w:space="0" w:color="000000"/>
              <w:bottom w:val="single" w:sz="8" w:space="0" w:color="000000"/>
              <w:right w:val="single" w:sz="8" w:space="0" w:color="000000"/>
            </w:tcBorders>
            <w:shd w:val="clear" w:color="auto" w:fill="FEFFFE"/>
            <w:tcMar>
              <w:top w:w="0" w:type="dxa"/>
              <w:left w:w="100" w:type="dxa"/>
              <w:bottom w:w="0" w:type="dxa"/>
              <w:right w:w="10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78</w:t>
            </w:r>
          </w:p>
        </w:tc>
        <w:tc>
          <w:tcPr>
            <w:tcW w:w="2362"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33.8%</w:t>
            </w:r>
          </w:p>
        </w:tc>
      </w:tr>
      <w:tr w:rsidR="00EC52A2" w:rsidRPr="00D17A5D" w:rsidTr="00E60C81">
        <w:trPr>
          <w:trHeight w:val="455"/>
        </w:trPr>
        <w:tc>
          <w:tcPr>
            <w:tcW w:w="2434"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Miscellaneous</w:t>
            </w:r>
          </w:p>
        </w:tc>
        <w:tc>
          <w:tcPr>
            <w:tcW w:w="1161"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237</w:t>
            </w:r>
          </w:p>
        </w:tc>
        <w:tc>
          <w:tcPr>
            <w:tcW w:w="1314"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136</w:t>
            </w:r>
          </w:p>
        </w:tc>
        <w:tc>
          <w:tcPr>
            <w:tcW w:w="1461"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180</w:t>
            </w:r>
          </w:p>
        </w:tc>
        <w:tc>
          <w:tcPr>
            <w:tcW w:w="2362" w:type="dxa"/>
            <w:tcBorders>
              <w:top w:val="single" w:sz="8" w:space="0" w:color="000000"/>
              <w:left w:val="single" w:sz="8" w:space="0" w:color="000000"/>
              <w:bottom w:val="single" w:sz="8" w:space="0" w:color="000000"/>
              <w:right w:val="single" w:sz="8" w:space="0" w:color="000000"/>
            </w:tcBorders>
            <w:shd w:val="clear" w:color="auto" w:fill="F8E5CF"/>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21.2%</w:t>
            </w:r>
          </w:p>
        </w:tc>
      </w:tr>
      <w:tr w:rsidR="00EC52A2" w:rsidRPr="00D17A5D" w:rsidTr="00E60C81">
        <w:trPr>
          <w:trHeight w:val="313"/>
        </w:trPr>
        <w:tc>
          <w:tcPr>
            <w:tcW w:w="2434"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ind w:firstLine="283"/>
              <w:jc w:val="left"/>
              <w:rPr>
                <w:rFonts w:ascii="Times New Roman" w:hAnsi="Times New Roman" w:cs="Times New Roman"/>
              </w:rPr>
            </w:pPr>
            <w:r w:rsidRPr="00D17A5D">
              <w:rPr>
                <w:rFonts w:ascii="Times New Roman" w:hAnsi="Times New Roman" w:cs="Times New Roman"/>
              </w:rPr>
              <w:t>Overall</w:t>
            </w:r>
          </w:p>
        </w:tc>
        <w:tc>
          <w:tcPr>
            <w:tcW w:w="11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1578</w:t>
            </w:r>
            <w:r w:rsidRPr="00D17A5D">
              <w:rPr>
                <w:rFonts w:ascii="Times New Roman" w:hAnsi="Times New Roman" w:cs="Times New Roman"/>
                <w:vertAlign w:val="superscript"/>
              </w:rPr>
              <w:t>a</w:t>
            </w:r>
          </w:p>
        </w:tc>
        <w:tc>
          <w:tcPr>
            <w:tcW w:w="1314"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EC52A2">
            <w:pPr>
              <w:pStyle w:val="T3"/>
              <w:widowControl w:val="0"/>
              <w:spacing w:line="480" w:lineRule="auto"/>
            </w:pPr>
          </w:p>
        </w:tc>
        <w:tc>
          <w:tcPr>
            <w:tcW w:w="1461" w:type="dxa"/>
            <w:tcBorders>
              <w:top w:val="single" w:sz="8" w:space="0" w:color="000000"/>
              <w:left w:val="single" w:sz="8" w:space="0" w:color="000000"/>
              <w:bottom w:val="single" w:sz="8" w:space="0" w:color="000000"/>
              <w:right w:val="single" w:sz="8" w:space="0" w:color="000000"/>
            </w:tcBorders>
            <w:shd w:val="clear" w:color="auto" w:fill="FEFFFE"/>
            <w:tcMar>
              <w:top w:w="80" w:type="dxa"/>
              <w:left w:w="80" w:type="dxa"/>
              <w:bottom w:w="80" w:type="dxa"/>
              <w:right w:w="8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680</w:t>
            </w:r>
            <w:r w:rsidRPr="00D17A5D">
              <w:rPr>
                <w:rFonts w:ascii="Times New Roman" w:hAnsi="Times New Roman" w:cs="Times New Roman"/>
                <w:vertAlign w:val="superscript"/>
              </w:rPr>
              <w:t>a</w:t>
            </w:r>
          </w:p>
        </w:tc>
        <w:tc>
          <w:tcPr>
            <w:tcW w:w="2362" w:type="dxa"/>
            <w:tcBorders>
              <w:top w:val="single" w:sz="8" w:space="0" w:color="000000"/>
              <w:left w:val="single" w:sz="8" w:space="0" w:color="000000"/>
              <w:bottom w:val="single" w:sz="8" w:space="0" w:color="000000"/>
              <w:right w:val="single" w:sz="8" w:space="0" w:color="000000"/>
            </w:tcBorders>
            <w:shd w:val="clear" w:color="auto" w:fill="FEFFFE"/>
            <w:tcMar>
              <w:top w:w="0" w:type="dxa"/>
              <w:left w:w="0" w:type="dxa"/>
              <w:bottom w:w="0" w:type="dxa"/>
              <w:right w:w="0" w:type="dxa"/>
            </w:tcMar>
            <w:vAlign w:val="center"/>
          </w:tcPr>
          <w:p w:rsidR="00EC52A2" w:rsidRPr="00D17A5D" w:rsidRDefault="000468CF">
            <w:pPr>
              <w:pStyle w:val="T"/>
              <w:widowControl w:val="0"/>
              <w:spacing w:after="0" w:line="480" w:lineRule="auto"/>
              <w:jc w:val="center"/>
              <w:rPr>
                <w:rFonts w:ascii="Times New Roman" w:hAnsi="Times New Roman" w:cs="Times New Roman"/>
              </w:rPr>
            </w:pPr>
            <w:r w:rsidRPr="00D17A5D">
              <w:rPr>
                <w:rFonts w:ascii="Times New Roman" w:hAnsi="Times New Roman" w:cs="Times New Roman"/>
              </w:rPr>
              <w:t>43.1%</w:t>
            </w:r>
            <w:r w:rsidRPr="00D17A5D">
              <w:rPr>
                <w:rFonts w:ascii="Times New Roman" w:hAnsi="Times New Roman" w:cs="Times New Roman"/>
                <w:vertAlign w:val="superscript"/>
              </w:rPr>
              <w:t>a</w:t>
            </w:r>
          </w:p>
        </w:tc>
      </w:tr>
    </w:tbl>
    <w:p w:rsidR="003220D7" w:rsidRPr="00D17A5D" w:rsidRDefault="003220D7" w:rsidP="003220D7">
      <w:pPr>
        <w:pStyle w:val="TFN0"/>
      </w:pPr>
      <w:r w:rsidRPr="00D17A5D">
        <w:t xml:space="preserve">a) </w:t>
      </w:r>
      <w:commentRangeStart w:id="6"/>
      <w:r w:rsidRPr="00D17A5D">
        <w:t>Some</w:t>
      </w:r>
      <w:commentRangeEnd w:id="6"/>
      <w:r w:rsidR="00B57880" w:rsidRPr="00D17A5D">
        <w:rPr>
          <w:rStyle w:val="CommentReference"/>
          <w:rFonts w:asciiTheme="minorHAnsi" w:eastAsiaTheme="minorHAnsi" w:hAnsiTheme="minorHAnsi" w:cstheme="minorBidi"/>
          <w:bdr w:val="none" w:sz="0" w:space="0" w:color="auto"/>
          <w:lang w:val="en-IN"/>
        </w:rPr>
        <w:commentReference w:id="6"/>
      </w:r>
      <w:r w:rsidRPr="00D17A5D">
        <w:t xml:space="preserve"> fetuses had more than one anomaly and are displayed more than once.</w:t>
      </w:r>
    </w:p>
    <w:p w:rsidR="00E60C81" w:rsidRPr="00D17A5D" w:rsidRDefault="00E60C81" w:rsidP="00E60C81">
      <w:pPr>
        <w:pStyle w:val="TSN"/>
      </w:pPr>
      <w:r w:rsidRPr="00D17A5D">
        <w:rPr>
          <w:rFonts w:ascii="Times New Roman" w:hAnsi="Times New Roman" w:cs="Times New Roman"/>
          <w:i/>
          <w:iCs/>
        </w:rPr>
        <w:t>Modified and adapted from Liao Y, et al. Routine first-trimester ultrasound screening using a standardized anatomical protocol. Am J Obstet Gynecol. 2021;224:396.e1-396.e15. (Copyright from Elsevier limited with permission)</w:t>
      </w:r>
    </w:p>
    <w:p w:rsidR="00EC52A2" w:rsidRPr="00D17A5D" w:rsidRDefault="000468CF">
      <w:pPr>
        <w:widowControl w:val="0"/>
        <w:spacing w:line="480" w:lineRule="auto"/>
      </w:pPr>
      <w:r w:rsidRPr="00D17A5D">
        <w:br w:type="page"/>
      </w:r>
    </w:p>
    <w:p w:rsidR="003220D7" w:rsidRPr="00D17A5D" w:rsidRDefault="003220D7" w:rsidP="003220D7">
      <w:pPr>
        <w:pStyle w:val="T11"/>
        <w:rPr>
          <w:b/>
          <w:bCs/>
          <w:u w:color="000000"/>
          <w14:textOutline w14:w="12700" w14:cap="flat" w14:cmpd="sng" w14:algn="ctr">
            <w14:noFill/>
            <w14:prstDash w14:val="solid"/>
            <w14:miter w14:lim="400000"/>
          </w14:textOutline>
        </w:rPr>
      </w:pPr>
      <w:r w:rsidRPr="00D17A5D">
        <w:rPr>
          <w:rStyle w:val="TN"/>
          <w:b/>
          <w:bCs/>
          <w:u w:color="000000"/>
          <w14:textOutline w14:w="12700" w14:cap="flat" w14:cmpd="sng" w14:algn="ctr">
            <w14:noFill/>
            <w14:prstDash w14:val="solid"/>
            <w14:miter w14:lim="400000"/>
          </w14:textOutline>
        </w:rPr>
        <w:t>Table 2.4:</w:t>
      </w:r>
      <w:r w:rsidRPr="00D17A5D">
        <w:rPr>
          <w:b/>
          <w:bCs/>
          <w:u w:color="000000"/>
          <w14:textOutline w14:w="12700" w14:cap="flat" w14:cmpd="sng" w14:algn="ctr">
            <w14:noFill/>
            <w14:prstDash w14:val="solid"/>
            <w14:miter w14:lim="400000"/>
          </w14:textOutline>
        </w:rPr>
        <w:t xml:space="preserve"> Prevalence of 16 Predefined Major Fetal Anomalies per 10,000 Screening Ultrasound Examinations</w:t>
      </w:r>
    </w:p>
    <w:tbl>
      <w:tblPr>
        <w:tblStyle w:val="TableNormal10"/>
        <w:tblW w:w="9096" w:type="dxa"/>
        <w:tblInd w:w="1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3710"/>
        <w:gridCol w:w="1842"/>
        <w:gridCol w:w="1276"/>
        <w:gridCol w:w="2268"/>
      </w:tblGrid>
      <w:tr w:rsidR="00EC52A2" w:rsidRPr="00D17A5D" w:rsidTr="003220D7">
        <w:trPr>
          <w:trHeight w:val="494"/>
        </w:trPr>
        <w:tc>
          <w:tcPr>
            <w:tcW w:w="3710"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0"/>
              <w:widowControl w:val="0"/>
              <w:tabs>
                <w:tab w:val="left" w:pos="220"/>
                <w:tab w:val="left" w:pos="720"/>
              </w:tabs>
              <w:jc w:val="center"/>
              <w:rPr>
                <w:b/>
                <w:bCs/>
              </w:rPr>
            </w:pPr>
            <w:r w:rsidRPr="00D17A5D">
              <w:rPr>
                <w:b/>
                <w:bCs/>
                <w:u w:color="000000"/>
              </w:rPr>
              <w:t>Anomaly</w:t>
            </w:r>
          </w:p>
        </w:tc>
        <w:tc>
          <w:tcPr>
            <w:tcW w:w="1842"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0"/>
              <w:widowControl w:val="0"/>
              <w:tabs>
                <w:tab w:val="left" w:pos="220"/>
                <w:tab w:val="left" w:pos="720"/>
              </w:tabs>
              <w:jc w:val="center"/>
              <w:rPr>
                <w:b/>
                <w:bCs/>
              </w:rPr>
            </w:pPr>
            <w:r w:rsidRPr="00D17A5D">
              <w:rPr>
                <w:b/>
                <w:bCs/>
                <w:u w:color="000000"/>
              </w:rPr>
              <w:t>Fetuses screened (n)</w:t>
            </w:r>
          </w:p>
        </w:tc>
        <w:tc>
          <w:tcPr>
            <w:tcW w:w="1276"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0"/>
              <w:widowControl w:val="0"/>
              <w:tabs>
                <w:tab w:val="left" w:pos="220"/>
                <w:tab w:val="left" w:pos="720"/>
              </w:tabs>
              <w:jc w:val="center"/>
              <w:rPr>
                <w:b/>
                <w:bCs/>
              </w:rPr>
            </w:pPr>
            <w:r w:rsidRPr="00D17A5D">
              <w:rPr>
                <w:b/>
                <w:bCs/>
                <w:u w:color="000000"/>
              </w:rPr>
              <w:t>Affected fetuses (n)</w:t>
            </w:r>
          </w:p>
        </w:tc>
        <w:tc>
          <w:tcPr>
            <w:tcW w:w="2268" w:type="dxa"/>
            <w:tcBorders>
              <w:top w:val="single" w:sz="8" w:space="0" w:color="000000"/>
              <w:left w:val="single" w:sz="8" w:space="0" w:color="000000"/>
              <w:bottom w:val="single" w:sz="8" w:space="0" w:color="000000"/>
              <w:right w:val="single" w:sz="8" w:space="0" w:color="000000"/>
            </w:tcBorders>
            <w:shd w:val="clear" w:color="auto" w:fill="B8E0BC"/>
            <w:tcMar>
              <w:top w:w="80" w:type="dxa"/>
              <w:left w:w="80" w:type="dxa"/>
              <w:bottom w:w="80" w:type="dxa"/>
              <w:right w:w="80" w:type="dxa"/>
            </w:tcMar>
            <w:vAlign w:val="center"/>
          </w:tcPr>
          <w:p w:rsidR="00EC52A2" w:rsidRPr="00D17A5D" w:rsidRDefault="000468CF">
            <w:pPr>
              <w:pStyle w:val="T20"/>
              <w:widowControl w:val="0"/>
              <w:tabs>
                <w:tab w:val="left" w:pos="220"/>
                <w:tab w:val="left" w:pos="720"/>
              </w:tabs>
              <w:jc w:val="center"/>
              <w:rPr>
                <w:b/>
                <w:bCs/>
              </w:rPr>
            </w:pPr>
            <w:r w:rsidRPr="00D17A5D">
              <w:rPr>
                <w:b/>
                <w:bCs/>
                <w:u w:color="000000"/>
              </w:rPr>
              <w:t xml:space="preserve">Prevalence per 10,000 (95% </w:t>
            </w:r>
            <w:r w:rsidRPr="00D17A5D">
              <w:rPr>
                <w:rStyle w:val="allcaps"/>
                <w:b/>
                <w:bCs/>
                <w:u w:color="000000"/>
              </w:rPr>
              <w:t>CI</w:t>
            </w:r>
            <w:r w:rsidRPr="00D17A5D">
              <w:rPr>
                <w:b/>
                <w:bCs/>
                <w:u w:color="000000"/>
              </w:rPr>
              <w:t>)</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Acrania</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399,373</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314</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8.84 (6.69–11.28)</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Holoprosencephaly (all types)</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383,051</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131</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4.95 (2.91–7.51)</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Encephalocele</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395,773</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58</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2.38 (1.26–3.87)</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Severe ventriculomegaly</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371,983</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23</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1.47 (0.11–4.35)</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Spina bifida (all types)</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488,707</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220</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6.94 (4.97–9.23)</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Facial cleft (all types)</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389,369</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392</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10.88 (7.66–14.66)</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Exomphalos</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395,773</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290</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7.45 (5.32–9.94)</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Gastroschisis</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395,773</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122</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3.23 (2.31–4.32)</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Body-stalk anomaly</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404,709</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104</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3.97 (1.78–7.02)</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Congenital diaphragmatic hernia</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377,544</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86</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3.08 (1.94–4.47)</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Bilateral renal agenesis</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371,983</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36</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1.79 (0.80–3.17)</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Limb-reduction defects</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371,983</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128</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5.57 (3.25–8.51)</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Talipes</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371,983</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308</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10.71 (6.70–15.65)</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Polydactyly</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371,983</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70</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6.81 (2.66–12.86)</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Lethal skeletal dysplasias</w:t>
            </w:r>
          </w:p>
        </w:tc>
        <w:tc>
          <w:tcPr>
            <w:tcW w:w="1842"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371,983</w:t>
            </w:r>
          </w:p>
        </w:tc>
        <w:tc>
          <w:tcPr>
            <w:tcW w:w="1276"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33</w:t>
            </w:r>
          </w:p>
        </w:tc>
        <w:tc>
          <w:tcPr>
            <w:tcW w:w="2268" w:type="dxa"/>
            <w:tcBorders>
              <w:top w:val="single" w:sz="8" w:space="0" w:color="000000"/>
              <w:left w:val="single" w:sz="8" w:space="0" w:color="000000"/>
              <w:bottom w:val="single" w:sz="8" w:space="0" w:color="000000"/>
              <w:right w:val="single" w:sz="8" w:space="0" w:color="000000"/>
            </w:tcBorders>
            <w:shd w:val="clear" w:color="auto" w:fill="FEF3DA"/>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1.49 (0.60–2.76)</w:t>
            </w:r>
          </w:p>
        </w:tc>
      </w:tr>
      <w:tr w:rsidR="00EC52A2" w:rsidRPr="00D17A5D" w:rsidTr="003220D7">
        <w:trPr>
          <w:trHeight w:val="300"/>
        </w:trPr>
        <w:tc>
          <w:tcPr>
            <w:tcW w:w="3710"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ind w:firstLine="283"/>
              <w:outlineLvl w:val="0"/>
            </w:pPr>
            <w:r w:rsidRPr="00D17A5D">
              <w:rPr>
                <w14:textOutline w14:w="12700" w14:cap="flat" w14:cmpd="sng" w14:algn="ctr">
                  <w14:noFill/>
                  <w14:prstDash w14:val="solid"/>
                  <w14:miter w14:lim="400000"/>
                </w14:textOutline>
              </w:rPr>
              <w:t>Lower urinary tract obstruction</w:t>
            </w:r>
          </w:p>
        </w:tc>
        <w:tc>
          <w:tcPr>
            <w:tcW w:w="1842"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371,983</w:t>
            </w:r>
          </w:p>
        </w:tc>
        <w:tc>
          <w:tcPr>
            <w:tcW w:w="1276"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84</w:t>
            </w:r>
          </w:p>
        </w:tc>
        <w:tc>
          <w:tcPr>
            <w:tcW w:w="2268" w:type="dxa"/>
            <w:tcBorders>
              <w:top w:val="single" w:sz="8" w:space="0" w:color="000000"/>
              <w:left w:val="single" w:sz="8" w:space="0" w:color="000000"/>
              <w:bottom w:val="single" w:sz="8" w:space="0" w:color="000000"/>
              <w:right w:val="single" w:sz="8" w:space="0" w:color="000000"/>
            </w:tcBorders>
            <w:shd w:val="clear" w:color="auto" w:fill="FFFFFF"/>
            <w:tcMar>
              <w:top w:w="20" w:type="dxa"/>
              <w:left w:w="20" w:type="dxa"/>
              <w:bottom w:w="20" w:type="dxa"/>
              <w:right w:w="20" w:type="dxa"/>
            </w:tcMar>
            <w:vAlign w:val="center"/>
          </w:tcPr>
          <w:p w:rsidR="00EC52A2" w:rsidRPr="00D17A5D" w:rsidRDefault="000468CF">
            <w:pPr>
              <w:pStyle w:val="T3"/>
              <w:widowControl w:val="0"/>
              <w:suppressAutoHyphens/>
              <w:spacing w:line="480" w:lineRule="auto"/>
              <w:jc w:val="center"/>
              <w:outlineLvl w:val="0"/>
            </w:pPr>
            <w:r w:rsidRPr="00D17A5D">
              <w:rPr>
                <w14:textOutline w14:w="12700" w14:cap="flat" w14:cmpd="sng" w14:algn="ctr">
                  <w14:noFill/>
                  <w14:prstDash w14:val="solid"/>
                  <w14:miter w14:lim="400000"/>
                </w14:textOutline>
              </w:rPr>
              <w:t>2.46 (1.02–4.53)</w:t>
            </w:r>
          </w:p>
        </w:tc>
      </w:tr>
    </w:tbl>
    <w:p w:rsidR="003220D7" w:rsidRPr="00D17A5D" w:rsidRDefault="003220D7" w:rsidP="003220D7">
      <w:pPr>
        <w:pStyle w:val="TSN"/>
      </w:pPr>
      <w:r w:rsidRPr="00D17A5D">
        <w:rPr>
          <w:i/>
          <w:iCs/>
          <w:u w:color="000000"/>
          <w14:textOutline w14:w="12700" w14:cap="flat" w14:cmpd="sng" w14:algn="ctr">
            <w14:noFill/>
            <w14:prstDash w14:val="solid"/>
            <w14:miter w14:lim="400000"/>
          </w14:textOutline>
        </w:rPr>
        <w:t>Adapted from Karim et al. Ultrasound Obstet Gynecol 2024;64:15–27; Copyright John Wiley &amp; Sons, Ltd., with permission)</w:t>
      </w:r>
    </w:p>
    <w:p w:rsidR="00EC52A2" w:rsidRPr="00D17A5D" w:rsidRDefault="000468CF">
      <w:pPr>
        <w:widowControl w:val="0"/>
        <w:spacing w:line="480" w:lineRule="auto"/>
      </w:pPr>
      <w:r w:rsidRPr="00D17A5D">
        <w:br w:type="page"/>
      </w:r>
    </w:p>
    <w:p w:rsidR="003220D7" w:rsidRPr="00D17A5D" w:rsidRDefault="003220D7" w:rsidP="003220D7">
      <w:pPr>
        <w:pStyle w:val="T11"/>
        <w:widowControl w:val="0"/>
        <w:suppressAutoHyphens/>
        <w:outlineLvl w:val="0"/>
        <w:rPr>
          <w:b/>
          <w:bCs/>
        </w:rPr>
      </w:pPr>
      <w:r w:rsidRPr="00D17A5D">
        <w:rPr>
          <w:rStyle w:val="TN"/>
          <w:b/>
          <w:bCs/>
          <w:u w:color="000000"/>
          <w14:textOutline w14:w="12700" w14:cap="flat" w14:cmpd="sng" w14:algn="ctr">
            <w14:noFill/>
            <w14:prstDash w14:val="solid"/>
            <w14:miter w14:lim="400000"/>
          </w14:textOutline>
        </w:rPr>
        <w:t>Table 2.5:</w:t>
      </w:r>
      <w:r w:rsidRPr="00D17A5D">
        <w:rPr>
          <w:b/>
          <w:bCs/>
          <w:u w:color="000000"/>
          <w14:textOutline w14:w="12700" w14:cap="flat" w14:cmpd="sng" w14:algn="ctr">
            <w14:noFill/>
            <w14:prstDash w14:val="solid"/>
            <w14:miter w14:lim="400000"/>
          </w14:textOutline>
        </w:rPr>
        <w:t xml:space="preserve"> Classification of Anomalies Based on First Trimester Screening Sensitivity</w:t>
      </w:r>
    </w:p>
    <w:tbl>
      <w:tblPr>
        <w:tblStyle w:val="TableNormal10"/>
        <w:tblW w:w="9362"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5949"/>
        <w:gridCol w:w="3413"/>
      </w:tblGrid>
      <w:tr w:rsidR="00EC52A2" w:rsidRPr="00D17A5D">
        <w:trPr>
          <w:trHeight w:val="420"/>
        </w:trPr>
        <w:tc>
          <w:tcPr>
            <w:tcW w:w="5949" w:type="dxa"/>
            <w:tcBorders>
              <w:top w:val="single" w:sz="8" w:space="0" w:color="000000"/>
              <w:left w:val="single" w:sz="8" w:space="0" w:color="000000"/>
              <w:bottom w:val="single" w:sz="8" w:space="0" w:color="000000"/>
              <w:right w:val="single" w:sz="8" w:space="0" w:color="000000"/>
            </w:tcBorders>
            <w:shd w:val="clear" w:color="auto" w:fill="CDE4FA"/>
            <w:tcMar>
              <w:top w:w="20" w:type="dxa"/>
              <w:left w:w="20" w:type="dxa"/>
              <w:bottom w:w="20" w:type="dxa"/>
              <w:right w:w="20" w:type="dxa"/>
            </w:tcMar>
            <w:vAlign w:val="center"/>
          </w:tcPr>
          <w:p w:rsidR="00EC52A2" w:rsidRPr="00D17A5D" w:rsidRDefault="000468CF">
            <w:pPr>
              <w:pStyle w:val="T20"/>
              <w:widowControl w:val="0"/>
              <w:suppressAutoHyphens/>
              <w:jc w:val="center"/>
              <w:outlineLvl w:val="0"/>
              <w:rPr>
                <w:b/>
                <w:bCs/>
              </w:rPr>
            </w:pPr>
            <w:r w:rsidRPr="00D17A5D">
              <w:rPr>
                <w:b/>
                <w:bCs/>
                <w14:textOutline w14:w="12700" w14:cap="flat" w14:cmpd="sng" w14:algn="ctr">
                  <w14:noFill/>
                  <w14:prstDash w14:val="solid"/>
                  <w14:miter w14:lim="400000"/>
                </w14:textOutline>
              </w:rPr>
              <w:t>Anomaly</w:t>
            </w:r>
          </w:p>
        </w:tc>
        <w:tc>
          <w:tcPr>
            <w:tcW w:w="3413" w:type="dxa"/>
            <w:tcBorders>
              <w:top w:val="single" w:sz="8" w:space="0" w:color="000000"/>
              <w:left w:val="single" w:sz="8" w:space="0" w:color="000000"/>
              <w:bottom w:val="single" w:sz="8" w:space="0" w:color="000000"/>
              <w:right w:val="single" w:sz="8" w:space="0" w:color="000000"/>
            </w:tcBorders>
            <w:shd w:val="clear" w:color="auto" w:fill="CDE4FA"/>
            <w:tcMar>
              <w:top w:w="20" w:type="dxa"/>
              <w:left w:w="20" w:type="dxa"/>
              <w:bottom w:w="20" w:type="dxa"/>
              <w:right w:w="20" w:type="dxa"/>
            </w:tcMar>
            <w:vAlign w:val="center"/>
          </w:tcPr>
          <w:p w:rsidR="00EC52A2" w:rsidRPr="00D17A5D" w:rsidRDefault="000468CF">
            <w:pPr>
              <w:pStyle w:val="T20"/>
              <w:widowControl w:val="0"/>
              <w:suppressAutoHyphens/>
              <w:jc w:val="center"/>
              <w:outlineLvl w:val="0"/>
              <w:rPr>
                <w:b/>
                <w:bCs/>
              </w:rPr>
            </w:pPr>
            <w:r w:rsidRPr="00D17A5D">
              <w:rPr>
                <w:b/>
                <w:bCs/>
                <w14:textOutline w14:w="12700" w14:cap="flat" w14:cmpd="sng" w14:algn="ctr">
                  <w14:noFill/>
                  <w14:prstDash w14:val="solid"/>
                  <w14:miter w14:lim="400000"/>
                </w14:textOutline>
              </w:rPr>
              <w:t>Sensitivity (%)</w:t>
            </w:r>
          </w:p>
        </w:tc>
      </w:tr>
      <w:tr w:rsidR="00EC52A2" w:rsidRPr="00D17A5D">
        <w:tblPrEx>
          <w:shd w:val="clear" w:color="auto" w:fill="CED7E7"/>
        </w:tblPrEx>
        <w:trPr>
          <w:trHeight w:val="296"/>
        </w:trPr>
        <w:tc>
          <w:tcPr>
            <w:tcW w:w="5949" w:type="dxa"/>
            <w:tcBorders>
              <w:top w:val="single" w:sz="8" w:space="0" w:color="000000"/>
              <w:left w:val="single" w:sz="8" w:space="0" w:color="000000"/>
              <w:bottom w:val="single" w:sz="8" w:space="0" w:color="000000"/>
              <w:right w:val="single" w:sz="8" w:space="0" w:color="000000"/>
            </w:tcBorders>
            <w:shd w:val="clear" w:color="auto" w:fill="B8E0BC"/>
            <w:tcMar>
              <w:top w:w="80" w:type="dxa"/>
              <w:left w:w="363" w:type="dxa"/>
              <w:bottom w:w="80" w:type="dxa"/>
              <w:right w:w="80" w:type="dxa"/>
            </w:tcMar>
          </w:tcPr>
          <w:p w:rsidR="00EC52A2" w:rsidRPr="00D17A5D" w:rsidRDefault="000468CF" w:rsidP="003220D7">
            <w:pPr>
              <w:pStyle w:val="T30"/>
            </w:pPr>
            <w:r w:rsidRPr="00D17A5D">
              <w:t>Pooled screening sensitivity &gt; 80%</w:t>
            </w:r>
          </w:p>
        </w:tc>
        <w:tc>
          <w:tcPr>
            <w:tcW w:w="3413" w:type="dxa"/>
            <w:tcBorders>
              <w:top w:val="single" w:sz="8" w:space="0" w:color="000000"/>
              <w:left w:val="single" w:sz="8" w:space="0" w:color="000000"/>
              <w:bottom w:val="single" w:sz="8" w:space="0" w:color="000000"/>
              <w:right w:val="single" w:sz="8" w:space="0" w:color="000000"/>
            </w:tcBorders>
            <w:shd w:val="clear" w:color="auto" w:fill="B8E0BC"/>
            <w:tcMar>
              <w:top w:w="0" w:type="dxa"/>
              <w:left w:w="283" w:type="dxa"/>
              <w:bottom w:w="0" w:type="dxa"/>
              <w:right w:w="0" w:type="dxa"/>
            </w:tcMar>
          </w:tcPr>
          <w:p w:rsidR="00EC52A2" w:rsidRPr="00D17A5D" w:rsidRDefault="00EC52A2" w:rsidP="003220D7">
            <w:pPr>
              <w:pStyle w:val="T30"/>
            </w:pP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Acrania</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98.26</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Body-stalk anomaly</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97.99</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Gastroschisis</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95.64</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Exomphalos</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94.73</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Encephalocele</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89.94</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Holoprosencephaly (alobar only)</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88.77</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Holoprosencephaly (all types)</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88.20</w:t>
            </w:r>
          </w:p>
        </w:tc>
      </w:tr>
      <w:tr w:rsidR="00EC52A2" w:rsidRPr="00D17A5D">
        <w:tblPrEx>
          <w:shd w:val="clear" w:color="auto" w:fill="CED7E7"/>
        </w:tblPrEx>
        <w:trPr>
          <w:trHeight w:val="274"/>
        </w:trPr>
        <w:tc>
          <w:tcPr>
            <w:tcW w:w="5949" w:type="dxa"/>
            <w:tcBorders>
              <w:top w:val="single" w:sz="8" w:space="0" w:color="000000"/>
              <w:left w:val="single" w:sz="8" w:space="0" w:color="000000"/>
              <w:bottom w:val="single" w:sz="8" w:space="0" w:color="000000"/>
              <w:right w:val="single" w:sz="8" w:space="0" w:color="000000"/>
            </w:tcBorders>
            <w:shd w:val="clear" w:color="auto" w:fill="B8E0BC"/>
            <w:tcMar>
              <w:top w:w="80" w:type="dxa"/>
              <w:left w:w="363" w:type="dxa"/>
              <w:bottom w:w="80" w:type="dxa"/>
              <w:right w:w="80" w:type="dxa"/>
            </w:tcMar>
          </w:tcPr>
          <w:p w:rsidR="00EC52A2" w:rsidRPr="00D17A5D" w:rsidRDefault="000468CF" w:rsidP="003220D7">
            <w:pPr>
              <w:pStyle w:val="T30"/>
            </w:pPr>
            <w:r w:rsidRPr="00D17A5D">
              <w:t>Pooled screening sensitivity 50–80%</w:t>
            </w:r>
          </w:p>
        </w:tc>
        <w:tc>
          <w:tcPr>
            <w:tcW w:w="3413" w:type="dxa"/>
            <w:tcBorders>
              <w:top w:val="single" w:sz="8" w:space="0" w:color="000000"/>
              <w:left w:val="single" w:sz="8" w:space="0" w:color="000000"/>
              <w:bottom w:val="single" w:sz="8" w:space="0" w:color="000000"/>
              <w:right w:val="single" w:sz="8" w:space="0" w:color="000000"/>
            </w:tcBorders>
            <w:shd w:val="clear" w:color="auto" w:fill="B8E0BC"/>
            <w:tcMar>
              <w:top w:w="80" w:type="dxa"/>
              <w:left w:w="363" w:type="dxa"/>
              <w:bottom w:w="80" w:type="dxa"/>
              <w:right w:w="80" w:type="dxa"/>
            </w:tcMar>
          </w:tcPr>
          <w:p w:rsidR="00EC52A2" w:rsidRPr="00D17A5D" w:rsidRDefault="00EC52A2" w:rsidP="003220D7">
            <w:pPr>
              <w:pStyle w:val="T30"/>
            </w:pP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Spina bifida (open)</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68.79</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Lower urinary tract obstruction</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65.70</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Lethal skeletal dysplasias</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57.02</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Limb-reduction defects</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50.30</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Spina bifida (all types)</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50.25</w:t>
            </w:r>
          </w:p>
        </w:tc>
      </w:tr>
      <w:tr w:rsidR="00EC52A2" w:rsidRPr="00D17A5D">
        <w:tblPrEx>
          <w:shd w:val="clear" w:color="auto" w:fill="CED7E7"/>
        </w:tblPrEx>
        <w:trPr>
          <w:trHeight w:val="274"/>
        </w:trPr>
        <w:tc>
          <w:tcPr>
            <w:tcW w:w="5949" w:type="dxa"/>
            <w:tcBorders>
              <w:top w:val="single" w:sz="8" w:space="0" w:color="000000"/>
              <w:left w:val="single" w:sz="8" w:space="0" w:color="000000"/>
              <w:bottom w:val="single" w:sz="8" w:space="0" w:color="000000"/>
              <w:right w:val="single" w:sz="8" w:space="0" w:color="000000"/>
            </w:tcBorders>
            <w:shd w:val="clear" w:color="auto" w:fill="B8E0BC"/>
            <w:tcMar>
              <w:top w:w="80" w:type="dxa"/>
              <w:left w:w="363" w:type="dxa"/>
              <w:bottom w:w="80" w:type="dxa"/>
              <w:right w:w="80" w:type="dxa"/>
            </w:tcMar>
          </w:tcPr>
          <w:p w:rsidR="00EC52A2" w:rsidRPr="00D17A5D" w:rsidRDefault="000468CF" w:rsidP="003220D7">
            <w:pPr>
              <w:pStyle w:val="T30"/>
            </w:pPr>
            <w:r w:rsidRPr="00D17A5D">
              <w:t>Pooled screening sensitivity 30–50%</w:t>
            </w:r>
          </w:p>
        </w:tc>
        <w:tc>
          <w:tcPr>
            <w:tcW w:w="3413" w:type="dxa"/>
            <w:tcBorders>
              <w:top w:val="single" w:sz="8" w:space="0" w:color="000000"/>
              <w:left w:val="single" w:sz="8" w:space="0" w:color="000000"/>
              <w:bottom w:val="single" w:sz="8" w:space="0" w:color="000000"/>
              <w:right w:val="single" w:sz="8" w:space="0" w:color="000000"/>
            </w:tcBorders>
            <w:shd w:val="clear" w:color="auto" w:fill="B8E0BC"/>
            <w:tcMar>
              <w:top w:w="80" w:type="dxa"/>
              <w:left w:w="363" w:type="dxa"/>
              <w:bottom w:w="80" w:type="dxa"/>
              <w:right w:w="80" w:type="dxa"/>
            </w:tcMar>
          </w:tcPr>
          <w:p w:rsidR="00EC52A2" w:rsidRPr="00D17A5D" w:rsidRDefault="00EC52A2" w:rsidP="003220D7">
            <w:pPr>
              <w:pStyle w:val="T30"/>
            </w:pP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Facial cleft (all types)</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43.44</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Cleft lip and palate</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42.76</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Polydactyly</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39.56</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Congenital diaphragmatic hernia</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38.12</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Cleft palate only</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35.34</w:t>
            </w:r>
          </w:p>
        </w:tc>
      </w:tr>
      <w:tr w:rsidR="00EC52A2" w:rsidRPr="00D17A5D">
        <w:tblPrEx>
          <w:shd w:val="clear" w:color="auto" w:fill="CED7E7"/>
        </w:tblPrEx>
        <w:trPr>
          <w:trHeight w:val="476"/>
        </w:trPr>
        <w:tc>
          <w:tcPr>
            <w:tcW w:w="5949" w:type="dxa"/>
            <w:tcBorders>
              <w:top w:val="single" w:sz="8" w:space="0" w:color="000000"/>
              <w:left w:val="single" w:sz="8" w:space="0" w:color="000000"/>
              <w:bottom w:val="single" w:sz="8" w:space="0" w:color="000000"/>
              <w:right w:val="single" w:sz="8" w:space="0" w:color="000000"/>
            </w:tcBorders>
            <w:shd w:val="clear" w:color="auto" w:fill="B8E0BC"/>
            <w:tcMar>
              <w:top w:w="80" w:type="dxa"/>
              <w:left w:w="363" w:type="dxa"/>
              <w:bottom w:w="80" w:type="dxa"/>
              <w:right w:w="80" w:type="dxa"/>
            </w:tcMar>
          </w:tcPr>
          <w:p w:rsidR="00EC52A2" w:rsidRPr="00D17A5D" w:rsidRDefault="000468CF" w:rsidP="003220D7">
            <w:pPr>
              <w:pStyle w:val="T30"/>
            </w:pPr>
            <w:r w:rsidRPr="00D17A5D">
              <w:t>Pooled screening sensitivity &lt;30%</w:t>
            </w:r>
          </w:p>
        </w:tc>
        <w:tc>
          <w:tcPr>
            <w:tcW w:w="3413" w:type="dxa"/>
            <w:tcBorders>
              <w:top w:val="single" w:sz="8" w:space="0" w:color="000000"/>
              <w:left w:val="single" w:sz="8" w:space="0" w:color="000000"/>
              <w:bottom w:val="single" w:sz="8" w:space="0" w:color="000000"/>
              <w:right w:val="single" w:sz="8" w:space="0" w:color="000000"/>
            </w:tcBorders>
            <w:shd w:val="clear" w:color="auto" w:fill="B8E0BC"/>
            <w:tcMar>
              <w:top w:w="80" w:type="dxa"/>
              <w:left w:w="363" w:type="dxa"/>
              <w:bottom w:w="80" w:type="dxa"/>
              <w:right w:w="80" w:type="dxa"/>
            </w:tcMar>
          </w:tcPr>
          <w:p w:rsidR="00EC52A2" w:rsidRPr="00D17A5D" w:rsidRDefault="00EC52A2" w:rsidP="003220D7">
            <w:pPr>
              <w:pStyle w:val="T30"/>
            </w:pP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Bilateral renal agenesis</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25.30</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Severe ventriculomegaly</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24.31</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Spina bifida (closed)</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21.15</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Cleft lip only</w:t>
            </w:r>
          </w:p>
        </w:tc>
        <w:tc>
          <w:tcPr>
            <w:tcW w:w="3413" w:type="dxa"/>
            <w:tcBorders>
              <w:top w:val="single" w:sz="8" w:space="0" w:color="000000"/>
              <w:left w:val="single" w:sz="8" w:space="0" w:color="000000"/>
              <w:bottom w:val="single" w:sz="8" w:space="0" w:color="000000"/>
              <w:right w:val="single" w:sz="8" w:space="0" w:color="000000"/>
            </w:tcBorders>
            <w:shd w:val="clear" w:color="auto" w:fill="FFFFFF"/>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13.93</w:t>
            </w:r>
          </w:p>
        </w:tc>
      </w:tr>
      <w:tr w:rsidR="00EC52A2" w:rsidRPr="00D17A5D">
        <w:tblPrEx>
          <w:shd w:val="clear" w:color="auto" w:fill="CED7E7"/>
        </w:tblPrEx>
        <w:trPr>
          <w:trHeight w:val="254"/>
        </w:trPr>
        <w:tc>
          <w:tcPr>
            <w:tcW w:w="5949"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firstLine="284"/>
            </w:pPr>
            <w:r w:rsidRPr="00D17A5D">
              <w:rPr>
                <w:u w:color="000000"/>
              </w:rPr>
              <w:t>Talipes</w:t>
            </w:r>
          </w:p>
        </w:tc>
        <w:tc>
          <w:tcPr>
            <w:tcW w:w="3413" w:type="dxa"/>
            <w:tcBorders>
              <w:top w:val="single" w:sz="8" w:space="0" w:color="000000"/>
              <w:left w:val="single" w:sz="8" w:space="0" w:color="000000"/>
              <w:bottom w:val="single" w:sz="8" w:space="0" w:color="000000"/>
              <w:right w:val="single" w:sz="8" w:space="0" w:color="000000"/>
            </w:tcBorders>
            <w:shd w:val="clear" w:color="auto" w:fill="FEF3DA"/>
            <w:tcMar>
              <w:top w:w="20" w:type="dxa"/>
              <w:left w:w="303" w:type="dxa"/>
              <w:bottom w:w="20" w:type="dxa"/>
              <w:right w:w="20" w:type="dxa"/>
            </w:tcMar>
            <w:vAlign w:val="center"/>
          </w:tcPr>
          <w:p w:rsidR="00EC52A2" w:rsidRPr="00D17A5D" w:rsidRDefault="000468CF">
            <w:pPr>
              <w:pStyle w:val="T3"/>
              <w:widowControl w:val="0"/>
              <w:tabs>
                <w:tab w:val="left" w:pos="220"/>
                <w:tab w:val="left" w:pos="720"/>
              </w:tabs>
              <w:spacing w:line="480" w:lineRule="auto"/>
              <w:ind w:left="283" w:hanging="283"/>
              <w:jc w:val="center"/>
            </w:pPr>
            <w:r w:rsidRPr="00D17A5D">
              <w:rPr>
                <w:u w:color="000000"/>
              </w:rPr>
              <w:t>11.43</w:t>
            </w:r>
          </w:p>
        </w:tc>
      </w:tr>
    </w:tbl>
    <w:p w:rsidR="003220D7" w:rsidRPr="003220D7" w:rsidRDefault="003220D7" w:rsidP="003220D7">
      <w:pPr>
        <w:pStyle w:val="TSN"/>
      </w:pPr>
      <w:r w:rsidRPr="00D17A5D">
        <w:rPr>
          <w:u w:color="000000"/>
          <w14:textOutline w14:w="12700" w14:cap="flat" w14:cmpd="sng" w14:algn="ctr">
            <w14:noFill/>
            <w14:prstDash w14:val="solid"/>
            <w14:miter w14:lim="400000"/>
          </w14:textOutline>
        </w:rPr>
        <w:t>Adapted from Karim et al: Ultrasound Obstet Gynecol 2024; 64:15–27; Copyright John Wiley &amp; Sons, Ltd., with permission)</w:t>
      </w:r>
    </w:p>
    <w:sectPr w:rsidR="003220D7" w:rsidRPr="003220D7">
      <w:pgSz w:w="12240" w:h="15840" w:code="1"/>
      <w:pgMar w:top="1440" w:right="1440" w:bottom="1440" w:left="1440" w:header="709" w:footer="850" w:gutter="0"/>
      <w:cols w:space="720"/>
      <w:docGrid w:linePitch="326"/>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5" w:author="S4C" w:date="2025-11-24T17:48:00Z" w:initials="S4C">
    <w:p w:rsidR="003A52A8" w:rsidRDefault="003A52A8">
      <w:pPr>
        <w:pStyle w:val="CommentText"/>
      </w:pPr>
      <w:r>
        <w:rPr>
          <w:rStyle w:val="CommentReference"/>
        </w:rPr>
        <w:annotationRef/>
      </w:r>
      <w:r w:rsidR="002F6D2C">
        <w:t>CE: Please check this?</w:t>
      </w:r>
    </w:p>
  </w:comment>
  <w:comment w:id="6" w:author="S4C" w:date="2025-11-24T17:49:00Z" w:initials="S4C">
    <w:p w:rsidR="00B57880" w:rsidRDefault="00B57880">
      <w:pPr>
        <w:pStyle w:val="CommentText"/>
      </w:pPr>
      <w:r>
        <w:rPr>
          <w:rStyle w:val="CommentReference"/>
        </w:rPr>
        <w:annotationRef/>
      </w:r>
      <w:r>
        <w:t>CE: Please check this?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C2A9C" w:rsidRDefault="005C2A9C">
      <w:r>
        <w:separator/>
      </w:r>
    </w:p>
  </w:endnote>
  <w:endnote w:type="continuationSeparator" w:id="0">
    <w:p w:rsidR="005C2A9C" w:rsidRDefault="005C2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Corbel"/>
    <w:charset w:val="00"/>
    <w:family w:val="auto"/>
    <w:pitch w:val="variable"/>
    <w:sig w:usb0="00000003" w:usb1="500079DB" w:usb2="00000010" w:usb3="00000000" w:csb0="00000001" w:csb1="00000000"/>
  </w:font>
  <w:font w:name="Helvetica Neue Light">
    <w:altName w:val="Corbel"/>
    <w:charset w:val="00"/>
    <w:family w:val="auto"/>
    <w:pitch w:val="variable"/>
    <w:sig w:usb0="00000001" w:usb1="5000205B" w:usb2="00000002" w:usb3="00000000" w:csb0="00000007" w:csb1="00000000"/>
  </w:font>
  <w:font w:name="Helvetica">
    <w:panose1 w:val="020B0504020202020204"/>
    <w:charset w:val="00"/>
    <w:family w:val="swiss"/>
    <w:notTrueType/>
    <w:pitch w:val="variable"/>
    <w:sig w:usb0="00000003" w:usb1="00000000" w:usb2="00000000" w:usb3="00000000" w:csb0="00000001" w:csb1="00000000"/>
  </w:font>
  <w:font w:name="ヒラギノ角ゴ Pro W3">
    <w:altName w:val="Yu Gothic"/>
    <w:charset w:val="4E"/>
    <w:family w:val="auto"/>
    <w:pitch w:val="variable"/>
    <w:sig w:usb0="E00002FF" w:usb1="7AC7FFFF" w:usb2="00000012" w:usb3="00000000" w:csb0="0002000D" w:csb1="00000000"/>
  </w:font>
  <w:font w:name="Lohit Devanagari">
    <w:altName w:val="Cambria"/>
    <w:panose1 w:val="00000000000000000000"/>
    <w:charset w:val="00"/>
    <w:family w:val="roman"/>
    <w:notTrueType/>
    <w:pitch w:val="default"/>
  </w:font>
  <w:font w:name="Courier 10 Pitch">
    <w:altName w:val="Courier New"/>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C2A9C" w:rsidRDefault="005C2A9C">
      <w:r>
        <w:separator/>
      </w:r>
    </w:p>
  </w:footnote>
  <w:footnote w:type="continuationSeparator" w:id="0">
    <w:p w:rsidR="005C2A9C" w:rsidRDefault="005C2A9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FD7F90"/>
    <w:multiLevelType w:val="hybridMultilevel"/>
    <w:tmpl w:val="0BCCE266"/>
    <w:lvl w:ilvl="0" w:tplc="24C64362">
      <w:start w:val="1"/>
      <w:numFmt w:val="bullet"/>
      <w:lvlText w:val="•"/>
      <w:lvlJc w:val="left"/>
      <w:pPr>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9B7A25BC">
      <w:start w:val="1"/>
      <w:numFmt w:val="bullet"/>
      <w:lvlText w:val="•"/>
      <w:lvlJc w:val="left"/>
      <w:pPr>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 w:ilvl="2" w:tplc="1C6E1CE2">
      <w:start w:val="1"/>
      <w:numFmt w:val="bullet"/>
      <w:lvlText w:val="•"/>
      <w:lvlJc w:val="left"/>
      <w:pPr>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 w:ilvl="3" w:tplc="7778B110">
      <w:start w:val="1"/>
      <w:numFmt w:val="bullet"/>
      <w:lvlText w:val="•"/>
      <w:lvlJc w:val="left"/>
      <w:pPr>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 w:ilvl="4" w:tplc="497EFD2A">
      <w:start w:val="1"/>
      <w:numFmt w:val="bullet"/>
      <w:lvlText w:val="•"/>
      <w:lvlJc w:val="left"/>
      <w:pPr>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 w:ilvl="5" w:tplc="CF708D98">
      <w:start w:val="1"/>
      <w:numFmt w:val="bullet"/>
      <w:lvlText w:val="•"/>
      <w:lvlJc w:val="left"/>
      <w:pPr>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 w:ilvl="6" w:tplc="82AA47CA">
      <w:start w:val="1"/>
      <w:numFmt w:val="bullet"/>
      <w:lvlText w:val="•"/>
      <w:lvlJc w:val="left"/>
      <w:pPr>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 w:ilvl="7" w:tplc="A26EE47E">
      <w:start w:val="1"/>
      <w:numFmt w:val="bullet"/>
      <w:lvlText w:val="•"/>
      <w:lvlJc w:val="left"/>
      <w:pPr>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 w:ilvl="8" w:tplc="4C829238">
      <w:start w:val="1"/>
      <w:numFmt w:val="bullet"/>
      <w:lvlText w:val="•"/>
      <w:lvlJc w:val="left"/>
      <w:pPr>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
    <w:nsid w:val="096D3F9F"/>
    <w:multiLevelType w:val="hybridMultilevel"/>
    <w:tmpl w:val="028C089C"/>
    <w:lvl w:ilvl="0" w:tplc="AD02D262">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B9D266EA">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B78630A0">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F452B46E">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4F6C7CB0">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E312B52E">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28CCA350">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B99AE1E6">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DB529020">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2">
    <w:nsid w:val="0E394245"/>
    <w:multiLevelType w:val="hybridMultilevel"/>
    <w:tmpl w:val="33106C96"/>
    <w:lvl w:ilvl="0" w:tplc="4F18B29E">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0D524F94">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313062FA">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7BDAC85E">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6608C0A4">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DB0AB044">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9E0A7E60">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99EEE83A">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9C503380">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3">
    <w:nsid w:val="0E774817"/>
    <w:multiLevelType w:val="hybridMultilevel"/>
    <w:tmpl w:val="9C48EAAA"/>
    <w:lvl w:ilvl="0" w:tplc="3050CADE">
      <w:start w:val="1"/>
      <w:numFmt w:val="bullet"/>
      <w:lvlText w:val=""/>
      <w:lvlJc w:val="left"/>
      <w:pPr>
        <w:ind w:left="1080" w:hanging="360"/>
      </w:pPr>
      <w:rPr>
        <w:rFonts w:ascii="Symbol" w:hAnsi="Symbol" w:hint="default"/>
      </w:rPr>
    </w:lvl>
    <w:lvl w:ilvl="1" w:tplc="47005E44">
      <w:start w:val="1"/>
      <w:numFmt w:val="bullet"/>
      <w:lvlText w:val="o"/>
      <w:lvlJc w:val="left"/>
      <w:pPr>
        <w:ind w:left="1800" w:hanging="360"/>
      </w:pPr>
      <w:rPr>
        <w:rFonts w:ascii="Courier New" w:hAnsi="Courier New" w:hint="default"/>
      </w:rPr>
    </w:lvl>
    <w:lvl w:ilvl="2" w:tplc="E1A05D46">
      <w:start w:val="1"/>
      <w:numFmt w:val="bullet"/>
      <w:lvlText w:val=""/>
      <w:lvlJc w:val="left"/>
      <w:pPr>
        <w:ind w:left="2520" w:hanging="360"/>
      </w:pPr>
      <w:rPr>
        <w:rFonts w:ascii="Wingdings" w:hAnsi="Wingdings" w:hint="default"/>
      </w:rPr>
    </w:lvl>
    <w:lvl w:ilvl="3" w:tplc="BCAC911C">
      <w:start w:val="1"/>
      <w:numFmt w:val="bullet"/>
      <w:lvlText w:val=""/>
      <w:lvlJc w:val="left"/>
      <w:pPr>
        <w:ind w:left="3240" w:hanging="360"/>
      </w:pPr>
      <w:rPr>
        <w:rFonts w:ascii="Symbol" w:hAnsi="Symbol" w:hint="default"/>
      </w:rPr>
    </w:lvl>
    <w:lvl w:ilvl="4" w:tplc="669497C8">
      <w:start w:val="1"/>
      <w:numFmt w:val="bullet"/>
      <w:lvlText w:val="o"/>
      <w:lvlJc w:val="left"/>
      <w:pPr>
        <w:ind w:left="3960" w:hanging="360"/>
      </w:pPr>
      <w:rPr>
        <w:rFonts w:ascii="Courier New" w:hAnsi="Courier New" w:hint="default"/>
      </w:rPr>
    </w:lvl>
    <w:lvl w:ilvl="5" w:tplc="82B6DD78">
      <w:start w:val="1"/>
      <w:numFmt w:val="bullet"/>
      <w:lvlText w:val=""/>
      <w:lvlJc w:val="left"/>
      <w:pPr>
        <w:ind w:left="4680" w:hanging="360"/>
      </w:pPr>
      <w:rPr>
        <w:rFonts w:ascii="Wingdings" w:hAnsi="Wingdings" w:hint="default"/>
      </w:rPr>
    </w:lvl>
    <w:lvl w:ilvl="6" w:tplc="BD76F468">
      <w:start w:val="1"/>
      <w:numFmt w:val="bullet"/>
      <w:lvlText w:val=""/>
      <w:lvlJc w:val="left"/>
      <w:pPr>
        <w:ind w:left="5400" w:hanging="360"/>
      </w:pPr>
      <w:rPr>
        <w:rFonts w:ascii="Symbol" w:hAnsi="Symbol" w:hint="default"/>
      </w:rPr>
    </w:lvl>
    <w:lvl w:ilvl="7" w:tplc="F280CF02">
      <w:start w:val="1"/>
      <w:numFmt w:val="bullet"/>
      <w:lvlText w:val="o"/>
      <w:lvlJc w:val="left"/>
      <w:pPr>
        <w:ind w:left="6120" w:hanging="360"/>
      </w:pPr>
      <w:rPr>
        <w:rFonts w:ascii="Courier New" w:hAnsi="Courier New" w:hint="default"/>
      </w:rPr>
    </w:lvl>
    <w:lvl w:ilvl="8" w:tplc="36FCAAB8">
      <w:start w:val="1"/>
      <w:numFmt w:val="bullet"/>
      <w:lvlText w:val=""/>
      <w:lvlJc w:val="left"/>
      <w:pPr>
        <w:ind w:left="6840" w:hanging="360"/>
      </w:pPr>
      <w:rPr>
        <w:rFonts w:ascii="Wingdings" w:hAnsi="Wingdings" w:hint="default"/>
      </w:rPr>
    </w:lvl>
  </w:abstractNum>
  <w:abstractNum w:abstractNumId="4">
    <w:nsid w:val="0E9631FA"/>
    <w:multiLevelType w:val="hybridMultilevel"/>
    <w:tmpl w:val="238886CC"/>
    <w:lvl w:ilvl="0" w:tplc="A484C3E8">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45C4F65C">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C9AA1724">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29F865EE">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D4F411D0">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D7CE8368">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B6A6A33E">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F0FC7682">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E5B8695E">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5">
    <w:nsid w:val="11A87D0D"/>
    <w:multiLevelType w:val="hybridMultilevel"/>
    <w:tmpl w:val="69984BE4"/>
    <w:lvl w:ilvl="0" w:tplc="D58E229C">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3BCEA078">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B2807FC6">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3F422FB2">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395CC736">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DC4CDCEA">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A96038DE">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063EF3CC">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8D88FB5C">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6">
    <w:nsid w:val="15593852"/>
    <w:multiLevelType w:val="hybridMultilevel"/>
    <w:tmpl w:val="A8D0A7E0"/>
    <w:lvl w:ilvl="0" w:tplc="E81E828A">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4A10BC5A">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5510C164">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A6466FA2">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2DB4CF98">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825EDB4E">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C5BA0826">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12606606">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7408E9FA">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7">
    <w:nsid w:val="175600E3"/>
    <w:multiLevelType w:val="hybridMultilevel"/>
    <w:tmpl w:val="78585EBA"/>
    <w:lvl w:ilvl="0" w:tplc="9E64D5A2">
      <w:start w:val="1"/>
      <w:numFmt w:val="bullet"/>
      <w:lvlText w:val="•"/>
      <w:lvlJc w:val="left"/>
      <w:pPr>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259EA54E">
      <w:start w:val="1"/>
      <w:numFmt w:val="bullet"/>
      <w:lvlText w:val="•"/>
      <w:lvlJc w:val="left"/>
      <w:pPr>
        <w:ind w:left="376" w:hanging="196"/>
      </w:pPr>
      <w:rPr>
        <w:rFonts w:hAnsi="Arial Unicode MS"/>
        <w:caps w:val="0"/>
        <w:smallCaps w:val="0"/>
        <w:strike w:val="0"/>
        <w:dstrike w:val="0"/>
        <w:outline w:val="0"/>
        <w:emboss w:val="0"/>
        <w:imprint w:val="0"/>
        <w:spacing w:val="0"/>
        <w:w w:val="100"/>
        <w:kern w:val="0"/>
        <w:position w:val="-2"/>
        <w:highlight w:val="none"/>
        <w:vertAlign w:val="baseline"/>
      </w:rPr>
    </w:lvl>
    <w:lvl w:ilvl="2" w:tplc="40289DDE">
      <w:start w:val="1"/>
      <w:numFmt w:val="bullet"/>
      <w:lvlText w:val="•"/>
      <w:lvlJc w:val="left"/>
      <w:pPr>
        <w:ind w:left="556" w:hanging="196"/>
      </w:pPr>
      <w:rPr>
        <w:rFonts w:hAnsi="Arial Unicode MS"/>
        <w:caps w:val="0"/>
        <w:smallCaps w:val="0"/>
        <w:strike w:val="0"/>
        <w:dstrike w:val="0"/>
        <w:outline w:val="0"/>
        <w:emboss w:val="0"/>
        <w:imprint w:val="0"/>
        <w:spacing w:val="0"/>
        <w:w w:val="100"/>
        <w:kern w:val="0"/>
        <w:position w:val="-2"/>
        <w:highlight w:val="none"/>
        <w:vertAlign w:val="baseline"/>
      </w:rPr>
    </w:lvl>
    <w:lvl w:ilvl="3" w:tplc="E8EE9E32">
      <w:start w:val="1"/>
      <w:numFmt w:val="bullet"/>
      <w:lvlText w:val="•"/>
      <w:lvlJc w:val="left"/>
      <w:pPr>
        <w:ind w:left="736" w:hanging="196"/>
      </w:pPr>
      <w:rPr>
        <w:rFonts w:hAnsi="Arial Unicode MS"/>
        <w:caps w:val="0"/>
        <w:smallCaps w:val="0"/>
        <w:strike w:val="0"/>
        <w:dstrike w:val="0"/>
        <w:outline w:val="0"/>
        <w:emboss w:val="0"/>
        <w:imprint w:val="0"/>
        <w:spacing w:val="0"/>
        <w:w w:val="100"/>
        <w:kern w:val="0"/>
        <w:position w:val="-2"/>
        <w:highlight w:val="none"/>
        <w:vertAlign w:val="baseline"/>
      </w:rPr>
    </w:lvl>
    <w:lvl w:ilvl="4" w:tplc="7856F91A">
      <w:start w:val="1"/>
      <w:numFmt w:val="bullet"/>
      <w:lvlText w:val="•"/>
      <w:lvlJc w:val="left"/>
      <w:pPr>
        <w:ind w:left="916" w:hanging="196"/>
      </w:pPr>
      <w:rPr>
        <w:rFonts w:hAnsi="Arial Unicode MS"/>
        <w:caps w:val="0"/>
        <w:smallCaps w:val="0"/>
        <w:strike w:val="0"/>
        <w:dstrike w:val="0"/>
        <w:outline w:val="0"/>
        <w:emboss w:val="0"/>
        <w:imprint w:val="0"/>
        <w:spacing w:val="0"/>
        <w:w w:val="100"/>
        <w:kern w:val="0"/>
        <w:position w:val="-2"/>
        <w:highlight w:val="none"/>
        <w:vertAlign w:val="baseline"/>
      </w:rPr>
    </w:lvl>
    <w:lvl w:ilvl="5" w:tplc="069CF01C">
      <w:start w:val="1"/>
      <w:numFmt w:val="bullet"/>
      <w:lvlText w:val="•"/>
      <w:lvlJc w:val="left"/>
      <w:pPr>
        <w:ind w:left="1096" w:hanging="196"/>
      </w:pPr>
      <w:rPr>
        <w:rFonts w:hAnsi="Arial Unicode MS"/>
        <w:caps w:val="0"/>
        <w:smallCaps w:val="0"/>
        <w:strike w:val="0"/>
        <w:dstrike w:val="0"/>
        <w:outline w:val="0"/>
        <w:emboss w:val="0"/>
        <w:imprint w:val="0"/>
        <w:spacing w:val="0"/>
        <w:w w:val="100"/>
        <w:kern w:val="0"/>
        <w:position w:val="-2"/>
        <w:highlight w:val="none"/>
        <w:vertAlign w:val="baseline"/>
      </w:rPr>
    </w:lvl>
    <w:lvl w:ilvl="6" w:tplc="03729100">
      <w:start w:val="1"/>
      <w:numFmt w:val="bullet"/>
      <w:lvlText w:val="•"/>
      <w:lvlJc w:val="left"/>
      <w:pPr>
        <w:ind w:left="1276" w:hanging="196"/>
      </w:pPr>
      <w:rPr>
        <w:rFonts w:hAnsi="Arial Unicode MS"/>
        <w:caps w:val="0"/>
        <w:smallCaps w:val="0"/>
        <w:strike w:val="0"/>
        <w:dstrike w:val="0"/>
        <w:outline w:val="0"/>
        <w:emboss w:val="0"/>
        <w:imprint w:val="0"/>
        <w:spacing w:val="0"/>
        <w:w w:val="100"/>
        <w:kern w:val="0"/>
        <w:position w:val="-2"/>
        <w:highlight w:val="none"/>
        <w:vertAlign w:val="baseline"/>
      </w:rPr>
    </w:lvl>
    <w:lvl w:ilvl="7" w:tplc="0F70BA26">
      <w:start w:val="1"/>
      <w:numFmt w:val="bullet"/>
      <w:lvlText w:val="•"/>
      <w:lvlJc w:val="left"/>
      <w:pPr>
        <w:ind w:left="1456" w:hanging="196"/>
      </w:pPr>
      <w:rPr>
        <w:rFonts w:hAnsi="Arial Unicode MS"/>
        <w:caps w:val="0"/>
        <w:smallCaps w:val="0"/>
        <w:strike w:val="0"/>
        <w:dstrike w:val="0"/>
        <w:outline w:val="0"/>
        <w:emboss w:val="0"/>
        <w:imprint w:val="0"/>
        <w:spacing w:val="0"/>
        <w:w w:val="100"/>
        <w:kern w:val="0"/>
        <w:position w:val="-2"/>
        <w:highlight w:val="none"/>
        <w:vertAlign w:val="baseline"/>
      </w:rPr>
    </w:lvl>
    <w:lvl w:ilvl="8" w:tplc="FA82171A">
      <w:start w:val="1"/>
      <w:numFmt w:val="bullet"/>
      <w:lvlText w:val="•"/>
      <w:lvlJc w:val="left"/>
      <w:pPr>
        <w:ind w:left="1636" w:hanging="196"/>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8">
    <w:nsid w:val="1D15E245"/>
    <w:multiLevelType w:val="hybridMultilevel"/>
    <w:tmpl w:val="C31CC552"/>
    <w:lvl w:ilvl="0" w:tplc="8E0E3EE8">
      <w:start w:val="1"/>
      <w:numFmt w:val="bullet"/>
      <w:lvlText w:val="o"/>
      <w:lvlJc w:val="left"/>
      <w:pPr>
        <w:ind w:left="717" w:hanging="360"/>
      </w:pPr>
      <w:rPr>
        <w:rFonts w:ascii="Courier New" w:hAnsi="Courier New" w:hint="default"/>
      </w:rPr>
    </w:lvl>
    <w:lvl w:ilvl="1" w:tplc="D0D29C38">
      <w:start w:val="1"/>
      <w:numFmt w:val="bullet"/>
      <w:lvlText w:val="o"/>
      <w:lvlJc w:val="left"/>
      <w:pPr>
        <w:ind w:left="1437" w:hanging="360"/>
      </w:pPr>
      <w:rPr>
        <w:rFonts w:ascii="Courier New" w:hAnsi="Courier New" w:hint="default"/>
      </w:rPr>
    </w:lvl>
    <w:lvl w:ilvl="2" w:tplc="956843C8">
      <w:start w:val="1"/>
      <w:numFmt w:val="bullet"/>
      <w:lvlText w:val=""/>
      <w:lvlJc w:val="left"/>
      <w:pPr>
        <w:ind w:left="2157" w:hanging="360"/>
      </w:pPr>
      <w:rPr>
        <w:rFonts w:ascii="Wingdings" w:hAnsi="Wingdings" w:hint="default"/>
      </w:rPr>
    </w:lvl>
    <w:lvl w:ilvl="3" w:tplc="DDD85B06">
      <w:start w:val="1"/>
      <w:numFmt w:val="bullet"/>
      <w:lvlText w:val=""/>
      <w:lvlJc w:val="left"/>
      <w:pPr>
        <w:ind w:left="2877" w:hanging="360"/>
      </w:pPr>
      <w:rPr>
        <w:rFonts w:ascii="Symbol" w:hAnsi="Symbol" w:hint="default"/>
      </w:rPr>
    </w:lvl>
    <w:lvl w:ilvl="4" w:tplc="7D406ED8">
      <w:start w:val="1"/>
      <w:numFmt w:val="bullet"/>
      <w:lvlText w:val="o"/>
      <w:lvlJc w:val="left"/>
      <w:pPr>
        <w:ind w:left="3597" w:hanging="360"/>
      </w:pPr>
      <w:rPr>
        <w:rFonts w:ascii="Courier New" w:hAnsi="Courier New" w:hint="default"/>
      </w:rPr>
    </w:lvl>
    <w:lvl w:ilvl="5" w:tplc="C03402E8">
      <w:start w:val="1"/>
      <w:numFmt w:val="bullet"/>
      <w:lvlText w:val=""/>
      <w:lvlJc w:val="left"/>
      <w:pPr>
        <w:ind w:left="4317" w:hanging="360"/>
      </w:pPr>
      <w:rPr>
        <w:rFonts w:ascii="Wingdings" w:hAnsi="Wingdings" w:hint="default"/>
      </w:rPr>
    </w:lvl>
    <w:lvl w:ilvl="6" w:tplc="D4C40F34">
      <w:start w:val="1"/>
      <w:numFmt w:val="bullet"/>
      <w:lvlText w:val=""/>
      <w:lvlJc w:val="left"/>
      <w:pPr>
        <w:ind w:left="5037" w:hanging="360"/>
      </w:pPr>
      <w:rPr>
        <w:rFonts w:ascii="Symbol" w:hAnsi="Symbol" w:hint="default"/>
      </w:rPr>
    </w:lvl>
    <w:lvl w:ilvl="7" w:tplc="AA76F86E">
      <w:start w:val="1"/>
      <w:numFmt w:val="bullet"/>
      <w:lvlText w:val="o"/>
      <w:lvlJc w:val="left"/>
      <w:pPr>
        <w:ind w:left="5757" w:hanging="360"/>
      </w:pPr>
      <w:rPr>
        <w:rFonts w:ascii="Courier New" w:hAnsi="Courier New" w:hint="default"/>
      </w:rPr>
    </w:lvl>
    <w:lvl w:ilvl="8" w:tplc="518A6D02">
      <w:start w:val="1"/>
      <w:numFmt w:val="bullet"/>
      <w:lvlText w:val=""/>
      <w:lvlJc w:val="left"/>
      <w:pPr>
        <w:ind w:left="6477" w:hanging="360"/>
      </w:pPr>
      <w:rPr>
        <w:rFonts w:ascii="Wingdings" w:hAnsi="Wingdings" w:hint="default"/>
      </w:rPr>
    </w:lvl>
  </w:abstractNum>
  <w:abstractNum w:abstractNumId="9">
    <w:nsid w:val="4C4B2B5F"/>
    <w:multiLevelType w:val="hybridMultilevel"/>
    <w:tmpl w:val="18BE7FF4"/>
    <w:lvl w:ilvl="0" w:tplc="326CDD2C">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A15A9C0C">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05BA340C">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29F02C2A">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BC92DB88">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69BE2B64">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F694412C">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92B21CFA">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EAB82890">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0">
    <w:nsid w:val="5221733B"/>
    <w:multiLevelType w:val="hybridMultilevel"/>
    <w:tmpl w:val="F6105290"/>
    <w:lvl w:ilvl="0" w:tplc="E45C559E">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03E267A6">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E188A508">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A6546C20">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8CD2BC36">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D4707574">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88ACC826">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EFF08604">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D752DC9A">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1">
    <w:nsid w:val="59833660"/>
    <w:multiLevelType w:val="hybridMultilevel"/>
    <w:tmpl w:val="981E34E8"/>
    <w:lvl w:ilvl="0" w:tplc="10B44610">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57BC5930">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F8A6A4AC">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CB9C9C36">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63DE9A1E">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D584A9BE">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69041FBE">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16A8903A">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87AA2486">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2">
    <w:nsid w:val="598C174F"/>
    <w:multiLevelType w:val="hybridMultilevel"/>
    <w:tmpl w:val="DFBCEB44"/>
    <w:lvl w:ilvl="0" w:tplc="317A6908">
      <w:start w:val="1"/>
      <w:numFmt w:val="bullet"/>
      <w:lvlText w:val="•"/>
      <w:lvlJc w:val="left"/>
      <w:pPr>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B6A2E20A">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2CCCD2A0">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E25A1E0C">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1612F8BA">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94E0C404">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5F141A3E">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2C3C59E6">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66A8A3F2">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3">
    <w:nsid w:val="5A570182"/>
    <w:multiLevelType w:val="hybridMultilevel"/>
    <w:tmpl w:val="1F0C82B4"/>
    <w:lvl w:ilvl="0" w:tplc="CE36A558">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A2169C3A">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D936A668">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94D05356">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A4001CC0">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714ABC48">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894A6994">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BC06ECCE">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2296380C">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4">
    <w:nsid w:val="5EC73571"/>
    <w:multiLevelType w:val="hybridMultilevel"/>
    <w:tmpl w:val="DCF65A38"/>
    <w:lvl w:ilvl="0" w:tplc="8494BCA0">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E17A8BDC">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F25EC2A4">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A520255A">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5476C484">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AB267DDC">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E4762B5C">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D60E90C4">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21028DC2">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5">
    <w:nsid w:val="614B7439"/>
    <w:multiLevelType w:val="hybridMultilevel"/>
    <w:tmpl w:val="D4321886"/>
    <w:lvl w:ilvl="0" w:tplc="444CA5FC">
      <w:start w:val="1"/>
      <w:numFmt w:val="bullet"/>
      <w:lvlText w:val=""/>
      <w:lvlJc w:val="left"/>
      <w:pPr>
        <w:ind w:left="720" w:hanging="360"/>
      </w:pPr>
      <w:rPr>
        <w:rFonts w:ascii="Symbol" w:hAnsi="Symbol" w:hint="default"/>
      </w:rPr>
    </w:lvl>
    <w:lvl w:ilvl="1" w:tplc="3B9C2DB4">
      <w:start w:val="1"/>
      <w:numFmt w:val="bullet"/>
      <w:lvlText w:val="o"/>
      <w:lvlJc w:val="left"/>
      <w:pPr>
        <w:ind w:left="1440" w:hanging="360"/>
      </w:pPr>
      <w:rPr>
        <w:rFonts w:ascii="Courier New" w:hAnsi="Courier New" w:hint="default"/>
      </w:rPr>
    </w:lvl>
    <w:lvl w:ilvl="2" w:tplc="B686DD04">
      <w:start w:val="1"/>
      <w:numFmt w:val="bullet"/>
      <w:lvlText w:val=""/>
      <w:lvlJc w:val="left"/>
      <w:pPr>
        <w:ind w:left="2160" w:hanging="360"/>
      </w:pPr>
      <w:rPr>
        <w:rFonts w:ascii="Wingdings" w:hAnsi="Wingdings" w:hint="default"/>
      </w:rPr>
    </w:lvl>
    <w:lvl w:ilvl="3" w:tplc="9020903A">
      <w:start w:val="1"/>
      <w:numFmt w:val="bullet"/>
      <w:lvlText w:val=""/>
      <w:lvlJc w:val="left"/>
      <w:pPr>
        <w:ind w:left="2880" w:hanging="360"/>
      </w:pPr>
      <w:rPr>
        <w:rFonts w:ascii="Symbol" w:hAnsi="Symbol" w:hint="default"/>
      </w:rPr>
    </w:lvl>
    <w:lvl w:ilvl="4" w:tplc="6EAC5E1E">
      <w:start w:val="1"/>
      <w:numFmt w:val="bullet"/>
      <w:lvlText w:val="o"/>
      <w:lvlJc w:val="left"/>
      <w:pPr>
        <w:ind w:left="3600" w:hanging="360"/>
      </w:pPr>
      <w:rPr>
        <w:rFonts w:ascii="Courier New" w:hAnsi="Courier New" w:hint="default"/>
      </w:rPr>
    </w:lvl>
    <w:lvl w:ilvl="5" w:tplc="426C80D8">
      <w:start w:val="1"/>
      <w:numFmt w:val="bullet"/>
      <w:lvlText w:val=""/>
      <w:lvlJc w:val="left"/>
      <w:pPr>
        <w:ind w:left="4320" w:hanging="360"/>
      </w:pPr>
      <w:rPr>
        <w:rFonts w:ascii="Wingdings" w:hAnsi="Wingdings" w:hint="default"/>
      </w:rPr>
    </w:lvl>
    <w:lvl w:ilvl="6" w:tplc="3B8CC1E0">
      <w:start w:val="1"/>
      <w:numFmt w:val="bullet"/>
      <w:lvlText w:val=""/>
      <w:lvlJc w:val="left"/>
      <w:pPr>
        <w:ind w:left="5040" w:hanging="360"/>
      </w:pPr>
      <w:rPr>
        <w:rFonts w:ascii="Symbol" w:hAnsi="Symbol" w:hint="default"/>
      </w:rPr>
    </w:lvl>
    <w:lvl w:ilvl="7" w:tplc="2FFC3C1A">
      <w:start w:val="1"/>
      <w:numFmt w:val="bullet"/>
      <w:lvlText w:val="o"/>
      <w:lvlJc w:val="left"/>
      <w:pPr>
        <w:ind w:left="5760" w:hanging="360"/>
      </w:pPr>
      <w:rPr>
        <w:rFonts w:ascii="Courier New" w:hAnsi="Courier New" w:hint="default"/>
      </w:rPr>
    </w:lvl>
    <w:lvl w:ilvl="8" w:tplc="1B60A19E">
      <w:start w:val="1"/>
      <w:numFmt w:val="bullet"/>
      <w:lvlText w:val=""/>
      <w:lvlJc w:val="left"/>
      <w:pPr>
        <w:ind w:left="6480" w:hanging="360"/>
      </w:pPr>
      <w:rPr>
        <w:rFonts w:ascii="Wingdings" w:hAnsi="Wingdings" w:hint="default"/>
      </w:rPr>
    </w:lvl>
  </w:abstractNum>
  <w:abstractNum w:abstractNumId="16">
    <w:nsid w:val="639060E1"/>
    <w:multiLevelType w:val="hybridMultilevel"/>
    <w:tmpl w:val="E4B490E4"/>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nsid w:val="6ADD7555"/>
    <w:multiLevelType w:val="hybridMultilevel"/>
    <w:tmpl w:val="FCE218E0"/>
    <w:lvl w:ilvl="0" w:tplc="8C2CFEC2">
      <w:start w:val="1"/>
      <w:numFmt w:val="bullet"/>
      <w:lvlText w:val="•"/>
      <w:lvlJc w:val="left"/>
      <w:pPr>
        <w:ind w:left="164" w:hanging="164"/>
      </w:pPr>
      <w:rPr>
        <w:rFonts w:hAnsi="Arial Unicode MS"/>
        <w:caps w:val="0"/>
        <w:smallCaps w:val="0"/>
        <w:strike w:val="0"/>
        <w:dstrike w:val="0"/>
        <w:outline w:val="0"/>
        <w:emboss w:val="0"/>
        <w:imprint w:val="0"/>
        <w:spacing w:val="0"/>
        <w:w w:val="100"/>
        <w:kern w:val="0"/>
        <w:position w:val="0"/>
        <w:highlight w:val="none"/>
        <w:vertAlign w:val="baseline"/>
      </w:rPr>
    </w:lvl>
    <w:lvl w:ilvl="1" w:tplc="256030FA">
      <w:start w:val="1"/>
      <w:numFmt w:val="bullet"/>
      <w:lvlText w:val="•"/>
      <w:lvlJc w:val="left"/>
      <w:pPr>
        <w:ind w:left="344" w:hanging="164"/>
      </w:pPr>
      <w:rPr>
        <w:rFonts w:hAnsi="Arial Unicode MS"/>
        <w:caps w:val="0"/>
        <w:smallCaps w:val="0"/>
        <w:strike w:val="0"/>
        <w:dstrike w:val="0"/>
        <w:outline w:val="0"/>
        <w:emboss w:val="0"/>
        <w:imprint w:val="0"/>
        <w:spacing w:val="0"/>
        <w:w w:val="100"/>
        <w:kern w:val="0"/>
        <w:position w:val="-2"/>
        <w:highlight w:val="none"/>
        <w:vertAlign w:val="baseline"/>
      </w:rPr>
    </w:lvl>
    <w:lvl w:ilvl="2" w:tplc="35CA138A">
      <w:start w:val="1"/>
      <w:numFmt w:val="bullet"/>
      <w:lvlText w:val="•"/>
      <w:lvlJc w:val="left"/>
      <w:pPr>
        <w:ind w:left="524" w:hanging="164"/>
      </w:pPr>
      <w:rPr>
        <w:rFonts w:hAnsi="Arial Unicode MS"/>
        <w:caps w:val="0"/>
        <w:smallCaps w:val="0"/>
        <w:strike w:val="0"/>
        <w:dstrike w:val="0"/>
        <w:outline w:val="0"/>
        <w:emboss w:val="0"/>
        <w:imprint w:val="0"/>
        <w:spacing w:val="0"/>
        <w:w w:val="100"/>
        <w:kern w:val="0"/>
        <w:position w:val="-2"/>
        <w:highlight w:val="none"/>
        <w:vertAlign w:val="baseline"/>
      </w:rPr>
    </w:lvl>
    <w:lvl w:ilvl="3" w:tplc="FFE236C0">
      <w:start w:val="1"/>
      <w:numFmt w:val="bullet"/>
      <w:lvlText w:val="•"/>
      <w:lvlJc w:val="left"/>
      <w:pPr>
        <w:ind w:left="704" w:hanging="164"/>
      </w:pPr>
      <w:rPr>
        <w:rFonts w:hAnsi="Arial Unicode MS"/>
        <w:caps w:val="0"/>
        <w:smallCaps w:val="0"/>
        <w:strike w:val="0"/>
        <w:dstrike w:val="0"/>
        <w:outline w:val="0"/>
        <w:emboss w:val="0"/>
        <w:imprint w:val="0"/>
        <w:spacing w:val="0"/>
        <w:w w:val="100"/>
        <w:kern w:val="0"/>
        <w:position w:val="-2"/>
        <w:highlight w:val="none"/>
        <w:vertAlign w:val="baseline"/>
      </w:rPr>
    </w:lvl>
    <w:lvl w:ilvl="4" w:tplc="DDD4A2D0">
      <w:start w:val="1"/>
      <w:numFmt w:val="bullet"/>
      <w:lvlText w:val="•"/>
      <w:lvlJc w:val="left"/>
      <w:pPr>
        <w:ind w:left="884" w:hanging="164"/>
      </w:pPr>
      <w:rPr>
        <w:rFonts w:hAnsi="Arial Unicode MS"/>
        <w:caps w:val="0"/>
        <w:smallCaps w:val="0"/>
        <w:strike w:val="0"/>
        <w:dstrike w:val="0"/>
        <w:outline w:val="0"/>
        <w:emboss w:val="0"/>
        <w:imprint w:val="0"/>
        <w:spacing w:val="0"/>
        <w:w w:val="100"/>
        <w:kern w:val="0"/>
        <w:position w:val="-2"/>
        <w:highlight w:val="none"/>
        <w:vertAlign w:val="baseline"/>
      </w:rPr>
    </w:lvl>
    <w:lvl w:ilvl="5" w:tplc="7CAA1AB6">
      <w:start w:val="1"/>
      <w:numFmt w:val="bullet"/>
      <w:lvlText w:val="•"/>
      <w:lvlJc w:val="left"/>
      <w:pPr>
        <w:ind w:left="1064" w:hanging="164"/>
      </w:pPr>
      <w:rPr>
        <w:rFonts w:hAnsi="Arial Unicode MS"/>
        <w:caps w:val="0"/>
        <w:smallCaps w:val="0"/>
        <w:strike w:val="0"/>
        <w:dstrike w:val="0"/>
        <w:outline w:val="0"/>
        <w:emboss w:val="0"/>
        <w:imprint w:val="0"/>
        <w:spacing w:val="0"/>
        <w:w w:val="100"/>
        <w:kern w:val="0"/>
        <w:position w:val="-2"/>
        <w:highlight w:val="none"/>
        <w:vertAlign w:val="baseline"/>
      </w:rPr>
    </w:lvl>
    <w:lvl w:ilvl="6" w:tplc="FD682EA2">
      <w:start w:val="1"/>
      <w:numFmt w:val="bullet"/>
      <w:lvlText w:val="•"/>
      <w:lvlJc w:val="left"/>
      <w:pPr>
        <w:ind w:left="1244" w:hanging="164"/>
      </w:pPr>
      <w:rPr>
        <w:rFonts w:hAnsi="Arial Unicode MS"/>
        <w:caps w:val="0"/>
        <w:smallCaps w:val="0"/>
        <w:strike w:val="0"/>
        <w:dstrike w:val="0"/>
        <w:outline w:val="0"/>
        <w:emboss w:val="0"/>
        <w:imprint w:val="0"/>
        <w:spacing w:val="0"/>
        <w:w w:val="100"/>
        <w:kern w:val="0"/>
        <w:position w:val="-2"/>
        <w:highlight w:val="none"/>
        <w:vertAlign w:val="baseline"/>
      </w:rPr>
    </w:lvl>
    <w:lvl w:ilvl="7" w:tplc="4922FFC8">
      <w:start w:val="1"/>
      <w:numFmt w:val="bullet"/>
      <w:lvlText w:val="•"/>
      <w:lvlJc w:val="left"/>
      <w:pPr>
        <w:ind w:left="1424" w:hanging="164"/>
      </w:pPr>
      <w:rPr>
        <w:rFonts w:hAnsi="Arial Unicode MS"/>
        <w:caps w:val="0"/>
        <w:smallCaps w:val="0"/>
        <w:strike w:val="0"/>
        <w:dstrike w:val="0"/>
        <w:outline w:val="0"/>
        <w:emboss w:val="0"/>
        <w:imprint w:val="0"/>
        <w:spacing w:val="0"/>
        <w:w w:val="100"/>
        <w:kern w:val="0"/>
        <w:position w:val="-2"/>
        <w:highlight w:val="none"/>
        <w:vertAlign w:val="baseline"/>
      </w:rPr>
    </w:lvl>
    <w:lvl w:ilvl="8" w:tplc="1F9E5B5A">
      <w:start w:val="1"/>
      <w:numFmt w:val="bullet"/>
      <w:lvlText w:val="•"/>
      <w:lvlJc w:val="left"/>
      <w:pPr>
        <w:ind w:left="1604" w:hanging="164"/>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18">
    <w:nsid w:val="6E7F0A07"/>
    <w:multiLevelType w:val="hybridMultilevel"/>
    <w:tmpl w:val="ECC4E2C6"/>
    <w:lvl w:ilvl="0" w:tplc="653E5EC0">
      <w:start w:val="1"/>
      <w:numFmt w:val="bullet"/>
      <w:lvlText w:val="o"/>
      <w:lvlJc w:val="left"/>
      <w:pPr>
        <w:ind w:left="1077" w:hanging="360"/>
      </w:pPr>
      <w:rPr>
        <w:rFonts w:ascii="Courier New" w:hAnsi="Courier New" w:hint="default"/>
      </w:rPr>
    </w:lvl>
    <w:lvl w:ilvl="1" w:tplc="77B28402">
      <w:start w:val="1"/>
      <w:numFmt w:val="bullet"/>
      <w:lvlText w:val="o"/>
      <w:lvlJc w:val="left"/>
      <w:pPr>
        <w:ind w:left="1797" w:hanging="360"/>
      </w:pPr>
      <w:rPr>
        <w:rFonts w:ascii="Courier New" w:hAnsi="Courier New" w:hint="default"/>
      </w:rPr>
    </w:lvl>
    <w:lvl w:ilvl="2" w:tplc="ACA0FCEA">
      <w:start w:val="1"/>
      <w:numFmt w:val="bullet"/>
      <w:lvlText w:val=""/>
      <w:lvlJc w:val="left"/>
      <w:pPr>
        <w:ind w:left="2517" w:hanging="360"/>
      </w:pPr>
      <w:rPr>
        <w:rFonts w:ascii="Wingdings" w:hAnsi="Wingdings" w:hint="default"/>
      </w:rPr>
    </w:lvl>
    <w:lvl w:ilvl="3" w:tplc="6A28E75E">
      <w:start w:val="1"/>
      <w:numFmt w:val="bullet"/>
      <w:lvlText w:val=""/>
      <w:lvlJc w:val="left"/>
      <w:pPr>
        <w:ind w:left="3237" w:hanging="360"/>
      </w:pPr>
      <w:rPr>
        <w:rFonts w:ascii="Symbol" w:hAnsi="Symbol" w:hint="default"/>
      </w:rPr>
    </w:lvl>
    <w:lvl w:ilvl="4" w:tplc="970AC65E">
      <w:start w:val="1"/>
      <w:numFmt w:val="bullet"/>
      <w:lvlText w:val="o"/>
      <w:lvlJc w:val="left"/>
      <w:pPr>
        <w:ind w:left="3957" w:hanging="360"/>
      </w:pPr>
      <w:rPr>
        <w:rFonts w:ascii="Courier New" w:hAnsi="Courier New" w:hint="default"/>
      </w:rPr>
    </w:lvl>
    <w:lvl w:ilvl="5" w:tplc="B53EAC1E">
      <w:start w:val="1"/>
      <w:numFmt w:val="bullet"/>
      <w:lvlText w:val=""/>
      <w:lvlJc w:val="left"/>
      <w:pPr>
        <w:ind w:left="4677" w:hanging="360"/>
      </w:pPr>
      <w:rPr>
        <w:rFonts w:ascii="Wingdings" w:hAnsi="Wingdings" w:hint="default"/>
      </w:rPr>
    </w:lvl>
    <w:lvl w:ilvl="6" w:tplc="7D8E3AF6">
      <w:start w:val="1"/>
      <w:numFmt w:val="bullet"/>
      <w:lvlText w:val=""/>
      <w:lvlJc w:val="left"/>
      <w:pPr>
        <w:ind w:left="5397" w:hanging="360"/>
      </w:pPr>
      <w:rPr>
        <w:rFonts w:ascii="Symbol" w:hAnsi="Symbol" w:hint="default"/>
      </w:rPr>
    </w:lvl>
    <w:lvl w:ilvl="7" w:tplc="50BC8B90">
      <w:start w:val="1"/>
      <w:numFmt w:val="bullet"/>
      <w:lvlText w:val="o"/>
      <w:lvlJc w:val="left"/>
      <w:pPr>
        <w:ind w:left="6117" w:hanging="360"/>
      </w:pPr>
      <w:rPr>
        <w:rFonts w:ascii="Courier New" w:hAnsi="Courier New" w:hint="default"/>
      </w:rPr>
    </w:lvl>
    <w:lvl w:ilvl="8" w:tplc="9E8A9840">
      <w:start w:val="1"/>
      <w:numFmt w:val="bullet"/>
      <w:lvlText w:val=""/>
      <w:lvlJc w:val="left"/>
      <w:pPr>
        <w:ind w:left="6837" w:hanging="360"/>
      </w:pPr>
      <w:rPr>
        <w:rFonts w:ascii="Wingdings" w:hAnsi="Wingdings" w:hint="default"/>
      </w:rPr>
    </w:lvl>
  </w:abstractNum>
  <w:num w:numId="1">
    <w:abstractNumId w:val="18"/>
  </w:num>
  <w:num w:numId="2">
    <w:abstractNumId w:val="15"/>
  </w:num>
  <w:num w:numId="3">
    <w:abstractNumId w:val="8"/>
  </w:num>
  <w:num w:numId="4">
    <w:abstractNumId w:val="3"/>
  </w:num>
  <w:num w:numId="5">
    <w:abstractNumId w:val="5"/>
  </w:num>
  <w:num w:numId="6">
    <w:abstractNumId w:val="11"/>
  </w:num>
  <w:num w:numId="7">
    <w:abstractNumId w:val="4"/>
  </w:num>
  <w:num w:numId="8">
    <w:abstractNumId w:val="12"/>
  </w:num>
  <w:num w:numId="9">
    <w:abstractNumId w:val="9"/>
  </w:num>
  <w:num w:numId="10">
    <w:abstractNumId w:val="14"/>
  </w:num>
  <w:num w:numId="11">
    <w:abstractNumId w:val="1"/>
  </w:num>
  <w:num w:numId="12">
    <w:abstractNumId w:val="6"/>
  </w:num>
  <w:num w:numId="13">
    <w:abstractNumId w:val="10"/>
  </w:num>
  <w:num w:numId="14">
    <w:abstractNumId w:val="0"/>
  </w:num>
  <w:num w:numId="15">
    <w:abstractNumId w:val="7"/>
  </w:num>
  <w:num w:numId="16">
    <w:abstractNumId w:val="2"/>
  </w:num>
  <w:num w:numId="17">
    <w:abstractNumId w:val="17"/>
  </w:num>
  <w:num w:numId="18">
    <w:abstractNumId w:val="13"/>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attachedTemplate r:id="rId1"/>
  <w:linkStyle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B51"/>
    <w:rsid w:val="000468CF"/>
    <w:rsid w:val="00056FBF"/>
    <w:rsid w:val="000A2C23"/>
    <w:rsid w:val="000C37AE"/>
    <w:rsid w:val="000C3A46"/>
    <w:rsid w:val="000C5E09"/>
    <w:rsid w:val="000D0969"/>
    <w:rsid w:val="000D6549"/>
    <w:rsid w:val="000F05F1"/>
    <w:rsid w:val="00104E38"/>
    <w:rsid w:val="00111C23"/>
    <w:rsid w:val="00126DE7"/>
    <w:rsid w:val="001A5111"/>
    <w:rsid w:val="001C341A"/>
    <w:rsid w:val="001D04B6"/>
    <w:rsid w:val="001F60F7"/>
    <w:rsid w:val="00201F7D"/>
    <w:rsid w:val="00210E4F"/>
    <w:rsid w:val="002173E7"/>
    <w:rsid w:val="00261CAF"/>
    <w:rsid w:val="00285813"/>
    <w:rsid w:val="00297E56"/>
    <w:rsid w:val="002E3515"/>
    <w:rsid w:val="002E6459"/>
    <w:rsid w:val="002F5048"/>
    <w:rsid w:val="002F6D2C"/>
    <w:rsid w:val="00310A1D"/>
    <w:rsid w:val="003220D7"/>
    <w:rsid w:val="00352008"/>
    <w:rsid w:val="0036534F"/>
    <w:rsid w:val="0037040A"/>
    <w:rsid w:val="003A52A8"/>
    <w:rsid w:val="003C0749"/>
    <w:rsid w:val="003D305F"/>
    <w:rsid w:val="003D4728"/>
    <w:rsid w:val="003D698A"/>
    <w:rsid w:val="003E1EA9"/>
    <w:rsid w:val="004010E1"/>
    <w:rsid w:val="00450EF7"/>
    <w:rsid w:val="00471916"/>
    <w:rsid w:val="004801A4"/>
    <w:rsid w:val="00492379"/>
    <w:rsid w:val="004A5E4D"/>
    <w:rsid w:val="004B5003"/>
    <w:rsid w:val="004B5113"/>
    <w:rsid w:val="004E0E50"/>
    <w:rsid w:val="004F28D3"/>
    <w:rsid w:val="004F3978"/>
    <w:rsid w:val="00523DAD"/>
    <w:rsid w:val="00542994"/>
    <w:rsid w:val="005507EB"/>
    <w:rsid w:val="00563056"/>
    <w:rsid w:val="005637C4"/>
    <w:rsid w:val="005A23E4"/>
    <w:rsid w:val="005B18B8"/>
    <w:rsid w:val="005C2A9C"/>
    <w:rsid w:val="005E2BCE"/>
    <w:rsid w:val="005F4068"/>
    <w:rsid w:val="006005B7"/>
    <w:rsid w:val="006562E0"/>
    <w:rsid w:val="006C2F96"/>
    <w:rsid w:val="006C3C64"/>
    <w:rsid w:val="006C6EF8"/>
    <w:rsid w:val="00730A4B"/>
    <w:rsid w:val="007378F7"/>
    <w:rsid w:val="007676BA"/>
    <w:rsid w:val="00786402"/>
    <w:rsid w:val="00797EE8"/>
    <w:rsid w:val="007C3F70"/>
    <w:rsid w:val="007F47B8"/>
    <w:rsid w:val="0080463A"/>
    <w:rsid w:val="00806AB2"/>
    <w:rsid w:val="008230C8"/>
    <w:rsid w:val="00823EDD"/>
    <w:rsid w:val="0083242A"/>
    <w:rsid w:val="00884B3F"/>
    <w:rsid w:val="008859D5"/>
    <w:rsid w:val="008949AE"/>
    <w:rsid w:val="008C1C22"/>
    <w:rsid w:val="008C6E57"/>
    <w:rsid w:val="008D34F3"/>
    <w:rsid w:val="0091229A"/>
    <w:rsid w:val="00962163"/>
    <w:rsid w:val="009945C7"/>
    <w:rsid w:val="009B4725"/>
    <w:rsid w:val="009C7F2A"/>
    <w:rsid w:val="009D088E"/>
    <w:rsid w:val="009F2FA7"/>
    <w:rsid w:val="00A21022"/>
    <w:rsid w:val="00A242D6"/>
    <w:rsid w:val="00A44FBC"/>
    <w:rsid w:val="00A82BCC"/>
    <w:rsid w:val="00A86B80"/>
    <w:rsid w:val="00AF7F3A"/>
    <w:rsid w:val="00B15437"/>
    <w:rsid w:val="00B363B0"/>
    <w:rsid w:val="00B57880"/>
    <w:rsid w:val="00B740B2"/>
    <w:rsid w:val="00B7755D"/>
    <w:rsid w:val="00BA2AB3"/>
    <w:rsid w:val="00BD1D0B"/>
    <w:rsid w:val="00BE37B9"/>
    <w:rsid w:val="00C321E3"/>
    <w:rsid w:val="00C43B07"/>
    <w:rsid w:val="00C51C4F"/>
    <w:rsid w:val="00C93608"/>
    <w:rsid w:val="00C9743E"/>
    <w:rsid w:val="00CA223F"/>
    <w:rsid w:val="00CB6170"/>
    <w:rsid w:val="00D11B73"/>
    <w:rsid w:val="00D15A3A"/>
    <w:rsid w:val="00D17A5D"/>
    <w:rsid w:val="00D705A0"/>
    <w:rsid w:val="00D74CD5"/>
    <w:rsid w:val="00E128A5"/>
    <w:rsid w:val="00E20E07"/>
    <w:rsid w:val="00E60C81"/>
    <w:rsid w:val="00E877AB"/>
    <w:rsid w:val="00EA5D8D"/>
    <w:rsid w:val="00EC3977"/>
    <w:rsid w:val="00EC52A2"/>
    <w:rsid w:val="00F01990"/>
    <w:rsid w:val="00F109E8"/>
    <w:rsid w:val="00F83DE8"/>
    <w:rsid w:val="00FC47A4"/>
    <w:rsid w:val="00FE15D3"/>
    <w:rsid w:val="00FF6F27"/>
    <w:rsid w:val="00FF7B51"/>
    <w:rsid w:val="05D0B309"/>
    <w:rsid w:val="0F0CD519"/>
    <w:rsid w:val="10E94014"/>
    <w:rsid w:val="147EBA3E"/>
    <w:rsid w:val="17777C78"/>
    <w:rsid w:val="177A19EF"/>
    <w:rsid w:val="1BC73972"/>
    <w:rsid w:val="1C319520"/>
    <w:rsid w:val="263C13A7"/>
    <w:rsid w:val="27DB8935"/>
    <w:rsid w:val="2A8FBF64"/>
    <w:rsid w:val="2BC42718"/>
    <w:rsid w:val="421DFFFD"/>
    <w:rsid w:val="44FA2BE4"/>
    <w:rsid w:val="47E06A99"/>
    <w:rsid w:val="4F4459C2"/>
    <w:rsid w:val="56543BF7"/>
    <w:rsid w:val="59ABDF2D"/>
    <w:rsid w:val="5AE81CA6"/>
    <w:rsid w:val="5C8F8ED0"/>
    <w:rsid w:val="63C5CBA8"/>
    <w:rsid w:val="6C4402F0"/>
    <w:rsid w:val="74970315"/>
    <w:rsid w:val="74D3FE34"/>
    <w:rsid w:val="76B4DAE5"/>
    <w:rsid w:val="77CB5439"/>
    <w:rsid w:val="7803102C"/>
    <w:rsid w:val="7D6B909F"/>
    <w:rsid w:val="7F53D0F0"/>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Arial Unicode MS" w:hAnsi="Times New Roman" w:cs="Times New Roman"/>
        <w:bdr w:val="nil"/>
        <w:lang w:val="de-DE" w:eastAsia="de-DE" w:bidi="ar-SA"/>
      </w:rPr>
    </w:rPrDefault>
    <w:pPrDefault>
      <w:pPr>
        <w:pBdr>
          <w:top w:val="nil"/>
          <w:left w:val="nil"/>
          <w:bottom w:val="nil"/>
          <w:right w:val="nil"/>
          <w:between w:val="nil"/>
          <w:bar w:val="nil"/>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56FBF"/>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pPr>
    <w:rPr>
      <w:rFonts w:asciiTheme="minorHAnsi" w:eastAsiaTheme="minorHAnsi" w:hAnsiTheme="minorHAnsi" w:cstheme="minorBidi"/>
      <w:sz w:val="22"/>
      <w:szCs w:val="22"/>
      <w:bdr w:val="none" w:sz="0" w:space="0" w:color="auto"/>
      <w:lang w:val="en-IN"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00507F" w:themeColor="accent1" w:themeShade="7F"/>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0079BF" w:themeColor="accent1" w:themeShade="BF"/>
    </w:rPr>
  </w:style>
  <w:style w:type="paragraph" w:styleId="Heading5">
    <w:name w:val="heading 5"/>
    <w:basedOn w:val="Normal"/>
    <w:next w:val="Normal"/>
    <w:link w:val="Heading5Char"/>
    <w:uiPriority w:val="9"/>
    <w:unhideWhenUsed/>
    <w:qFormat/>
    <w:pPr>
      <w:keepNext/>
      <w:keepLines/>
      <w:spacing w:before="40"/>
      <w:outlineLvl w:val="4"/>
    </w:pPr>
    <w:rPr>
      <w:rFonts w:asciiTheme="majorHAnsi" w:eastAsiaTheme="majorEastAsia" w:hAnsiTheme="majorHAnsi" w:cstheme="majorBidi"/>
      <w:color w:val="0079BF"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berschriftrot">
    <w:name w:val="Überschrift (rot)"/>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lang w:val="nl-NL"/>
      <w14:textOutline w14:w="0" w14:cap="flat" w14:cmpd="sng" w14:algn="ctr">
        <w14:noFill/>
        <w14:prstDash w14:val="solid"/>
        <w14:bevel/>
      </w14:textOutline>
    </w:rPr>
  </w:style>
  <w:style w:type="paragraph" w:styleId="Title">
    <w:name w:val="Title"/>
    <w:next w:val="Text"/>
    <w:uiPriority w:val="10"/>
    <w:qFormat/>
    <w:pPr>
      <w:keepNext/>
      <w:jc w:val="center"/>
    </w:pPr>
    <w:rPr>
      <w:rFonts w:ascii="Helvetica Neue" w:hAnsi="Helvetica Neue" w:cs="Arial Unicode MS"/>
      <w:b/>
      <w:bCs/>
      <w:color w:val="0433FF"/>
      <w:sz w:val="42"/>
      <w:szCs w:val="42"/>
      <w14:textOutline w14:w="0" w14:cap="flat" w14:cmpd="sng" w14:algn="ctr">
        <w14:noFill/>
        <w14:prstDash w14:val="solid"/>
        <w14:bevel/>
      </w14:textOutline>
    </w:rPr>
  </w:style>
  <w:style w:type="paragraph" w:customStyle="1" w:styleId="TextHelvetica">
    <w:name w:val="TextHelvetica"/>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table" w:customStyle="1" w:styleId="TableNormal10">
    <w:name w:val="Table Normal10"/>
    <w:tblPr>
      <w:tblInd w:w="0" w:type="dxa"/>
      <w:tblCellMar>
        <w:top w:w="0" w:type="dxa"/>
        <w:left w:w="0" w:type="dxa"/>
        <w:bottom w:w="0" w:type="dxa"/>
        <w:right w:w="0" w:type="dxa"/>
      </w:tblCellMar>
    </w:tblPr>
  </w:style>
  <w:style w:type="paragraph" w:customStyle="1" w:styleId="Tabellenstil2">
    <w:name w:val="Tabellenstil 2"/>
    <w:rPr>
      <w:rFonts w:ascii="Helvetica Neue" w:eastAsia="Helvetica Neue" w:hAnsi="Helvetica Neue" w:cs="Helvetica Neue"/>
      <w:color w:val="000000"/>
      <w14:textOutline w14:w="0" w14:cap="flat" w14:cmpd="sng" w14:algn="ctr">
        <w14:noFill/>
        <w14:prstDash w14:val="solid"/>
        <w14:bevel/>
      </w14:textOutline>
    </w:rPr>
  </w:style>
  <w:style w:type="paragraph" w:styleId="ListParagraph">
    <w:name w:val="List Paragraph"/>
    <w:basedOn w:val="Normal"/>
    <w:uiPriority w:val="34"/>
    <w:qFormat/>
    <w:pPr>
      <w:ind w:left="720"/>
      <w:contextualSpacing/>
    </w:pPr>
    <w:rPr>
      <w:rFonts w:eastAsiaTheme="minorEastAsia"/>
    </w:rPr>
  </w:style>
  <w:style w:type="paragraph" w:customStyle="1" w:styleId="berschrift11">
    <w:name w:val="Überschrift 11"/>
    <w:next w:val="Normal"/>
    <w:pPr>
      <w:keepNext/>
      <w:pBdr>
        <w:top w:val="none" w:sz="0" w:space="0" w:color="auto"/>
        <w:left w:val="none" w:sz="0" w:space="0" w:color="auto"/>
        <w:bottom w:val="none" w:sz="0" w:space="0" w:color="auto"/>
        <w:right w:val="none" w:sz="0" w:space="0" w:color="auto"/>
        <w:between w:val="none" w:sz="0" w:space="0" w:color="auto"/>
        <w:bar w:val="none" w:sz="0" w:color="auto"/>
      </w:pBdr>
      <w:outlineLvl w:val="0"/>
    </w:pPr>
    <w:rPr>
      <w:rFonts w:ascii="Helvetica" w:eastAsia="ヒラギノ角ゴ Pro W3" w:hAnsi="Helvetica"/>
      <w:b/>
      <w:color w:val="FF2712"/>
      <w:sz w:val="32"/>
      <w:bdr w:val="none" w:sz="0" w:space="0" w:color="auto"/>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079BF" w:themeColor="accent1" w:themeShade="BF"/>
      <w:sz w:val="26"/>
      <w:szCs w:val="26"/>
      <w:lang w:val="en-US" w:eastAsia="en-US"/>
    </w:rPr>
  </w:style>
  <w:style w:type="paragraph" w:styleId="Caption">
    <w:name w:val="caption"/>
    <w:basedOn w:val="Normal"/>
    <w:qFormat/>
    <w:pPr>
      <w:suppressLineNumbers/>
      <w:spacing w:before="120" w:after="120"/>
    </w:pPr>
    <w:rPr>
      <w:rFonts w:cs="Lohit Devanagari"/>
      <w:i/>
      <w:i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link w:val="Quote"/>
    <w:uiPriority w:val="29"/>
    <w:rPr>
      <w:i/>
      <w:iCs/>
      <w:color w:val="404040" w:themeColor="text1" w:themeTint="BF"/>
    </w:rPr>
  </w:style>
  <w:style w:type="paragraph" w:customStyle="1" w:styleId="code">
    <w:name w:val="code"/>
    <w:basedOn w:val="Normal"/>
    <w:qFormat/>
    <w:rPr>
      <w:rFonts w:ascii="Courier 10 Pitch" w:hAnsi="Courier 10 Pitch"/>
      <w:highlight w:val="lightGray"/>
    </w:rPr>
  </w:style>
  <w:style w:type="character" w:styleId="SubtleEmphasis">
    <w:name w:val="Subtle Emphasis"/>
    <w:uiPriority w:val="19"/>
    <w:qFormat/>
    <w:rPr>
      <w:i/>
      <w:iCs/>
      <w:color w:val="404040" w:themeColor="text1" w:themeTint="BF"/>
    </w:rPr>
  </w:style>
  <w:style w:type="paragraph" w:customStyle="1" w:styleId="Heading">
    <w:name w:val="Heading"/>
    <w:basedOn w:val="Normal"/>
    <w:next w:val="Normal"/>
    <w:link w:val="HeadingCar"/>
    <w:uiPriority w:val="10"/>
    <w:qFormat/>
    <w:pPr>
      <w:contextualSpacing/>
    </w:pPr>
    <w:rPr>
      <w:rFonts w:asciiTheme="majorHAnsi" w:eastAsiaTheme="majorEastAsia" w:hAnsiTheme="majorHAnsi" w:cstheme="majorBidi"/>
      <w:spacing w:val="-10"/>
      <w:kern w:val="28"/>
      <w:sz w:val="56"/>
      <w:szCs w:val="56"/>
    </w:rPr>
  </w:style>
  <w:style w:type="paragraph" w:customStyle="1" w:styleId="Index">
    <w:name w:val="Index"/>
    <w:basedOn w:val="Normal"/>
    <w:qFormat/>
    <w:pPr>
      <w:suppressLineNumbers/>
    </w:pPr>
    <w:rPr>
      <w:rFonts w:cs="Lohit Devanagari"/>
    </w:rPr>
  </w:style>
  <w:style w:type="paragraph" w:styleId="BodyText">
    <w:name w:val="Body Text"/>
    <w:basedOn w:val="Normal"/>
    <w:link w:val="BodyTextChar"/>
    <w:pPr>
      <w:spacing w:after="140" w:line="288" w:lineRule="auto"/>
    </w:pPr>
  </w:style>
  <w:style w:type="paragraph" w:styleId="List">
    <w:name w:val="List"/>
    <w:basedOn w:val="BodyText"/>
    <w:rPr>
      <w:rFonts w:cs="Lohit Devanagari"/>
    </w:rPr>
  </w:style>
  <w:style w:type="character" w:customStyle="1" w:styleId="NumberingSymbols">
    <w:name w:val="Numbering Symbols"/>
    <w:qFormat/>
  </w:style>
  <w:style w:type="character" w:customStyle="1" w:styleId="Heading1Char">
    <w:name w:val="Heading 1 Char"/>
    <w:link w:val="Heading1"/>
    <w:uiPriority w:val="9"/>
    <w:rPr>
      <w:rFonts w:asciiTheme="majorHAnsi" w:eastAsiaTheme="majorEastAsia" w:hAnsiTheme="majorHAnsi" w:cstheme="majorBidi"/>
      <w:color w:val="0079BF"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0079BF" w:themeColor="accent1" w:themeShade="BF"/>
      <w:sz w:val="26"/>
      <w:szCs w:val="26"/>
    </w:rPr>
  </w:style>
  <w:style w:type="character" w:customStyle="1" w:styleId="Heading3Char">
    <w:name w:val="Heading 3 Char"/>
    <w:link w:val="Heading3"/>
    <w:uiPriority w:val="9"/>
    <w:rPr>
      <w:rFonts w:asciiTheme="majorHAnsi" w:eastAsiaTheme="majorEastAsia" w:hAnsiTheme="majorHAnsi" w:cstheme="majorBidi"/>
      <w:color w:val="00507F" w:themeColor="accent1" w:themeShade="7F"/>
      <w:sz w:val="24"/>
      <w:szCs w:val="24"/>
    </w:rPr>
  </w:style>
  <w:style w:type="character" w:customStyle="1" w:styleId="Heading4Char">
    <w:name w:val="Heading 4 Char"/>
    <w:link w:val="Heading4"/>
    <w:uiPriority w:val="9"/>
    <w:rPr>
      <w:rFonts w:asciiTheme="majorHAnsi" w:eastAsiaTheme="majorEastAsia" w:hAnsiTheme="majorHAnsi" w:cstheme="majorBidi"/>
      <w:i/>
      <w:iCs/>
      <w:color w:val="0079BF" w:themeColor="accent1" w:themeShade="BF"/>
      <w:sz w:val="24"/>
      <w:szCs w:val="24"/>
    </w:rPr>
  </w:style>
  <w:style w:type="character" w:customStyle="1" w:styleId="Heading5Char">
    <w:name w:val="Heading 5 Char"/>
    <w:link w:val="Heading5"/>
    <w:uiPriority w:val="9"/>
    <w:rPr>
      <w:rFonts w:asciiTheme="majorHAnsi" w:eastAsiaTheme="majorEastAsia" w:hAnsiTheme="majorHAnsi" w:cstheme="majorBidi"/>
      <w:color w:val="0079BF" w:themeColor="accent1" w:themeShade="BF"/>
    </w:rPr>
  </w:style>
  <w:style w:type="character" w:customStyle="1" w:styleId="HeadingCar">
    <w:name w:val="Heading Car"/>
    <w:link w:val="Heading"/>
    <w:uiPriority w:val="10"/>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val="en-US" w:eastAsia="en-US"/>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lang w:val="en-US"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val="en-US" w:eastAsia="en-US"/>
    </w:rPr>
  </w:style>
  <w:style w:type="paragraph" w:styleId="Revision">
    <w:name w:val="Revision"/>
    <w:hidden/>
    <w:uiPriority w:val="99"/>
    <w:semiHidden/>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eastAsia="en-US"/>
    </w:rPr>
  </w:style>
  <w:style w:type="character" w:customStyle="1" w:styleId="Tag">
    <w:name w:val="Tag"/>
  </w:style>
  <w:style w:type="paragraph" w:customStyle="1" w:styleId="CN">
    <w:name w:val="CN"/>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character" w:customStyle="1" w:styleId="CN0">
    <w:name w:val="CN"/>
  </w:style>
  <w:style w:type="character" w:customStyle="1" w:styleId="CW">
    <w:name w:val="CW"/>
  </w:style>
  <w:style w:type="paragraph" w:customStyle="1" w:styleId="CT">
    <w:name w:val="CT"/>
    <w:next w:val="Text"/>
    <w:uiPriority w:val="10"/>
    <w:qFormat/>
    <w:pPr>
      <w:keepNext/>
      <w:jc w:val="center"/>
    </w:pPr>
    <w:rPr>
      <w:rFonts w:ascii="Helvetica Neue" w:hAnsi="Helvetica Neue" w:cs="Arial Unicode MS"/>
      <w:b/>
      <w:bCs/>
      <w:color w:val="0433FF"/>
      <w:sz w:val="42"/>
      <w:szCs w:val="42"/>
      <w14:textOutline w14:w="0" w14:cap="flat" w14:cmpd="sng" w14:algn="ctr">
        <w14:noFill/>
        <w14:prstDash w14:val="solid"/>
        <w14:bevel/>
      </w14:textOutline>
    </w:rPr>
  </w:style>
  <w:style w:type="paragraph" w:customStyle="1" w:styleId="H1">
    <w:name w:val="H1"/>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character" w:customStyle="1" w:styleId="AbbreviationExpansion">
    <w:name w:val="AbbreviationExpansion"/>
  </w:style>
  <w:style w:type="character" w:customStyle="1" w:styleId="Abbreviation">
    <w:name w:val="Abbreviation"/>
    <w:rsid w:val="00056FBF"/>
  </w:style>
  <w:style w:type="character" w:customStyle="1" w:styleId="superscript">
    <w:name w:val="superscript"/>
  </w:style>
  <w:style w:type="paragraph" w:customStyle="1" w:styleId="TXT-FLUSH">
    <w:name w:val="TXT-FLUSH"/>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character" w:customStyle="1" w:styleId="citebib">
    <w:name w:val="cite_bib"/>
    <w:rsid w:val="00056FBF"/>
    <w:rPr>
      <w:sz w:val="24"/>
      <w:bdr w:val="none" w:sz="0" w:space="0" w:color="auto"/>
      <w:shd w:val="clear" w:color="auto" w:fill="CCFFFF"/>
    </w:rPr>
  </w:style>
  <w:style w:type="paragraph" w:customStyle="1" w:styleId="TXT">
    <w:name w:val="TX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character" w:customStyle="1" w:styleId="TableCitation">
    <w:name w:val="TableCitation"/>
  </w:style>
  <w:style w:type="character" w:customStyle="1" w:styleId="allcaps">
    <w:name w:val="allcaps"/>
  </w:style>
  <w:style w:type="character" w:customStyle="1" w:styleId="italic">
    <w:name w:val="italic"/>
  </w:style>
  <w:style w:type="character" w:customStyle="1" w:styleId="TablePMI">
    <w:name w:val="TablePMI"/>
  </w:style>
  <w:style w:type="paragraph" w:customStyle="1" w:styleId="PMI">
    <w:name w:val="PMI"/>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character" w:customStyle="1" w:styleId="Math">
    <w:name w:val="Math"/>
  </w:style>
  <w:style w:type="paragraph" w:customStyle="1" w:styleId="TXT-FLUSH0">
    <w:name w:val="TXT-FLUSH"/>
    <w:qFormat/>
    <w:rPr>
      <w:sz w:val="24"/>
      <w:szCs w:val="24"/>
      <w:lang w:val="en-US" w:eastAsia="en-US"/>
    </w:rPr>
  </w:style>
  <w:style w:type="paragraph" w:customStyle="1" w:styleId="TAB2-4">
    <w:name w:val="TAB 2-4"/>
    <w:qFormat/>
    <w:rPr>
      <w:sz w:val="24"/>
      <w:szCs w:val="24"/>
      <w:lang w:val="en-US" w:eastAsia="en-US"/>
    </w:rPr>
  </w:style>
  <w:style w:type="paragraph" w:customStyle="1" w:styleId="TXT0">
    <w:name w:val="TXT"/>
    <w:qFormat/>
    <w:rPr>
      <w:sz w:val="24"/>
      <w:szCs w:val="24"/>
      <w:lang w:val="en-US" w:eastAsia="en-US"/>
    </w:rPr>
  </w:style>
  <w:style w:type="character" w:customStyle="1" w:styleId="FigureCitation">
    <w:name w:val="FigureCitation"/>
  </w:style>
  <w:style w:type="character" w:customStyle="1" w:styleId="FigurePMI">
    <w:name w:val="FigurePMI"/>
  </w:style>
  <w:style w:type="paragraph" w:customStyle="1" w:styleId="FIG2-1">
    <w:name w:val="FIG 2-1"/>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XT-FLUSH1">
    <w:name w:val="TXT-FLUSH"/>
    <w:rsid w:val="00492379"/>
    <w:pPr>
      <w:spacing w:line="480" w:lineRule="auto"/>
    </w:pPr>
    <w:rPr>
      <w:rFonts w:ascii="Helvetica Neue" w:hAnsi="Helvetica Neue" w:cs="Arial Unicode MS"/>
      <w:color w:val="000000"/>
      <w:sz w:val="22"/>
      <w:szCs w:val="22"/>
      <w:lang w:val="nl-NL"/>
      <w14:textOutline w14:w="0" w14:cap="flat" w14:cmpd="sng" w14:algn="ctr">
        <w14:noFill/>
        <w14:prstDash w14:val="solid"/>
        <w14:bevel/>
      </w14:textOutline>
    </w:rPr>
  </w:style>
  <w:style w:type="paragraph" w:customStyle="1" w:styleId="KP-H1">
    <w:name w:val="KP-H1"/>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paragraph" w:customStyle="1" w:styleId="KP-BL-FIRST">
    <w:name w:val="KP-BL-FIRST"/>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paragraph" w:customStyle="1" w:styleId="KP-BL2-MID">
    <w:name w:val="KP-BL2-MID"/>
    <w:basedOn w:val="Normal"/>
    <w:uiPriority w:val="34"/>
    <w:qFormat/>
    <w:pPr>
      <w:ind w:left="720"/>
      <w:contextualSpacing/>
    </w:pPr>
    <w:rPr>
      <w:rFonts w:eastAsiaTheme="minorEastAsia"/>
    </w:rPr>
  </w:style>
  <w:style w:type="paragraph" w:customStyle="1" w:styleId="BL-LAST">
    <w:name w:val="BL-LAST"/>
    <w:basedOn w:val="Normal"/>
    <w:uiPriority w:val="34"/>
    <w:qFormat/>
    <w:pPr>
      <w:ind w:left="720"/>
      <w:contextualSpacing/>
    </w:pPr>
    <w:rPr>
      <w:rFonts w:eastAsiaTheme="minorEastAsia"/>
    </w:rPr>
  </w:style>
  <w:style w:type="paragraph" w:customStyle="1" w:styleId="H10">
    <w:name w:val="H1"/>
    <w:basedOn w:val="Normal"/>
    <w:next w:val="Normal"/>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character" w:customStyle="1" w:styleId="ManualList">
    <w:name w:val="ManualList"/>
  </w:style>
  <w:style w:type="paragraph" w:customStyle="1" w:styleId="REF-N">
    <w:name w:val="REF-N"/>
    <w:qFormat/>
    <w:rPr>
      <w:sz w:val="24"/>
      <w:szCs w:val="24"/>
      <w:lang w:val="en-US" w:eastAsia="en-US"/>
    </w:rPr>
  </w:style>
  <w:style w:type="character" w:customStyle="1" w:styleId="bibdoi">
    <w:name w:val="bib_doi"/>
    <w:rsid w:val="00056FBF"/>
    <w:rPr>
      <w:rFonts w:ascii="Times New Roman" w:hAnsi="Times New Roman"/>
      <w:sz w:val="24"/>
      <w:bdr w:val="none" w:sz="0" w:space="0" w:color="auto"/>
      <w:shd w:val="clear" w:color="auto" w:fill="CCFFCC"/>
    </w:rPr>
  </w:style>
  <w:style w:type="character" w:customStyle="1" w:styleId="bibfpage">
    <w:name w:val="bib_fpage"/>
    <w:rsid w:val="00056FBF"/>
    <w:rPr>
      <w:rFonts w:ascii="Times New Roman" w:hAnsi="Times New Roman"/>
      <w:sz w:val="24"/>
      <w:bdr w:val="none" w:sz="0" w:space="0" w:color="auto"/>
      <w:shd w:val="clear" w:color="auto" w:fill="E6E6E6"/>
    </w:rPr>
  </w:style>
  <w:style w:type="character" w:customStyle="1" w:styleId="bibjournal">
    <w:name w:val="bib_journal"/>
    <w:rsid w:val="00056FBF"/>
    <w:rPr>
      <w:rFonts w:ascii="Times New Roman" w:hAnsi="Times New Roman"/>
      <w:sz w:val="24"/>
      <w:bdr w:val="none" w:sz="0" w:space="0" w:color="auto"/>
      <w:shd w:val="clear" w:color="auto" w:fill="F9DECF"/>
    </w:rPr>
  </w:style>
  <w:style w:type="character" w:customStyle="1" w:styleId="biblpage">
    <w:name w:val="bib_lpage"/>
    <w:rsid w:val="00056FBF"/>
    <w:rPr>
      <w:rFonts w:ascii="Times New Roman" w:hAnsi="Times New Roman"/>
      <w:sz w:val="24"/>
      <w:bdr w:val="none" w:sz="0" w:space="0" w:color="auto"/>
      <w:shd w:val="clear" w:color="auto" w:fill="D9D9D9"/>
    </w:rPr>
  </w:style>
  <w:style w:type="character" w:customStyle="1" w:styleId="bibyear">
    <w:name w:val="bib_year"/>
    <w:rsid w:val="00056FBF"/>
    <w:rPr>
      <w:rFonts w:ascii="Times New Roman" w:hAnsi="Times New Roman"/>
      <w:sz w:val="24"/>
      <w:bdr w:val="none" w:sz="0" w:space="0" w:color="auto"/>
      <w:shd w:val="clear" w:color="auto" w:fill="FFCCFF"/>
    </w:rPr>
  </w:style>
  <w:style w:type="character" w:customStyle="1" w:styleId="bibissue">
    <w:name w:val="bib_issue"/>
    <w:rsid w:val="00056FBF"/>
    <w:rPr>
      <w:rFonts w:ascii="Times New Roman" w:hAnsi="Times New Roman"/>
      <w:sz w:val="24"/>
      <w:bdr w:val="none" w:sz="0" w:space="0" w:color="auto"/>
      <w:shd w:val="clear" w:color="auto" w:fill="FFFFAB"/>
    </w:rPr>
  </w:style>
  <w:style w:type="character" w:customStyle="1" w:styleId="bibvolume">
    <w:name w:val="bib_volume"/>
    <w:rsid w:val="00056FBF"/>
    <w:rPr>
      <w:rFonts w:ascii="Times New Roman" w:hAnsi="Times New Roman"/>
      <w:sz w:val="24"/>
      <w:bdr w:val="none" w:sz="0" w:space="0" w:color="auto"/>
      <w:shd w:val="clear" w:color="auto" w:fill="CCECFF"/>
    </w:rPr>
  </w:style>
  <w:style w:type="character" w:customStyle="1" w:styleId="bibfname">
    <w:name w:val="bib_fname"/>
    <w:rsid w:val="00056FBF"/>
    <w:rPr>
      <w:rFonts w:ascii="Times New Roman" w:hAnsi="Times New Roman"/>
      <w:sz w:val="24"/>
      <w:bdr w:val="none" w:sz="0" w:space="0" w:color="auto"/>
      <w:shd w:val="clear" w:color="auto" w:fill="FFFFCC"/>
    </w:rPr>
  </w:style>
  <w:style w:type="character" w:customStyle="1" w:styleId="bibsurname">
    <w:name w:val="bib_surname"/>
    <w:rsid w:val="00056FBF"/>
    <w:rPr>
      <w:rFonts w:ascii="Times New Roman" w:hAnsi="Times New Roman"/>
      <w:sz w:val="24"/>
      <w:bdr w:val="none" w:sz="0" w:space="0" w:color="auto"/>
      <w:shd w:val="clear" w:color="auto" w:fill="CCFF99"/>
    </w:rPr>
  </w:style>
  <w:style w:type="character" w:customStyle="1" w:styleId="bibarticle">
    <w:name w:val="bib_article"/>
    <w:rsid w:val="00056FBF"/>
    <w:rPr>
      <w:rFonts w:ascii="Times New Roman" w:hAnsi="Times New Roman"/>
      <w:sz w:val="24"/>
      <w:bdr w:val="none" w:sz="0" w:space="0" w:color="auto"/>
      <w:shd w:val="clear" w:color="auto" w:fill="CCFFFF"/>
    </w:rPr>
  </w:style>
  <w:style w:type="character" w:customStyle="1" w:styleId="bibetal">
    <w:name w:val="bib_etal"/>
    <w:rsid w:val="00056FBF"/>
    <w:rPr>
      <w:rFonts w:ascii="Times New Roman" w:hAnsi="Times New Roman"/>
      <w:sz w:val="24"/>
      <w:bdr w:val="none" w:sz="0" w:space="0" w:color="auto"/>
      <w:shd w:val="clear" w:color="auto" w:fill="CCFF99"/>
    </w:rPr>
  </w:style>
  <w:style w:type="paragraph" w:customStyle="1" w:styleId="FIG-LEG">
    <w:name w:val="FIG-LEG"/>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character" w:customStyle="1" w:styleId="FIG-NUM">
    <w:name w:val="FIG-NUM"/>
  </w:style>
  <w:style w:type="paragraph" w:customStyle="1" w:styleId="FIG-LEG0">
    <w:name w:val="FIG-LEG"/>
    <w:qFormat/>
    <w:rPr>
      <w:sz w:val="24"/>
      <w:szCs w:val="24"/>
      <w:lang w:val="en-US" w:eastAsia="en-US"/>
    </w:rPr>
  </w:style>
  <w:style w:type="paragraph" w:customStyle="1" w:styleId="SupplementaryLegends">
    <w:name w:val="SupplementaryLegends"/>
    <w:basedOn w:val="Normal"/>
    <w:next w:val="Normal"/>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customStyle="1" w:styleId="TableCaptions">
    <w:name w:val="TableCaptions"/>
    <w:basedOn w:val="Normal"/>
    <w:next w:val="Normal"/>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character" w:customStyle="1" w:styleId="TN">
    <w:name w:val="TN"/>
  </w:style>
  <w:style w:type="paragraph" w:customStyle="1" w:styleId="T1">
    <w:name w:val="T1"/>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2">
    <w:name w:val="T2"/>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
    <w:name w:val="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FN">
    <w:name w:val="TFN"/>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0">
    <w:name w:val="T"/>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BL-FIRST">
    <w:name w:val="TBL-FIRS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BL-LAST">
    <w:name w:val="TBL-LAS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BL-MID">
    <w:name w:val="TBL-MID"/>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BL-FIRST0">
    <w:name w:val="TBL-FIRST"/>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BL-MID0">
    <w:name w:val="TBL-MID"/>
    <w:rsid w:val="00E60C81"/>
    <w:pPr>
      <w:spacing w:line="480" w:lineRule="auto"/>
    </w:pPr>
    <w:rPr>
      <w:rFonts w:eastAsia="Helvetica Neue" w:cs="Helvetica Neue"/>
      <w:color w:val="000000"/>
      <w:sz w:val="24"/>
      <w14:textOutline w14:w="0" w14:cap="flat" w14:cmpd="sng" w14:algn="ctr">
        <w14:noFill/>
        <w14:prstDash w14:val="solid"/>
        <w14:bevel/>
      </w14:textOutline>
    </w:rPr>
  </w:style>
  <w:style w:type="paragraph" w:customStyle="1" w:styleId="TBL-LAST0">
    <w:name w:val="TBL-LAST"/>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10">
    <w:name w:val="T1"/>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3">
    <w:name w:val="T"/>
    <w:qFormat/>
    <w:rPr>
      <w:sz w:val="24"/>
      <w:szCs w:val="24"/>
      <w:lang w:val="en-US" w:eastAsia="en-US"/>
    </w:rPr>
  </w:style>
  <w:style w:type="paragraph" w:customStyle="1" w:styleId="T11">
    <w:name w:val="T1"/>
    <w:qFormat/>
    <w:rsid w:val="00730A4B"/>
    <w:pPr>
      <w:spacing w:line="480" w:lineRule="auto"/>
    </w:pPr>
    <w:rPr>
      <w:sz w:val="24"/>
      <w:szCs w:val="24"/>
      <w:lang w:val="en-US" w:eastAsia="en-US"/>
    </w:rPr>
  </w:style>
  <w:style w:type="paragraph" w:customStyle="1" w:styleId="T20">
    <w:name w:val="T2"/>
    <w:qFormat/>
    <w:rsid w:val="00730A4B"/>
    <w:pPr>
      <w:spacing w:line="480" w:lineRule="auto"/>
    </w:pPr>
    <w:rPr>
      <w:sz w:val="24"/>
      <w:szCs w:val="24"/>
      <w:lang w:val="en-US" w:eastAsia="en-US"/>
    </w:rPr>
  </w:style>
  <w:style w:type="paragraph" w:customStyle="1" w:styleId="TFN0">
    <w:name w:val="TFN"/>
    <w:qFormat/>
    <w:rsid w:val="003220D7"/>
    <w:pPr>
      <w:spacing w:line="480" w:lineRule="auto"/>
    </w:pPr>
    <w:rPr>
      <w:sz w:val="24"/>
      <w:szCs w:val="24"/>
      <w:lang w:val="en-US" w:eastAsia="en-US"/>
    </w:rPr>
  </w:style>
  <w:style w:type="character" w:customStyle="1" w:styleId="bibalt-year">
    <w:name w:val="bib_alt-year"/>
    <w:rsid w:val="00056FBF"/>
    <w:rPr>
      <w:rFonts w:ascii="Times New Roman" w:hAnsi="Times New Roman"/>
      <w:sz w:val="24"/>
      <w:szCs w:val="24"/>
      <w:bdr w:val="none" w:sz="0" w:space="0" w:color="auto"/>
      <w:shd w:val="clear" w:color="auto" w:fill="CC99FF"/>
    </w:rPr>
  </w:style>
  <w:style w:type="character" w:customStyle="1" w:styleId="bibbase">
    <w:name w:val="bib_base"/>
    <w:rsid w:val="00056FBF"/>
    <w:rPr>
      <w:rFonts w:ascii="Times New Roman" w:hAnsi="Times New Roman"/>
      <w:sz w:val="24"/>
    </w:rPr>
  </w:style>
  <w:style w:type="character" w:customStyle="1" w:styleId="bibbook">
    <w:name w:val="bib_book"/>
    <w:rsid w:val="00056FBF"/>
    <w:rPr>
      <w:rFonts w:ascii="Times New Roman" w:hAnsi="Times New Roman"/>
      <w:sz w:val="24"/>
      <w:bdr w:val="none" w:sz="0" w:space="0" w:color="auto"/>
      <w:shd w:val="clear" w:color="auto" w:fill="99CCFF"/>
    </w:rPr>
  </w:style>
  <w:style w:type="character" w:customStyle="1" w:styleId="bibchapterno">
    <w:name w:val="bib_chapterno"/>
    <w:rsid w:val="00056FBF"/>
    <w:rPr>
      <w:rFonts w:ascii="Times New Roman" w:hAnsi="Times New Roman"/>
      <w:sz w:val="24"/>
      <w:bdr w:val="none" w:sz="0" w:space="0" w:color="auto"/>
      <w:shd w:val="clear" w:color="auto" w:fill="D9D9D9"/>
    </w:rPr>
  </w:style>
  <w:style w:type="character" w:customStyle="1" w:styleId="bibchaptertitle">
    <w:name w:val="bib_chaptertitle"/>
    <w:rsid w:val="00056FBF"/>
    <w:rPr>
      <w:rFonts w:ascii="Times New Roman" w:hAnsi="Times New Roman"/>
      <w:sz w:val="24"/>
      <w:bdr w:val="none" w:sz="0" w:space="0" w:color="auto"/>
      <w:shd w:val="clear" w:color="auto" w:fill="FF9D5B"/>
    </w:rPr>
  </w:style>
  <w:style w:type="character" w:customStyle="1" w:styleId="bibcomment">
    <w:name w:val="bib_comment"/>
    <w:rsid w:val="00056FBF"/>
    <w:rPr>
      <w:rFonts w:ascii="Times New Roman" w:hAnsi="Times New Roman"/>
      <w:sz w:val="24"/>
    </w:rPr>
  </w:style>
  <w:style w:type="character" w:customStyle="1" w:styleId="bibconfacronym">
    <w:name w:val="bib_confacronym"/>
    <w:rsid w:val="00056FBF"/>
    <w:rPr>
      <w:rFonts w:ascii="Times New Roman" w:hAnsi="Times New Roman"/>
      <w:sz w:val="24"/>
      <w:bdr w:val="none" w:sz="0" w:space="0" w:color="auto"/>
      <w:shd w:val="clear" w:color="auto" w:fill="FD77F3"/>
    </w:rPr>
  </w:style>
  <w:style w:type="character" w:customStyle="1" w:styleId="bibconfdate">
    <w:name w:val="bib_confdate"/>
    <w:rsid w:val="00056FBF"/>
    <w:rPr>
      <w:rFonts w:ascii="Times New Roman" w:hAnsi="Times New Roman"/>
      <w:sz w:val="24"/>
      <w:bdr w:val="none" w:sz="0" w:space="0" w:color="auto"/>
      <w:shd w:val="clear" w:color="auto" w:fill="3CE0C1"/>
    </w:rPr>
  </w:style>
  <w:style w:type="character" w:customStyle="1" w:styleId="bibconference">
    <w:name w:val="bib_conference"/>
    <w:rsid w:val="00056FBF"/>
    <w:rPr>
      <w:rFonts w:ascii="Times New Roman" w:hAnsi="Times New Roman"/>
      <w:sz w:val="24"/>
      <w:bdr w:val="none" w:sz="0" w:space="0" w:color="auto"/>
      <w:shd w:val="clear" w:color="auto" w:fill="9CB3FE"/>
    </w:rPr>
  </w:style>
  <w:style w:type="character" w:customStyle="1" w:styleId="bibconflocation">
    <w:name w:val="bib_conflocation"/>
    <w:rsid w:val="00056FBF"/>
    <w:rPr>
      <w:rFonts w:ascii="Times New Roman" w:hAnsi="Times New Roman"/>
      <w:sz w:val="24"/>
      <w:bdr w:val="none" w:sz="0" w:space="0" w:color="auto"/>
      <w:shd w:val="clear" w:color="auto" w:fill="EC493C"/>
    </w:rPr>
  </w:style>
  <w:style w:type="character" w:customStyle="1" w:styleId="bibconfpaper">
    <w:name w:val="bib_confpaper"/>
    <w:rsid w:val="00056FBF"/>
    <w:rPr>
      <w:rFonts w:ascii="Times New Roman" w:hAnsi="Times New Roman"/>
      <w:sz w:val="24"/>
      <w:bdr w:val="none" w:sz="0" w:space="0" w:color="auto"/>
      <w:shd w:val="clear" w:color="auto" w:fill="61FF65"/>
    </w:rPr>
  </w:style>
  <w:style w:type="character" w:customStyle="1" w:styleId="bibconfproceedings">
    <w:name w:val="bib_confproceedings"/>
    <w:rsid w:val="00056FBF"/>
    <w:rPr>
      <w:rFonts w:ascii="Times New Roman" w:hAnsi="Times New Roman"/>
      <w:sz w:val="24"/>
      <w:bdr w:val="none" w:sz="0" w:space="0" w:color="auto"/>
      <w:shd w:val="clear" w:color="auto" w:fill="FDBA35"/>
    </w:rPr>
  </w:style>
  <w:style w:type="character" w:customStyle="1" w:styleId="bibday">
    <w:name w:val="bib_day"/>
    <w:rsid w:val="00056FBF"/>
    <w:rPr>
      <w:rFonts w:ascii="Times New Roman" w:hAnsi="Times New Roman"/>
      <w:sz w:val="24"/>
      <w:bdr w:val="none" w:sz="0" w:space="0" w:color="auto"/>
      <w:shd w:val="clear" w:color="auto" w:fill="FFFF66"/>
    </w:rPr>
  </w:style>
  <w:style w:type="character" w:customStyle="1" w:styleId="bibdeg">
    <w:name w:val="bib_deg"/>
    <w:rsid w:val="00056FBF"/>
    <w:rPr>
      <w:rFonts w:ascii="Times New Roman" w:hAnsi="Times New Roman"/>
      <w:sz w:val="24"/>
    </w:rPr>
  </w:style>
  <w:style w:type="character" w:customStyle="1" w:styleId="bibed-etal">
    <w:name w:val="bib_ed-etal"/>
    <w:rsid w:val="00056FBF"/>
    <w:rPr>
      <w:rFonts w:ascii="Times New Roman" w:hAnsi="Times New Roman"/>
      <w:sz w:val="24"/>
      <w:bdr w:val="none" w:sz="0" w:space="0" w:color="auto"/>
      <w:shd w:val="clear" w:color="auto" w:fill="00F4EE"/>
    </w:rPr>
  </w:style>
  <w:style w:type="character" w:customStyle="1" w:styleId="bibed-fname">
    <w:name w:val="bib_ed-fname"/>
    <w:rsid w:val="00056FBF"/>
    <w:rPr>
      <w:rFonts w:ascii="Times New Roman" w:hAnsi="Times New Roman"/>
      <w:sz w:val="24"/>
      <w:bdr w:val="none" w:sz="0" w:space="0" w:color="auto"/>
      <w:shd w:val="clear" w:color="auto" w:fill="FFFFB7"/>
    </w:rPr>
  </w:style>
  <w:style w:type="character" w:customStyle="1" w:styleId="bibeditionno">
    <w:name w:val="bib_editionno"/>
    <w:rsid w:val="00056FBF"/>
    <w:rPr>
      <w:rFonts w:ascii="Times New Roman" w:hAnsi="Times New Roman"/>
      <w:sz w:val="24"/>
      <w:bdr w:val="none" w:sz="0" w:space="0" w:color="auto"/>
      <w:shd w:val="clear" w:color="auto" w:fill="FFCC00"/>
    </w:rPr>
  </w:style>
  <w:style w:type="character" w:customStyle="1" w:styleId="bibed-organization">
    <w:name w:val="bib_ed-organization"/>
    <w:rsid w:val="00056FBF"/>
    <w:rPr>
      <w:rFonts w:ascii="Times New Roman" w:hAnsi="Times New Roman"/>
      <w:sz w:val="24"/>
      <w:bdr w:val="none" w:sz="0" w:space="0" w:color="auto"/>
      <w:shd w:val="clear" w:color="auto" w:fill="FCAAC3"/>
    </w:rPr>
  </w:style>
  <w:style w:type="character" w:customStyle="1" w:styleId="bibed-suffix">
    <w:name w:val="bib_ed-suffix"/>
    <w:rsid w:val="00056FBF"/>
    <w:rPr>
      <w:rFonts w:ascii="Times New Roman" w:hAnsi="Times New Roman"/>
      <w:sz w:val="24"/>
      <w:bdr w:val="none" w:sz="0" w:space="0" w:color="auto"/>
      <w:shd w:val="clear" w:color="auto" w:fill="CCFFCC"/>
    </w:rPr>
  </w:style>
  <w:style w:type="character" w:customStyle="1" w:styleId="bibed-surname">
    <w:name w:val="bib_ed-surname"/>
    <w:rsid w:val="00056FBF"/>
    <w:rPr>
      <w:rFonts w:ascii="Times New Roman" w:hAnsi="Times New Roman"/>
      <w:sz w:val="24"/>
      <w:bdr w:val="none" w:sz="0" w:space="0" w:color="auto"/>
      <w:shd w:val="clear" w:color="auto" w:fill="FFFF00"/>
    </w:rPr>
  </w:style>
  <w:style w:type="character" w:customStyle="1" w:styleId="bibextlink">
    <w:name w:val="bib_extlink"/>
    <w:rsid w:val="00056FBF"/>
    <w:rPr>
      <w:rFonts w:ascii="Times New Roman" w:hAnsi="Times New Roman"/>
      <w:sz w:val="20"/>
      <w:bdr w:val="none" w:sz="0" w:space="0" w:color="auto"/>
      <w:shd w:val="clear" w:color="auto" w:fill="6CCE9D"/>
    </w:rPr>
  </w:style>
  <w:style w:type="character" w:customStyle="1" w:styleId="bibinstitution">
    <w:name w:val="bib_institution"/>
    <w:rsid w:val="00056FBF"/>
    <w:rPr>
      <w:rFonts w:ascii="Times New Roman" w:hAnsi="Times New Roman"/>
      <w:sz w:val="24"/>
      <w:bdr w:val="none" w:sz="0" w:space="0" w:color="auto"/>
      <w:shd w:val="clear" w:color="auto" w:fill="CCFFCC"/>
    </w:rPr>
  </w:style>
  <w:style w:type="character" w:customStyle="1" w:styleId="bibisbn">
    <w:name w:val="bib_isbn"/>
    <w:rsid w:val="00056FBF"/>
    <w:rPr>
      <w:rFonts w:ascii="Times New Roman" w:hAnsi="Times New Roman"/>
      <w:sz w:val="24"/>
      <w:shd w:val="clear" w:color="auto" w:fill="D9D9D9"/>
    </w:rPr>
  </w:style>
  <w:style w:type="character" w:customStyle="1" w:styleId="biblocation">
    <w:name w:val="bib_location"/>
    <w:rsid w:val="00056FBF"/>
    <w:rPr>
      <w:rFonts w:ascii="Times New Roman" w:hAnsi="Times New Roman"/>
      <w:sz w:val="24"/>
      <w:bdr w:val="none" w:sz="0" w:space="0" w:color="auto"/>
      <w:shd w:val="clear" w:color="auto" w:fill="FFCCCC"/>
    </w:rPr>
  </w:style>
  <w:style w:type="character" w:customStyle="1" w:styleId="bibmedline">
    <w:name w:val="bib_medline"/>
    <w:rsid w:val="00056FBF"/>
    <w:rPr>
      <w:rFonts w:ascii="Times New Roman" w:hAnsi="Times New Roman"/>
      <w:sz w:val="24"/>
    </w:rPr>
  </w:style>
  <w:style w:type="character" w:customStyle="1" w:styleId="bibmonth">
    <w:name w:val="bib_month"/>
    <w:rsid w:val="00056FBF"/>
    <w:rPr>
      <w:rFonts w:ascii="Times New Roman" w:hAnsi="Times New Roman"/>
      <w:sz w:val="24"/>
      <w:szCs w:val="24"/>
      <w:bdr w:val="none" w:sz="0" w:space="0" w:color="auto"/>
      <w:shd w:val="clear" w:color="auto" w:fill="CCFF33"/>
    </w:rPr>
  </w:style>
  <w:style w:type="character" w:customStyle="1" w:styleId="bibnumber">
    <w:name w:val="bib_number"/>
    <w:rsid w:val="00056FBF"/>
    <w:rPr>
      <w:rFonts w:ascii="Times New Roman" w:hAnsi="Times New Roman"/>
      <w:sz w:val="24"/>
      <w:bdr w:val="none" w:sz="0" w:space="0" w:color="auto"/>
      <w:shd w:val="clear" w:color="auto" w:fill="CCCCFF"/>
    </w:rPr>
  </w:style>
  <w:style w:type="character" w:customStyle="1" w:styleId="biborganization">
    <w:name w:val="bib_organization"/>
    <w:rsid w:val="00056FBF"/>
    <w:rPr>
      <w:rFonts w:ascii="Times New Roman" w:hAnsi="Times New Roman"/>
      <w:sz w:val="24"/>
      <w:bdr w:val="none" w:sz="0" w:space="0" w:color="auto"/>
      <w:shd w:val="clear" w:color="auto" w:fill="CCFF99"/>
    </w:rPr>
  </w:style>
  <w:style w:type="character" w:customStyle="1" w:styleId="bibpagecount">
    <w:name w:val="bib_pagecount"/>
    <w:rsid w:val="00056FBF"/>
    <w:rPr>
      <w:rFonts w:ascii="Times New Roman" w:hAnsi="Times New Roman"/>
      <w:sz w:val="24"/>
      <w:bdr w:val="none" w:sz="0" w:space="0" w:color="auto"/>
      <w:shd w:val="clear" w:color="auto" w:fill="00FF00"/>
    </w:rPr>
  </w:style>
  <w:style w:type="character" w:customStyle="1" w:styleId="bibpapernumber">
    <w:name w:val="bib_papernumber"/>
    <w:uiPriority w:val="1"/>
    <w:rsid w:val="00056FBF"/>
    <w:rPr>
      <w:rFonts w:ascii="Times New Roman" w:hAnsi="Times New Roman"/>
      <w:sz w:val="24"/>
      <w:bdr w:val="none" w:sz="0" w:space="0" w:color="auto"/>
      <w:shd w:val="clear" w:color="auto" w:fill="FFFF66"/>
    </w:rPr>
  </w:style>
  <w:style w:type="character" w:customStyle="1" w:styleId="bibpatent">
    <w:name w:val="bib_patent"/>
    <w:rsid w:val="00056FBF"/>
    <w:rPr>
      <w:rFonts w:ascii="Times New Roman" w:hAnsi="Times New Roman"/>
      <w:sz w:val="24"/>
      <w:bdr w:val="none" w:sz="0" w:space="0" w:color="auto"/>
      <w:shd w:val="clear" w:color="auto" w:fill="66FFCC"/>
    </w:rPr>
  </w:style>
  <w:style w:type="character" w:customStyle="1" w:styleId="bibpublisher">
    <w:name w:val="bib_publisher"/>
    <w:rsid w:val="00056FBF"/>
    <w:rPr>
      <w:rFonts w:ascii="Times New Roman" w:hAnsi="Times New Roman"/>
      <w:sz w:val="24"/>
      <w:bdr w:val="none" w:sz="0" w:space="0" w:color="auto"/>
      <w:shd w:val="clear" w:color="auto" w:fill="FF99CC"/>
    </w:rPr>
  </w:style>
  <w:style w:type="character" w:customStyle="1" w:styleId="bibreportnum">
    <w:name w:val="bib_reportnum"/>
    <w:rsid w:val="00056FBF"/>
    <w:rPr>
      <w:rFonts w:ascii="Times New Roman" w:hAnsi="Times New Roman"/>
      <w:sz w:val="24"/>
      <w:bdr w:val="none" w:sz="0" w:space="0" w:color="auto"/>
      <w:shd w:val="clear" w:color="auto" w:fill="CCCCFF"/>
    </w:rPr>
  </w:style>
  <w:style w:type="character" w:customStyle="1" w:styleId="bibschool">
    <w:name w:val="bib_school"/>
    <w:rsid w:val="00056FBF"/>
    <w:rPr>
      <w:rFonts w:ascii="Times New Roman" w:hAnsi="Times New Roman"/>
      <w:sz w:val="24"/>
      <w:bdr w:val="none" w:sz="0" w:space="0" w:color="auto"/>
      <w:shd w:val="clear" w:color="auto" w:fill="FFCC66"/>
    </w:rPr>
  </w:style>
  <w:style w:type="character" w:customStyle="1" w:styleId="bibseason">
    <w:name w:val="bib_season"/>
    <w:rsid w:val="00056FBF"/>
    <w:rPr>
      <w:rFonts w:ascii="Times New Roman" w:hAnsi="Times New Roman"/>
      <w:sz w:val="24"/>
      <w:szCs w:val="24"/>
      <w:bdr w:val="none" w:sz="0" w:space="0" w:color="auto"/>
      <w:shd w:val="clear" w:color="auto" w:fill="FF6600"/>
    </w:rPr>
  </w:style>
  <w:style w:type="character" w:customStyle="1" w:styleId="bibseries">
    <w:name w:val="bib_series"/>
    <w:rsid w:val="00056FBF"/>
    <w:rPr>
      <w:rFonts w:ascii="Times New Roman" w:hAnsi="Times New Roman"/>
      <w:sz w:val="24"/>
      <w:shd w:val="clear" w:color="auto" w:fill="FFCC99"/>
    </w:rPr>
  </w:style>
  <w:style w:type="character" w:customStyle="1" w:styleId="bibseriesno">
    <w:name w:val="bib_seriesno"/>
    <w:rsid w:val="00056FBF"/>
    <w:rPr>
      <w:rFonts w:ascii="Times New Roman" w:hAnsi="Times New Roman"/>
      <w:sz w:val="24"/>
      <w:shd w:val="clear" w:color="auto" w:fill="FFFF99"/>
    </w:rPr>
  </w:style>
  <w:style w:type="character" w:customStyle="1" w:styleId="bibsuffix">
    <w:name w:val="bib_suffix"/>
    <w:rsid w:val="00056FBF"/>
    <w:rPr>
      <w:rFonts w:ascii="Times New Roman" w:hAnsi="Times New Roman"/>
      <w:sz w:val="24"/>
    </w:rPr>
  </w:style>
  <w:style w:type="character" w:customStyle="1" w:styleId="bibsuppl">
    <w:name w:val="bib_suppl"/>
    <w:rsid w:val="00056FBF"/>
    <w:rPr>
      <w:rFonts w:ascii="Times New Roman" w:hAnsi="Times New Roman"/>
      <w:sz w:val="24"/>
      <w:bdr w:val="none" w:sz="0" w:space="0" w:color="auto"/>
      <w:shd w:val="clear" w:color="auto" w:fill="FFCC66"/>
    </w:rPr>
  </w:style>
  <w:style w:type="character" w:customStyle="1" w:styleId="bibtitle">
    <w:name w:val="bib_title"/>
    <w:rsid w:val="00056FBF"/>
    <w:rPr>
      <w:sz w:val="24"/>
      <w:effect w:val="none"/>
      <w:bdr w:val="none" w:sz="0" w:space="0" w:color="auto"/>
      <w:shd w:val="clear" w:color="auto" w:fill="D99594"/>
    </w:rPr>
  </w:style>
  <w:style w:type="character" w:customStyle="1" w:styleId="bibtrans">
    <w:name w:val="bib_trans"/>
    <w:rsid w:val="00056FBF"/>
    <w:rPr>
      <w:rFonts w:ascii="Times New Roman" w:hAnsi="Times New Roman"/>
      <w:sz w:val="24"/>
      <w:shd w:val="clear" w:color="auto" w:fill="99CC00"/>
    </w:rPr>
  </w:style>
  <w:style w:type="character" w:customStyle="1" w:styleId="bibunpubl">
    <w:name w:val="bib_unpubl"/>
    <w:rsid w:val="00056FBF"/>
    <w:rPr>
      <w:rFonts w:ascii="Times New Roman" w:hAnsi="Times New Roman"/>
      <w:sz w:val="24"/>
    </w:rPr>
  </w:style>
  <w:style w:type="character" w:customStyle="1" w:styleId="biburl">
    <w:name w:val="bib_url"/>
    <w:rsid w:val="00056FBF"/>
    <w:rPr>
      <w:rFonts w:ascii="Times New Roman" w:hAnsi="Times New Roman"/>
      <w:sz w:val="24"/>
      <w:bdr w:val="none" w:sz="0" w:space="0" w:color="auto"/>
      <w:shd w:val="clear" w:color="auto" w:fill="CCFF66"/>
    </w:rPr>
  </w:style>
  <w:style w:type="character" w:customStyle="1" w:styleId="bibvolcount">
    <w:name w:val="bib_volcount"/>
    <w:rsid w:val="00056FBF"/>
    <w:rPr>
      <w:rFonts w:ascii="Times New Roman" w:hAnsi="Times New Roman"/>
      <w:sz w:val="20"/>
      <w:bdr w:val="none" w:sz="0" w:space="0" w:color="auto"/>
      <w:shd w:val="clear" w:color="auto" w:fill="00FF00"/>
    </w:rPr>
  </w:style>
  <w:style w:type="character" w:customStyle="1" w:styleId="AccessedDate">
    <w:name w:val="AccessedDate"/>
    <w:rsid w:val="00056FBF"/>
  </w:style>
  <w:style w:type="character" w:customStyle="1" w:styleId="italic0">
    <w:name w:val="_italic"/>
    <w:uiPriority w:val="99"/>
    <w:rsid w:val="00056FBF"/>
    <w:rPr>
      <w:i/>
      <w:iCs/>
    </w:rPr>
  </w:style>
  <w:style w:type="paragraph" w:customStyle="1" w:styleId="TUL2-MID">
    <w:name w:val="TUL2-MID"/>
    <w:qFormat/>
    <w:rsid w:val="00056FBF"/>
    <w:pPr>
      <w:pBdr>
        <w:top w:val="none" w:sz="0" w:space="0" w:color="auto"/>
        <w:left w:val="none" w:sz="0" w:space="0" w:color="auto"/>
        <w:bottom w:val="none" w:sz="0" w:space="0" w:color="auto"/>
        <w:right w:val="none" w:sz="0" w:space="0" w:color="auto"/>
        <w:between w:val="none" w:sz="0" w:space="0" w:color="auto"/>
        <w:bar w:val="none" w:sz="0" w:color="auto"/>
      </w:pBdr>
      <w:spacing w:after="200" w:line="480" w:lineRule="auto"/>
      <w:ind w:left="576"/>
    </w:pPr>
    <w:rPr>
      <w:rFonts w:eastAsiaTheme="minorHAnsi"/>
      <w:sz w:val="24"/>
      <w:szCs w:val="24"/>
      <w:bdr w:val="none" w:sz="0" w:space="0" w:color="auto"/>
      <w:lang w:val="en-IN" w:eastAsia="en-US"/>
    </w:rPr>
  </w:style>
  <w:style w:type="paragraph" w:customStyle="1" w:styleId="REFH1">
    <w:name w:val="REFH1"/>
    <w:basedOn w:val="H10"/>
    <w:qFormat/>
    <w:rsid w:val="00730A4B"/>
    <w:pPr>
      <w:keepNext w:val="0"/>
      <w:keepLines w:val="0"/>
      <w:widowControl w:val="0"/>
      <w:spacing w:before="0" w:line="480" w:lineRule="auto"/>
    </w:pPr>
  </w:style>
  <w:style w:type="character" w:customStyle="1" w:styleId="BodyTextChar">
    <w:name w:val="Body Text Char"/>
    <w:basedOn w:val="DefaultParagraphFont"/>
    <w:link w:val="BodyText"/>
    <w:rsid w:val="00492379"/>
    <w:rPr>
      <w:rFonts w:asciiTheme="minorHAnsi" w:eastAsiaTheme="minorHAnsi" w:hAnsiTheme="minorHAnsi" w:cstheme="minorBidi"/>
      <w:sz w:val="22"/>
      <w:szCs w:val="22"/>
      <w:bdr w:val="none" w:sz="0" w:space="0" w:color="auto"/>
      <w:lang w:val="en-IN" w:eastAsia="en-US"/>
    </w:rPr>
  </w:style>
  <w:style w:type="paragraph" w:customStyle="1" w:styleId="TSN">
    <w:name w:val="TSN"/>
    <w:basedOn w:val="Normal"/>
    <w:qFormat/>
    <w:rsid w:val="00730A4B"/>
    <w:pPr>
      <w:widowControl w:val="0"/>
      <w:spacing w:line="480" w:lineRule="auto"/>
    </w:pPr>
  </w:style>
  <w:style w:type="paragraph" w:customStyle="1" w:styleId="T30">
    <w:name w:val="T3"/>
    <w:basedOn w:val="T3"/>
    <w:qFormat/>
    <w:rsid w:val="003220D7"/>
    <w:pPr>
      <w:widowControl w:val="0"/>
      <w:tabs>
        <w:tab w:val="left" w:pos="220"/>
        <w:tab w:val="left" w:pos="720"/>
      </w:tabs>
      <w:spacing w:line="480" w:lineRule="auto"/>
      <w:ind w:left="283" w:hanging="283"/>
    </w:pPr>
    <w:rPr>
      <w:u w:color="000000"/>
    </w:rPr>
  </w:style>
  <w:style w:type="character" w:styleId="PlaceholderText">
    <w:name w:val="Placeholder Text"/>
    <w:basedOn w:val="DefaultParagraphFont"/>
    <w:uiPriority w:val="99"/>
    <w:semiHidden/>
    <w:rsid w:val="00E877AB"/>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Arial Unicode MS" w:hAnsi="Times New Roman" w:cs="Times New Roman"/>
        <w:bdr w:val="nil"/>
        <w:lang w:val="de-DE" w:eastAsia="de-DE" w:bidi="ar-SA"/>
      </w:rPr>
    </w:rPrDefault>
    <w:pPrDefault>
      <w:pPr>
        <w:pBdr>
          <w:top w:val="nil"/>
          <w:left w:val="nil"/>
          <w:bottom w:val="nil"/>
          <w:right w:val="nil"/>
          <w:between w:val="nil"/>
          <w:bar w:val="nil"/>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56FBF"/>
    <w:pPr>
      <w:pBdr>
        <w:top w:val="none" w:sz="0" w:space="0" w:color="auto"/>
        <w:left w:val="none" w:sz="0" w:space="0" w:color="auto"/>
        <w:bottom w:val="none" w:sz="0" w:space="0" w:color="auto"/>
        <w:right w:val="none" w:sz="0" w:space="0" w:color="auto"/>
        <w:between w:val="none" w:sz="0" w:space="0" w:color="auto"/>
        <w:bar w:val="none" w:sz="0" w:color="auto"/>
      </w:pBdr>
      <w:spacing w:after="200" w:line="276" w:lineRule="auto"/>
    </w:pPr>
    <w:rPr>
      <w:rFonts w:asciiTheme="minorHAnsi" w:eastAsiaTheme="minorHAnsi" w:hAnsiTheme="minorHAnsi" w:cstheme="minorBidi"/>
      <w:sz w:val="22"/>
      <w:szCs w:val="22"/>
      <w:bdr w:val="none" w:sz="0" w:space="0" w:color="auto"/>
      <w:lang w:val="en-IN"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00507F" w:themeColor="accent1" w:themeShade="7F"/>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0079BF" w:themeColor="accent1" w:themeShade="BF"/>
    </w:rPr>
  </w:style>
  <w:style w:type="paragraph" w:styleId="Heading5">
    <w:name w:val="heading 5"/>
    <w:basedOn w:val="Normal"/>
    <w:next w:val="Normal"/>
    <w:link w:val="Heading5Char"/>
    <w:uiPriority w:val="9"/>
    <w:unhideWhenUsed/>
    <w:qFormat/>
    <w:pPr>
      <w:keepNext/>
      <w:keepLines/>
      <w:spacing w:before="40"/>
      <w:outlineLvl w:val="4"/>
    </w:pPr>
    <w:rPr>
      <w:rFonts w:asciiTheme="majorHAnsi" w:eastAsiaTheme="majorEastAsia" w:hAnsiTheme="majorHAnsi" w:cstheme="majorBidi"/>
      <w:color w:val="0079BF"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berschriftrot">
    <w:name w:val="Überschrift (rot)"/>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lang w:val="nl-NL"/>
      <w14:textOutline w14:w="0" w14:cap="flat" w14:cmpd="sng" w14:algn="ctr">
        <w14:noFill/>
        <w14:prstDash w14:val="solid"/>
        <w14:bevel/>
      </w14:textOutline>
    </w:rPr>
  </w:style>
  <w:style w:type="paragraph" w:styleId="Title">
    <w:name w:val="Title"/>
    <w:next w:val="Text"/>
    <w:uiPriority w:val="10"/>
    <w:qFormat/>
    <w:pPr>
      <w:keepNext/>
      <w:jc w:val="center"/>
    </w:pPr>
    <w:rPr>
      <w:rFonts w:ascii="Helvetica Neue" w:hAnsi="Helvetica Neue" w:cs="Arial Unicode MS"/>
      <w:b/>
      <w:bCs/>
      <w:color w:val="0433FF"/>
      <w:sz w:val="42"/>
      <w:szCs w:val="42"/>
      <w14:textOutline w14:w="0" w14:cap="flat" w14:cmpd="sng" w14:algn="ctr">
        <w14:noFill/>
        <w14:prstDash w14:val="solid"/>
        <w14:bevel/>
      </w14:textOutline>
    </w:rPr>
  </w:style>
  <w:style w:type="paragraph" w:customStyle="1" w:styleId="TextHelvetica">
    <w:name w:val="TextHelvetica"/>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table" w:customStyle="1" w:styleId="TableNormal10">
    <w:name w:val="Table Normal10"/>
    <w:tblPr>
      <w:tblInd w:w="0" w:type="dxa"/>
      <w:tblCellMar>
        <w:top w:w="0" w:type="dxa"/>
        <w:left w:w="0" w:type="dxa"/>
        <w:bottom w:w="0" w:type="dxa"/>
        <w:right w:w="0" w:type="dxa"/>
      </w:tblCellMar>
    </w:tblPr>
  </w:style>
  <w:style w:type="paragraph" w:customStyle="1" w:styleId="Tabellenstil2">
    <w:name w:val="Tabellenstil 2"/>
    <w:rPr>
      <w:rFonts w:ascii="Helvetica Neue" w:eastAsia="Helvetica Neue" w:hAnsi="Helvetica Neue" w:cs="Helvetica Neue"/>
      <w:color w:val="000000"/>
      <w14:textOutline w14:w="0" w14:cap="flat" w14:cmpd="sng" w14:algn="ctr">
        <w14:noFill/>
        <w14:prstDash w14:val="solid"/>
        <w14:bevel/>
      </w14:textOutline>
    </w:rPr>
  </w:style>
  <w:style w:type="paragraph" w:styleId="ListParagraph">
    <w:name w:val="List Paragraph"/>
    <w:basedOn w:val="Normal"/>
    <w:uiPriority w:val="34"/>
    <w:qFormat/>
    <w:pPr>
      <w:ind w:left="720"/>
      <w:contextualSpacing/>
    </w:pPr>
    <w:rPr>
      <w:rFonts w:eastAsiaTheme="minorEastAsia"/>
    </w:rPr>
  </w:style>
  <w:style w:type="paragraph" w:customStyle="1" w:styleId="berschrift11">
    <w:name w:val="Überschrift 11"/>
    <w:next w:val="Normal"/>
    <w:pPr>
      <w:keepNext/>
      <w:pBdr>
        <w:top w:val="none" w:sz="0" w:space="0" w:color="auto"/>
        <w:left w:val="none" w:sz="0" w:space="0" w:color="auto"/>
        <w:bottom w:val="none" w:sz="0" w:space="0" w:color="auto"/>
        <w:right w:val="none" w:sz="0" w:space="0" w:color="auto"/>
        <w:between w:val="none" w:sz="0" w:space="0" w:color="auto"/>
        <w:bar w:val="none" w:sz="0" w:color="auto"/>
      </w:pBdr>
      <w:outlineLvl w:val="0"/>
    </w:pPr>
    <w:rPr>
      <w:rFonts w:ascii="Helvetica" w:eastAsia="ヒラギノ角ゴ Pro W3" w:hAnsi="Helvetica"/>
      <w:b/>
      <w:color w:val="FF2712"/>
      <w:sz w:val="32"/>
      <w:bdr w:val="none" w:sz="0" w:space="0" w:color="auto"/>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079BF" w:themeColor="accent1" w:themeShade="BF"/>
      <w:sz w:val="26"/>
      <w:szCs w:val="26"/>
      <w:lang w:val="en-US" w:eastAsia="en-US"/>
    </w:rPr>
  </w:style>
  <w:style w:type="paragraph" w:styleId="Caption">
    <w:name w:val="caption"/>
    <w:basedOn w:val="Normal"/>
    <w:qFormat/>
    <w:pPr>
      <w:suppressLineNumbers/>
      <w:spacing w:before="120" w:after="120"/>
    </w:pPr>
    <w:rPr>
      <w:rFonts w:cs="Lohit Devanagari"/>
      <w:i/>
      <w:i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link w:val="Quote"/>
    <w:uiPriority w:val="29"/>
    <w:rPr>
      <w:i/>
      <w:iCs/>
      <w:color w:val="404040" w:themeColor="text1" w:themeTint="BF"/>
    </w:rPr>
  </w:style>
  <w:style w:type="paragraph" w:customStyle="1" w:styleId="code">
    <w:name w:val="code"/>
    <w:basedOn w:val="Normal"/>
    <w:qFormat/>
    <w:rPr>
      <w:rFonts w:ascii="Courier 10 Pitch" w:hAnsi="Courier 10 Pitch"/>
      <w:highlight w:val="lightGray"/>
    </w:rPr>
  </w:style>
  <w:style w:type="character" w:styleId="SubtleEmphasis">
    <w:name w:val="Subtle Emphasis"/>
    <w:uiPriority w:val="19"/>
    <w:qFormat/>
    <w:rPr>
      <w:i/>
      <w:iCs/>
      <w:color w:val="404040" w:themeColor="text1" w:themeTint="BF"/>
    </w:rPr>
  </w:style>
  <w:style w:type="paragraph" w:customStyle="1" w:styleId="Heading">
    <w:name w:val="Heading"/>
    <w:basedOn w:val="Normal"/>
    <w:next w:val="Normal"/>
    <w:link w:val="HeadingCar"/>
    <w:uiPriority w:val="10"/>
    <w:qFormat/>
    <w:pPr>
      <w:contextualSpacing/>
    </w:pPr>
    <w:rPr>
      <w:rFonts w:asciiTheme="majorHAnsi" w:eastAsiaTheme="majorEastAsia" w:hAnsiTheme="majorHAnsi" w:cstheme="majorBidi"/>
      <w:spacing w:val="-10"/>
      <w:kern w:val="28"/>
      <w:sz w:val="56"/>
      <w:szCs w:val="56"/>
    </w:rPr>
  </w:style>
  <w:style w:type="paragraph" w:customStyle="1" w:styleId="Index">
    <w:name w:val="Index"/>
    <w:basedOn w:val="Normal"/>
    <w:qFormat/>
    <w:pPr>
      <w:suppressLineNumbers/>
    </w:pPr>
    <w:rPr>
      <w:rFonts w:cs="Lohit Devanagari"/>
    </w:rPr>
  </w:style>
  <w:style w:type="paragraph" w:styleId="BodyText">
    <w:name w:val="Body Text"/>
    <w:basedOn w:val="Normal"/>
    <w:link w:val="BodyTextChar"/>
    <w:pPr>
      <w:spacing w:after="140" w:line="288" w:lineRule="auto"/>
    </w:pPr>
  </w:style>
  <w:style w:type="paragraph" w:styleId="List">
    <w:name w:val="List"/>
    <w:basedOn w:val="BodyText"/>
    <w:rPr>
      <w:rFonts w:cs="Lohit Devanagari"/>
    </w:rPr>
  </w:style>
  <w:style w:type="character" w:customStyle="1" w:styleId="NumberingSymbols">
    <w:name w:val="Numbering Symbols"/>
    <w:qFormat/>
  </w:style>
  <w:style w:type="character" w:customStyle="1" w:styleId="Heading1Char">
    <w:name w:val="Heading 1 Char"/>
    <w:link w:val="Heading1"/>
    <w:uiPriority w:val="9"/>
    <w:rPr>
      <w:rFonts w:asciiTheme="majorHAnsi" w:eastAsiaTheme="majorEastAsia" w:hAnsiTheme="majorHAnsi" w:cstheme="majorBidi"/>
      <w:color w:val="0079BF"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0079BF" w:themeColor="accent1" w:themeShade="BF"/>
      <w:sz w:val="26"/>
      <w:szCs w:val="26"/>
    </w:rPr>
  </w:style>
  <w:style w:type="character" w:customStyle="1" w:styleId="Heading3Char">
    <w:name w:val="Heading 3 Char"/>
    <w:link w:val="Heading3"/>
    <w:uiPriority w:val="9"/>
    <w:rPr>
      <w:rFonts w:asciiTheme="majorHAnsi" w:eastAsiaTheme="majorEastAsia" w:hAnsiTheme="majorHAnsi" w:cstheme="majorBidi"/>
      <w:color w:val="00507F" w:themeColor="accent1" w:themeShade="7F"/>
      <w:sz w:val="24"/>
      <w:szCs w:val="24"/>
    </w:rPr>
  </w:style>
  <w:style w:type="character" w:customStyle="1" w:styleId="Heading4Char">
    <w:name w:val="Heading 4 Char"/>
    <w:link w:val="Heading4"/>
    <w:uiPriority w:val="9"/>
    <w:rPr>
      <w:rFonts w:asciiTheme="majorHAnsi" w:eastAsiaTheme="majorEastAsia" w:hAnsiTheme="majorHAnsi" w:cstheme="majorBidi"/>
      <w:i/>
      <w:iCs/>
      <w:color w:val="0079BF" w:themeColor="accent1" w:themeShade="BF"/>
      <w:sz w:val="24"/>
      <w:szCs w:val="24"/>
    </w:rPr>
  </w:style>
  <w:style w:type="character" w:customStyle="1" w:styleId="Heading5Char">
    <w:name w:val="Heading 5 Char"/>
    <w:link w:val="Heading5"/>
    <w:uiPriority w:val="9"/>
    <w:rPr>
      <w:rFonts w:asciiTheme="majorHAnsi" w:eastAsiaTheme="majorEastAsia" w:hAnsiTheme="majorHAnsi" w:cstheme="majorBidi"/>
      <w:color w:val="0079BF" w:themeColor="accent1" w:themeShade="BF"/>
    </w:rPr>
  </w:style>
  <w:style w:type="character" w:customStyle="1" w:styleId="HeadingCar">
    <w:name w:val="Heading Car"/>
    <w:link w:val="Heading"/>
    <w:uiPriority w:val="10"/>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val="en-US" w:eastAsia="en-US"/>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lang w:val="en-US"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val="en-US" w:eastAsia="en-US"/>
    </w:rPr>
  </w:style>
  <w:style w:type="paragraph" w:styleId="Revision">
    <w:name w:val="Revision"/>
    <w:hidden/>
    <w:uiPriority w:val="99"/>
    <w:semiHidden/>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eastAsia="en-US"/>
    </w:rPr>
  </w:style>
  <w:style w:type="character" w:customStyle="1" w:styleId="Tag">
    <w:name w:val="Tag"/>
  </w:style>
  <w:style w:type="paragraph" w:customStyle="1" w:styleId="CN">
    <w:name w:val="CN"/>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character" w:customStyle="1" w:styleId="CN0">
    <w:name w:val="CN"/>
  </w:style>
  <w:style w:type="character" w:customStyle="1" w:styleId="CW">
    <w:name w:val="CW"/>
  </w:style>
  <w:style w:type="paragraph" w:customStyle="1" w:styleId="CT">
    <w:name w:val="CT"/>
    <w:next w:val="Text"/>
    <w:uiPriority w:val="10"/>
    <w:qFormat/>
    <w:pPr>
      <w:keepNext/>
      <w:jc w:val="center"/>
    </w:pPr>
    <w:rPr>
      <w:rFonts w:ascii="Helvetica Neue" w:hAnsi="Helvetica Neue" w:cs="Arial Unicode MS"/>
      <w:b/>
      <w:bCs/>
      <w:color w:val="0433FF"/>
      <w:sz w:val="42"/>
      <w:szCs w:val="42"/>
      <w14:textOutline w14:w="0" w14:cap="flat" w14:cmpd="sng" w14:algn="ctr">
        <w14:noFill/>
        <w14:prstDash w14:val="solid"/>
        <w14:bevel/>
      </w14:textOutline>
    </w:rPr>
  </w:style>
  <w:style w:type="paragraph" w:customStyle="1" w:styleId="H1">
    <w:name w:val="H1"/>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character" w:customStyle="1" w:styleId="AbbreviationExpansion">
    <w:name w:val="AbbreviationExpansion"/>
  </w:style>
  <w:style w:type="character" w:customStyle="1" w:styleId="Abbreviation">
    <w:name w:val="Abbreviation"/>
    <w:rsid w:val="00056FBF"/>
  </w:style>
  <w:style w:type="character" w:customStyle="1" w:styleId="superscript">
    <w:name w:val="superscript"/>
  </w:style>
  <w:style w:type="paragraph" w:customStyle="1" w:styleId="TXT-FLUSH">
    <w:name w:val="TXT-FLUSH"/>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character" w:customStyle="1" w:styleId="citebib">
    <w:name w:val="cite_bib"/>
    <w:rsid w:val="00056FBF"/>
    <w:rPr>
      <w:sz w:val="24"/>
      <w:bdr w:val="none" w:sz="0" w:space="0" w:color="auto"/>
      <w:shd w:val="clear" w:color="auto" w:fill="CCFFFF"/>
    </w:rPr>
  </w:style>
  <w:style w:type="paragraph" w:customStyle="1" w:styleId="TXT">
    <w:name w:val="TX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character" w:customStyle="1" w:styleId="TableCitation">
    <w:name w:val="TableCitation"/>
  </w:style>
  <w:style w:type="character" w:customStyle="1" w:styleId="allcaps">
    <w:name w:val="allcaps"/>
  </w:style>
  <w:style w:type="character" w:customStyle="1" w:styleId="italic">
    <w:name w:val="italic"/>
  </w:style>
  <w:style w:type="character" w:customStyle="1" w:styleId="TablePMI">
    <w:name w:val="TablePMI"/>
  </w:style>
  <w:style w:type="paragraph" w:customStyle="1" w:styleId="PMI">
    <w:name w:val="PMI"/>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character" w:customStyle="1" w:styleId="Math">
    <w:name w:val="Math"/>
  </w:style>
  <w:style w:type="paragraph" w:customStyle="1" w:styleId="TXT-FLUSH0">
    <w:name w:val="TXT-FLUSH"/>
    <w:qFormat/>
    <w:rPr>
      <w:sz w:val="24"/>
      <w:szCs w:val="24"/>
      <w:lang w:val="en-US" w:eastAsia="en-US"/>
    </w:rPr>
  </w:style>
  <w:style w:type="paragraph" w:customStyle="1" w:styleId="TAB2-4">
    <w:name w:val="TAB 2-4"/>
    <w:qFormat/>
    <w:rPr>
      <w:sz w:val="24"/>
      <w:szCs w:val="24"/>
      <w:lang w:val="en-US" w:eastAsia="en-US"/>
    </w:rPr>
  </w:style>
  <w:style w:type="paragraph" w:customStyle="1" w:styleId="TXT0">
    <w:name w:val="TXT"/>
    <w:qFormat/>
    <w:rPr>
      <w:sz w:val="24"/>
      <w:szCs w:val="24"/>
      <w:lang w:val="en-US" w:eastAsia="en-US"/>
    </w:rPr>
  </w:style>
  <w:style w:type="character" w:customStyle="1" w:styleId="FigureCitation">
    <w:name w:val="FigureCitation"/>
  </w:style>
  <w:style w:type="character" w:customStyle="1" w:styleId="FigurePMI">
    <w:name w:val="FigurePMI"/>
  </w:style>
  <w:style w:type="paragraph" w:customStyle="1" w:styleId="FIG2-1">
    <w:name w:val="FIG 2-1"/>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XT-FLUSH1">
    <w:name w:val="TXT-FLUSH"/>
    <w:rsid w:val="00492379"/>
    <w:pPr>
      <w:spacing w:line="480" w:lineRule="auto"/>
    </w:pPr>
    <w:rPr>
      <w:rFonts w:ascii="Helvetica Neue" w:hAnsi="Helvetica Neue" w:cs="Arial Unicode MS"/>
      <w:color w:val="000000"/>
      <w:sz w:val="22"/>
      <w:szCs w:val="22"/>
      <w:lang w:val="nl-NL"/>
      <w14:textOutline w14:w="0" w14:cap="flat" w14:cmpd="sng" w14:algn="ctr">
        <w14:noFill/>
        <w14:prstDash w14:val="solid"/>
        <w14:bevel/>
      </w14:textOutline>
    </w:rPr>
  </w:style>
  <w:style w:type="paragraph" w:customStyle="1" w:styleId="KP-H1">
    <w:name w:val="KP-H1"/>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paragraph" w:customStyle="1" w:styleId="KP-BL-FIRST">
    <w:name w:val="KP-BL-FIRST"/>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paragraph" w:customStyle="1" w:styleId="KP-BL2-MID">
    <w:name w:val="KP-BL2-MID"/>
    <w:basedOn w:val="Normal"/>
    <w:uiPriority w:val="34"/>
    <w:qFormat/>
    <w:pPr>
      <w:ind w:left="720"/>
      <w:contextualSpacing/>
    </w:pPr>
    <w:rPr>
      <w:rFonts w:eastAsiaTheme="minorEastAsia"/>
    </w:rPr>
  </w:style>
  <w:style w:type="paragraph" w:customStyle="1" w:styleId="BL-LAST">
    <w:name w:val="BL-LAST"/>
    <w:basedOn w:val="Normal"/>
    <w:uiPriority w:val="34"/>
    <w:qFormat/>
    <w:pPr>
      <w:ind w:left="720"/>
      <w:contextualSpacing/>
    </w:pPr>
    <w:rPr>
      <w:rFonts w:eastAsiaTheme="minorEastAsia"/>
    </w:rPr>
  </w:style>
  <w:style w:type="paragraph" w:customStyle="1" w:styleId="H10">
    <w:name w:val="H1"/>
    <w:basedOn w:val="Normal"/>
    <w:next w:val="Normal"/>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character" w:customStyle="1" w:styleId="ManualList">
    <w:name w:val="ManualList"/>
  </w:style>
  <w:style w:type="paragraph" w:customStyle="1" w:styleId="REF-N">
    <w:name w:val="REF-N"/>
    <w:qFormat/>
    <w:rPr>
      <w:sz w:val="24"/>
      <w:szCs w:val="24"/>
      <w:lang w:val="en-US" w:eastAsia="en-US"/>
    </w:rPr>
  </w:style>
  <w:style w:type="character" w:customStyle="1" w:styleId="bibdoi">
    <w:name w:val="bib_doi"/>
    <w:rsid w:val="00056FBF"/>
    <w:rPr>
      <w:rFonts w:ascii="Times New Roman" w:hAnsi="Times New Roman"/>
      <w:sz w:val="24"/>
      <w:bdr w:val="none" w:sz="0" w:space="0" w:color="auto"/>
      <w:shd w:val="clear" w:color="auto" w:fill="CCFFCC"/>
    </w:rPr>
  </w:style>
  <w:style w:type="character" w:customStyle="1" w:styleId="bibfpage">
    <w:name w:val="bib_fpage"/>
    <w:rsid w:val="00056FBF"/>
    <w:rPr>
      <w:rFonts w:ascii="Times New Roman" w:hAnsi="Times New Roman"/>
      <w:sz w:val="24"/>
      <w:bdr w:val="none" w:sz="0" w:space="0" w:color="auto"/>
      <w:shd w:val="clear" w:color="auto" w:fill="E6E6E6"/>
    </w:rPr>
  </w:style>
  <w:style w:type="character" w:customStyle="1" w:styleId="bibjournal">
    <w:name w:val="bib_journal"/>
    <w:rsid w:val="00056FBF"/>
    <w:rPr>
      <w:rFonts w:ascii="Times New Roman" w:hAnsi="Times New Roman"/>
      <w:sz w:val="24"/>
      <w:bdr w:val="none" w:sz="0" w:space="0" w:color="auto"/>
      <w:shd w:val="clear" w:color="auto" w:fill="F9DECF"/>
    </w:rPr>
  </w:style>
  <w:style w:type="character" w:customStyle="1" w:styleId="biblpage">
    <w:name w:val="bib_lpage"/>
    <w:rsid w:val="00056FBF"/>
    <w:rPr>
      <w:rFonts w:ascii="Times New Roman" w:hAnsi="Times New Roman"/>
      <w:sz w:val="24"/>
      <w:bdr w:val="none" w:sz="0" w:space="0" w:color="auto"/>
      <w:shd w:val="clear" w:color="auto" w:fill="D9D9D9"/>
    </w:rPr>
  </w:style>
  <w:style w:type="character" w:customStyle="1" w:styleId="bibyear">
    <w:name w:val="bib_year"/>
    <w:rsid w:val="00056FBF"/>
    <w:rPr>
      <w:rFonts w:ascii="Times New Roman" w:hAnsi="Times New Roman"/>
      <w:sz w:val="24"/>
      <w:bdr w:val="none" w:sz="0" w:space="0" w:color="auto"/>
      <w:shd w:val="clear" w:color="auto" w:fill="FFCCFF"/>
    </w:rPr>
  </w:style>
  <w:style w:type="character" w:customStyle="1" w:styleId="bibissue">
    <w:name w:val="bib_issue"/>
    <w:rsid w:val="00056FBF"/>
    <w:rPr>
      <w:rFonts w:ascii="Times New Roman" w:hAnsi="Times New Roman"/>
      <w:sz w:val="24"/>
      <w:bdr w:val="none" w:sz="0" w:space="0" w:color="auto"/>
      <w:shd w:val="clear" w:color="auto" w:fill="FFFFAB"/>
    </w:rPr>
  </w:style>
  <w:style w:type="character" w:customStyle="1" w:styleId="bibvolume">
    <w:name w:val="bib_volume"/>
    <w:rsid w:val="00056FBF"/>
    <w:rPr>
      <w:rFonts w:ascii="Times New Roman" w:hAnsi="Times New Roman"/>
      <w:sz w:val="24"/>
      <w:bdr w:val="none" w:sz="0" w:space="0" w:color="auto"/>
      <w:shd w:val="clear" w:color="auto" w:fill="CCECFF"/>
    </w:rPr>
  </w:style>
  <w:style w:type="character" w:customStyle="1" w:styleId="bibfname">
    <w:name w:val="bib_fname"/>
    <w:rsid w:val="00056FBF"/>
    <w:rPr>
      <w:rFonts w:ascii="Times New Roman" w:hAnsi="Times New Roman"/>
      <w:sz w:val="24"/>
      <w:bdr w:val="none" w:sz="0" w:space="0" w:color="auto"/>
      <w:shd w:val="clear" w:color="auto" w:fill="FFFFCC"/>
    </w:rPr>
  </w:style>
  <w:style w:type="character" w:customStyle="1" w:styleId="bibsurname">
    <w:name w:val="bib_surname"/>
    <w:rsid w:val="00056FBF"/>
    <w:rPr>
      <w:rFonts w:ascii="Times New Roman" w:hAnsi="Times New Roman"/>
      <w:sz w:val="24"/>
      <w:bdr w:val="none" w:sz="0" w:space="0" w:color="auto"/>
      <w:shd w:val="clear" w:color="auto" w:fill="CCFF99"/>
    </w:rPr>
  </w:style>
  <w:style w:type="character" w:customStyle="1" w:styleId="bibarticle">
    <w:name w:val="bib_article"/>
    <w:rsid w:val="00056FBF"/>
    <w:rPr>
      <w:rFonts w:ascii="Times New Roman" w:hAnsi="Times New Roman"/>
      <w:sz w:val="24"/>
      <w:bdr w:val="none" w:sz="0" w:space="0" w:color="auto"/>
      <w:shd w:val="clear" w:color="auto" w:fill="CCFFFF"/>
    </w:rPr>
  </w:style>
  <w:style w:type="character" w:customStyle="1" w:styleId="bibetal">
    <w:name w:val="bib_etal"/>
    <w:rsid w:val="00056FBF"/>
    <w:rPr>
      <w:rFonts w:ascii="Times New Roman" w:hAnsi="Times New Roman"/>
      <w:sz w:val="24"/>
      <w:bdr w:val="none" w:sz="0" w:space="0" w:color="auto"/>
      <w:shd w:val="clear" w:color="auto" w:fill="CCFF99"/>
    </w:rPr>
  </w:style>
  <w:style w:type="paragraph" w:customStyle="1" w:styleId="FIG-LEG">
    <w:name w:val="FIG-LEG"/>
    <w:next w:val="Text"/>
    <w:pPr>
      <w:keepNext/>
      <w:outlineLvl w:val="1"/>
    </w:pPr>
    <w:rPr>
      <w:rFonts w:ascii="Helvetica Neue" w:hAnsi="Helvetica Neue" w:cs="Arial Unicode MS"/>
      <w:b/>
      <w:bCs/>
      <w:color w:val="EE220C"/>
      <w:sz w:val="30"/>
      <w:szCs w:val="30"/>
      <w:lang w:val="nl-NL"/>
      <w14:textOutline w14:w="0" w14:cap="flat" w14:cmpd="sng" w14:algn="ctr">
        <w14:noFill/>
        <w14:prstDash w14:val="solid"/>
        <w14:bevel/>
      </w14:textOutline>
    </w:rPr>
  </w:style>
  <w:style w:type="character" w:customStyle="1" w:styleId="FIG-NUM">
    <w:name w:val="FIG-NUM"/>
  </w:style>
  <w:style w:type="paragraph" w:customStyle="1" w:styleId="FIG-LEG0">
    <w:name w:val="FIG-LEG"/>
    <w:qFormat/>
    <w:rPr>
      <w:sz w:val="24"/>
      <w:szCs w:val="24"/>
      <w:lang w:val="en-US" w:eastAsia="en-US"/>
    </w:rPr>
  </w:style>
  <w:style w:type="paragraph" w:customStyle="1" w:styleId="SupplementaryLegends">
    <w:name w:val="SupplementaryLegends"/>
    <w:basedOn w:val="Normal"/>
    <w:next w:val="Normal"/>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customStyle="1" w:styleId="TableCaptions">
    <w:name w:val="TableCaptions"/>
    <w:basedOn w:val="Normal"/>
    <w:next w:val="Normal"/>
    <w:uiPriority w:val="9"/>
    <w:unhideWhenUsed/>
    <w:qFormat/>
    <w:pPr>
      <w:keepNext/>
      <w:keepLines/>
      <w:spacing w:before="40"/>
      <w:outlineLvl w:val="1"/>
    </w:pPr>
    <w:rPr>
      <w:rFonts w:asciiTheme="majorHAnsi" w:eastAsiaTheme="majorEastAsia" w:hAnsiTheme="majorHAnsi" w:cstheme="majorBidi"/>
      <w:color w:val="0079BF" w:themeColor="accent1" w:themeShade="BF"/>
      <w:sz w:val="26"/>
      <w:szCs w:val="26"/>
    </w:rPr>
  </w:style>
  <w:style w:type="character" w:customStyle="1" w:styleId="TN">
    <w:name w:val="TN"/>
  </w:style>
  <w:style w:type="paragraph" w:customStyle="1" w:styleId="T1">
    <w:name w:val="T1"/>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2">
    <w:name w:val="T2"/>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
    <w:name w:val="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FN">
    <w:name w:val="TFN"/>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0">
    <w:name w:val="T"/>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BL-FIRST">
    <w:name w:val="TBL-FIRS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BL-LAST">
    <w:name w:val="TBL-LAST"/>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BL-MID">
    <w:name w:val="TBL-MID"/>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BL-FIRST0">
    <w:name w:val="TBL-FIRST"/>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BL-MID0">
    <w:name w:val="TBL-MID"/>
    <w:rsid w:val="00E60C81"/>
    <w:pPr>
      <w:spacing w:line="480" w:lineRule="auto"/>
    </w:pPr>
    <w:rPr>
      <w:rFonts w:eastAsia="Helvetica Neue" w:cs="Helvetica Neue"/>
      <w:color w:val="000000"/>
      <w:sz w:val="24"/>
      <w14:textOutline w14:w="0" w14:cap="flat" w14:cmpd="sng" w14:algn="ctr">
        <w14:noFill/>
        <w14:prstDash w14:val="solid"/>
        <w14:bevel/>
      </w14:textOutline>
    </w:rPr>
  </w:style>
  <w:style w:type="paragraph" w:customStyle="1" w:styleId="TBL-LAST0">
    <w:name w:val="TBL-LAST"/>
    <w:rPr>
      <w:rFonts w:ascii="Helvetica Neue" w:eastAsia="Helvetica Neue" w:hAnsi="Helvetica Neue" w:cs="Helvetica Neue"/>
      <w:color w:val="000000"/>
      <w14:textOutline w14:w="0" w14:cap="flat" w14:cmpd="sng" w14:algn="ctr">
        <w14:noFill/>
        <w14:prstDash w14:val="solid"/>
        <w14:bevel/>
      </w14:textOutline>
    </w:rPr>
  </w:style>
  <w:style w:type="paragraph" w:customStyle="1" w:styleId="T10">
    <w:name w:val="T1"/>
    <w:pPr>
      <w:spacing w:after="240" w:line="264" w:lineRule="auto"/>
      <w:jc w:val="both"/>
    </w:pPr>
    <w:rPr>
      <w:rFonts w:ascii="Helvetica Neue Light" w:hAnsi="Helvetica Neue Light" w:cs="Arial Unicode MS"/>
      <w:color w:val="000000"/>
      <w:sz w:val="24"/>
      <w:szCs w:val="24"/>
      <w:lang w:val="en-US"/>
      <w14:textOutline w14:w="0" w14:cap="flat" w14:cmpd="sng" w14:algn="ctr">
        <w14:noFill/>
        <w14:prstDash w14:val="solid"/>
        <w14:bevel/>
      </w14:textOutline>
    </w:rPr>
  </w:style>
  <w:style w:type="paragraph" w:customStyle="1" w:styleId="T3">
    <w:name w:val="T"/>
    <w:qFormat/>
    <w:rPr>
      <w:sz w:val="24"/>
      <w:szCs w:val="24"/>
      <w:lang w:val="en-US" w:eastAsia="en-US"/>
    </w:rPr>
  </w:style>
  <w:style w:type="paragraph" w:customStyle="1" w:styleId="T11">
    <w:name w:val="T1"/>
    <w:qFormat/>
    <w:rsid w:val="00730A4B"/>
    <w:pPr>
      <w:spacing w:line="480" w:lineRule="auto"/>
    </w:pPr>
    <w:rPr>
      <w:sz w:val="24"/>
      <w:szCs w:val="24"/>
      <w:lang w:val="en-US" w:eastAsia="en-US"/>
    </w:rPr>
  </w:style>
  <w:style w:type="paragraph" w:customStyle="1" w:styleId="T20">
    <w:name w:val="T2"/>
    <w:qFormat/>
    <w:rsid w:val="00730A4B"/>
    <w:pPr>
      <w:spacing w:line="480" w:lineRule="auto"/>
    </w:pPr>
    <w:rPr>
      <w:sz w:val="24"/>
      <w:szCs w:val="24"/>
      <w:lang w:val="en-US" w:eastAsia="en-US"/>
    </w:rPr>
  </w:style>
  <w:style w:type="paragraph" w:customStyle="1" w:styleId="TFN0">
    <w:name w:val="TFN"/>
    <w:qFormat/>
    <w:rsid w:val="003220D7"/>
    <w:pPr>
      <w:spacing w:line="480" w:lineRule="auto"/>
    </w:pPr>
    <w:rPr>
      <w:sz w:val="24"/>
      <w:szCs w:val="24"/>
      <w:lang w:val="en-US" w:eastAsia="en-US"/>
    </w:rPr>
  </w:style>
  <w:style w:type="character" w:customStyle="1" w:styleId="bibalt-year">
    <w:name w:val="bib_alt-year"/>
    <w:rsid w:val="00056FBF"/>
    <w:rPr>
      <w:rFonts w:ascii="Times New Roman" w:hAnsi="Times New Roman"/>
      <w:sz w:val="24"/>
      <w:szCs w:val="24"/>
      <w:bdr w:val="none" w:sz="0" w:space="0" w:color="auto"/>
      <w:shd w:val="clear" w:color="auto" w:fill="CC99FF"/>
    </w:rPr>
  </w:style>
  <w:style w:type="character" w:customStyle="1" w:styleId="bibbase">
    <w:name w:val="bib_base"/>
    <w:rsid w:val="00056FBF"/>
    <w:rPr>
      <w:rFonts w:ascii="Times New Roman" w:hAnsi="Times New Roman"/>
      <w:sz w:val="24"/>
    </w:rPr>
  </w:style>
  <w:style w:type="character" w:customStyle="1" w:styleId="bibbook">
    <w:name w:val="bib_book"/>
    <w:rsid w:val="00056FBF"/>
    <w:rPr>
      <w:rFonts w:ascii="Times New Roman" w:hAnsi="Times New Roman"/>
      <w:sz w:val="24"/>
      <w:bdr w:val="none" w:sz="0" w:space="0" w:color="auto"/>
      <w:shd w:val="clear" w:color="auto" w:fill="99CCFF"/>
    </w:rPr>
  </w:style>
  <w:style w:type="character" w:customStyle="1" w:styleId="bibchapterno">
    <w:name w:val="bib_chapterno"/>
    <w:rsid w:val="00056FBF"/>
    <w:rPr>
      <w:rFonts w:ascii="Times New Roman" w:hAnsi="Times New Roman"/>
      <w:sz w:val="24"/>
      <w:bdr w:val="none" w:sz="0" w:space="0" w:color="auto"/>
      <w:shd w:val="clear" w:color="auto" w:fill="D9D9D9"/>
    </w:rPr>
  </w:style>
  <w:style w:type="character" w:customStyle="1" w:styleId="bibchaptertitle">
    <w:name w:val="bib_chaptertitle"/>
    <w:rsid w:val="00056FBF"/>
    <w:rPr>
      <w:rFonts w:ascii="Times New Roman" w:hAnsi="Times New Roman"/>
      <w:sz w:val="24"/>
      <w:bdr w:val="none" w:sz="0" w:space="0" w:color="auto"/>
      <w:shd w:val="clear" w:color="auto" w:fill="FF9D5B"/>
    </w:rPr>
  </w:style>
  <w:style w:type="character" w:customStyle="1" w:styleId="bibcomment">
    <w:name w:val="bib_comment"/>
    <w:rsid w:val="00056FBF"/>
    <w:rPr>
      <w:rFonts w:ascii="Times New Roman" w:hAnsi="Times New Roman"/>
      <w:sz w:val="24"/>
    </w:rPr>
  </w:style>
  <w:style w:type="character" w:customStyle="1" w:styleId="bibconfacronym">
    <w:name w:val="bib_confacronym"/>
    <w:rsid w:val="00056FBF"/>
    <w:rPr>
      <w:rFonts w:ascii="Times New Roman" w:hAnsi="Times New Roman"/>
      <w:sz w:val="24"/>
      <w:bdr w:val="none" w:sz="0" w:space="0" w:color="auto"/>
      <w:shd w:val="clear" w:color="auto" w:fill="FD77F3"/>
    </w:rPr>
  </w:style>
  <w:style w:type="character" w:customStyle="1" w:styleId="bibconfdate">
    <w:name w:val="bib_confdate"/>
    <w:rsid w:val="00056FBF"/>
    <w:rPr>
      <w:rFonts w:ascii="Times New Roman" w:hAnsi="Times New Roman"/>
      <w:sz w:val="24"/>
      <w:bdr w:val="none" w:sz="0" w:space="0" w:color="auto"/>
      <w:shd w:val="clear" w:color="auto" w:fill="3CE0C1"/>
    </w:rPr>
  </w:style>
  <w:style w:type="character" w:customStyle="1" w:styleId="bibconference">
    <w:name w:val="bib_conference"/>
    <w:rsid w:val="00056FBF"/>
    <w:rPr>
      <w:rFonts w:ascii="Times New Roman" w:hAnsi="Times New Roman"/>
      <w:sz w:val="24"/>
      <w:bdr w:val="none" w:sz="0" w:space="0" w:color="auto"/>
      <w:shd w:val="clear" w:color="auto" w:fill="9CB3FE"/>
    </w:rPr>
  </w:style>
  <w:style w:type="character" w:customStyle="1" w:styleId="bibconflocation">
    <w:name w:val="bib_conflocation"/>
    <w:rsid w:val="00056FBF"/>
    <w:rPr>
      <w:rFonts w:ascii="Times New Roman" w:hAnsi="Times New Roman"/>
      <w:sz w:val="24"/>
      <w:bdr w:val="none" w:sz="0" w:space="0" w:color="auto"/>
      <w:shd w:val="clear" w:color="auto" w:fill="EC493C"/>
    </w:rPr>
  </w:style>
  <w:style w:type="character" w:customStyle="1" w:styleId="bibconfpaper">
    <w:name w:val="bib_confpaper"/>
    <w:rsid w:val="00056FBF"/>
    <w:rPr>
      <w:rFonts w:ascii="Times New Roman" w:hAnsi="Times New Roman"/>
      <w:sz w:val="24"/>
      <w:bdr w:val="none" w:sz="0" w:space="0" w:color="auto"/>
      <w:shd w:val="clear" w:color="auto" w:fill="61FF65"/>
    </w:rPr>
  </w:style>
  <w:style w:type="character" w:customStyle="1" w:styleId="bibconfproceedings">
    <w:name w:val="bib_confproceedings"/>
    <w:rsid w:val="00056FBF"/>
    <w:rPr>
      <w:rFonts w:ascii="Times New Roman" w:hAnsi="Times New Roman"/>
      <w:sz w:val="24"/>
      <w:bdr w:val="none" w:sz="0" w:space="0" w:color="auto"/>
      <w:shd w:val="clear" w:color="auto" w:fill="FDBA35"/>
    </w:rPr>
  </w:style>
  <w:style w:type="character" w:customStyle="1" w:styleId="bibday">
    <w:name w:val="bib_day"/>
    <w:rsid w:val="00056FBF"/>
    <w:rPr>
      <w:rFonts w:ascii="Times New Roman" w:hAnsi="Times New Roman"/>
      <w:sz w:val="24"/>
      <w:bdr w:val="none" w:sz="0" w:space="0" w:color="auto"/>
      <w:shd w:val="clear" w:color="auto" w:fill="FFFF66"/>
    </w:rPr>
  </w:style>
  <w:style w:type="character" w:customStyle="1" w:styleId="bibdeg">
    <w:name w:val="bib_deg"/>
    <w:rsid w:val="00056FBF"/>
    <w:rPr>
      <w:rFonts w:ascii="Times New Roman" w:hAnsi="Times New Roman"/>
      <w:sz w:val="24"/>
    </w:rPr>
  </w:style>
  <w:style w:type="character" w:customStyle="1" w:styleId="bibed-etal">
    <w:name w:val="bib_ed-etal"/>
    <w:rsid w:val="00056FBF"/>
    <w:rPr>
      <w:rFonts w:ascii="Times New Roman" w:hAnsi="Times New Roman"/>
      <w:sz w:val="24"/>
      <w:bdr w:val="none" w:sz="0" w:space="0" w:color="auto"/>
      <w:shd w:val="clear" w:color="auto" w:fill="00F4EE"/>
    </w:rPr>
  </w:style>
  <w:style w:type="character" w:customStyle="1" w:styleId="bibed-fname">
    <w:name w:val="bib_ed-fname"/>
    <w:rsid w:val="00056FBF"/>
    <w:rPr>
      <w:rFonts w:ascii="Times New Roman" w:hAnsi="Times New Roman"/>
      <w:sz w:val="24"/>
      <w:bdr w:val="none" w:sz="0" w:space="0" w:color="auto"/>
      <w:shd w:val="clear" w:color="auto" w:fill="FFFFB7"/>
    </w:rPr>
  </w:style>
  <w:style w:type="character" w:customStyle="1" w:styleId="bibeditionno">
    <w:name w:val="bib_editionno"/>
    <w:rsid w:val="00056FBF"/>
    <w:rPr>
      <w:rFonts w:ascii="Times New Roman" w:hAnsi="Times New Roman"/>
      <w:sz w:val="24"/>
      <w:bdr w:val="none" w:sz="0" w:space="0" w:color="auto"/>
      <w:shd w:val="clear" w:color="auto" w:fill="FFCC00"/>
    </w:rPr>
  </w:style>
  <w:style w:type="character" w:customStyle="1" w:styleId="bibed-organization">
    <w:name w:val="bib_ed-organization"/>
    <w:rsid w:val="00056FBF"/>
    <w:rPr>
      <w:rFonts w:ascii="Times New Roman" w:hAnsi="Times New Roman"/>
      <w:sz w:val="24"/>
      <w:bdr w:val="none" w:sz="0" w:space="0" w:color="auto"/>
      <w:shd w:val="clear" w:color="auto" w:fill="FCAAC3"/>
    </w:rPr>
  </w:style>
  <w:style w:type="character" w:customStyle="1" w:styleId="bibed-suffix">
    <w:name w:val="bib_ed-suffix"/>
    <w:rsid w:val="00056FBF"/>
    <w:rPr>
      <w:rFonts w:ascii="Times New Roman" w:hAnsi="Times New Roman"/>
      <w:sz w:val="24"/>
      <w:bdr w:val="none" w:sz="0" w:space="0" w:color="auto"/>
      <w:shd w:val="clear" w:color="auto" w:fill="CCFFCC"/>
    </w:rPr>
  </w:style>
  <w:style w:type="character" w:customStyle="1" w:styleId="bibed-surname">
    <w:name w:val="bib_ed-surname"/>
    <w:rsid w:val="00056FBF"/>
    <w:rPr>
      <w:rFonts w:ascii="Times New Roman" w:hAnsi="Times New Roman"/>
      <w:sz w:val="24"/>
      <w:bdr w:val="none" w:sz="0" w:space="0" w:color="auto"/>
      <w:shd w:val="clear" w:color="auto" w:fill="FFFF00"/>
    </w:rPr>
  </w:style>
  <w:style w:type="character" w:customStyle="1" w:styleId="bibextlink">
    <w:name w:val="bib_extlink"/>
    <w:rsid w:val="00056FBF"/>
    <w:rPr>
      <w:rFonts w:ascii="Times New Roman" w:hAnsi="Times New Roman"/>
      <w:sz w:val="20"/>
      <w:bdr w:val="none" w:sz="0" w:space="0" w:color="auto"/>
      <w:shd w:val="clear" w:color="auto" w:fill="6CCE9D"/>
    </w:rPr>
  </w:style>
  <w:style w:type="character" w:customStyle="1" w:styleId="bibinstitution">
    <w:name w:val="bib_institution"/>
    <w:rsid w:val="00056FBF"/>
    <w:rPr>
      <w:rFonts w:ascii="Times New Roman" w:hAnsi="Times New Roman"/>
      <w:sz w:val="24"/>
      <w:bdr w:val="none" w:sz="0" w:space="0" w:color="auto"/>
      <w:shd w:val="clear" w:color="auto" w:fill="CCFFCC"/>
    </w:rPr>
  </w:style>
  <w:style w:type="character" w:customStyle="1" w:styleId="bibisbn">
    <w:name w:val="bib_isbn"/>
    <w:rsid w:val="00056FBF"/>
    <w:rPr>
      <w:rFonts w:ascii="Times New Roman" w:hAnsi="Times New Roman"/>
      <w:sz w:val="24"/>
      <w:shd w:val="clear" w:color="auto" w:fill="D9D9D9"/>
    </w:rPr>
  </w:style>
  <w:style w:type="character" w:customStyle="1" w:styleId="biblocation">
    <w:name w:val="bib_location"/>
    <w:rsid w:val="00056FBF"/>
    <w:rPr>
      <w:rFonts w:ascii="Times New Roman" w:hAnsi="Times New Roman"/>
      <w:sz w:val="24"/>
      <w:bdr w:val="none" w:sz="0" w:space="0" w:color="auto"/>
      <w:shd w:val="clear" w:color="auto" w:fill="FFCCCC"/>
    </w:rPr>
  </w:style>
  <w:style w:type="character" w:customStyle="1" w:styleId="bibmedline">
    <w:name w:val="bib_medline"/>
    <w:rsid w:val="00056FBF"/>
    <w:rPr>
      <w:rFonts w:ascii="Times New Roman" w:hAnsi="Times New Roman"/>
      <w:sz w:val="24"/>
    </w:rPr>
  </w:style>
  <w:style w:type="character" w:customStyle="1" w:styleId="bibmonth">
    <w:name w:val="bib_month"/>
    <w:rsid w:val="00056FBF"/>
    <w:rPr>
      <w:rFonts w:ascii="Times New Roman" w:hAnsi="Times New Roman"/>
      <w:sz w:val="24"/>
      <w:szCs w:val="24"/>
      <w:bdr w:val="none" w:sz="0" w:space="0" w:color="auto"/>
      <w:shd w:val="clear" w:color="auto" w:fill="CCFF33"/>
    </w:rPr>
  </w:style>
  <w:style w:type="character" w:customStyle="1" w:styleId="bibnumber">
    <w:name w:val="bib_number"/>
    <w:rsid w:val="00056FBF"/>
    <w:rPr>
      <w:rFonts w:ascii="Times New Roman" w:hAnsi="Times New Roman"/>
      <w:sz w:val="24"/>
      <w:bdr w:val="none" w:sz="0" w:space="0" w:color="auto"/>
      <w:shd w:val="clear" w:color="auto" w:fill="CCCCFF"/>
    </w:rPr>
  </w:style>
  <w:style w:type="character" w:customStyle="1" w:styleId="biborganization">
    <w:name w:val="bib_organization"/>
    <w:rsid w:val="00056FBF"/>
    <w:rPr>
      <w:rFonts w:ascii="Times New Roman" w:hAnsi="Times New Roman"/>
      <w:sz w:val="24"/>
      <w:bdr w:val="none" w:sz="0" w:space="0" w:color="auto"/>
      <w:shd w:val="clear" w:color="auto" w:fill="CCFF99"/>
    </w:rPr>
  </w:style>
  <w:style w:type="character" w:customStyle="1" w:styleId="bibpagecount">
    <w:name w:val="bib_pagecount"/>
    <w:rsid w:val="00056FBF"/>
    <w:rPr>
      <w:rFonts w:ascii="Times New Roman" w:hAnsi="Times New Roman"/>
      <w:sz w:val="24"/>
      <w:bdr w:val="none" w:sz="0" w:space="0" w:color="auto"/>
      <w:shd w:val="clear" w:color="auto" w:fill="00FF00"/>
    </w:rPr>
  </w:style>
  <w:style w:type="character" w:customStyle="1" w:styleId="bibpapernumber">
    <w:name w:val="bib_papernumber"/>
    <w:uiPriority w:val="1"/>
    <w:rsid w:val="00056FBF"/>
    <w:rPr>
      <w:rFonts w:ascii="Times New Roman" w:hAnsi="Times New Roman"/>
      <w:sz w:val="24"/>
      <w:bdr w:val="none" w:sz="0" w:space="0" w:color="auto"/>
      <w:shd w:val="clear" w:color="auto" w:fill="FFFF66"/>
    </w:rPr>
  </w:style>
  <w:style w:type="character" w:customStyle="1" w:styleId="bibpatent">
    <w:name w:val="bib_patent"/>
    <w:rsid w:val="00056FBF"/>
    <w:rPr>
      <w:rFonts w:ascii="Times New Roman" w:hAnsi="Times New Roman"/>
      <w:sz w:val="24"/>
      <w:bdr w:val="none" w:sz="0" w:space="0" w:color="auto"/>
      <w:shd w:val="clear" w:color="auto" w:fill="66FFCC"/>
    </w:rPr>
  </w:style>
  <w:style w:type="character" w:customStyle="1" w:styleId="bibpublisher">
    <w:name w:val="bib_publisher"/>
    <w:rsid w:val="00056FBF"/>
    <w:rPr>
      <w:rFonts w:ascii="Times New Roman" w:hAnsi="Times New Roman"/>
      <w:sz w:val="24"/>
      <w:bdr w:val="none" w:sz="0" w:space="0" w:color="auto"/>
      <w:shd w:val="clear" w:color="auto" w:fill="FF99CC"/>
    </w:rPr>
  </w:style>
  <w:style w:type="character" w:customStyle="1" w:styleId="bibreportnum">
    <w:name w:val="bib_reportnum"/>
    <w:rsid w:val="00056FBF"/>
    <w:rPr>
      <w:rFonts w:ascii="Times New Roman" w:hAnsi="Times New Roman"/>
      <w:sz w:val="24"/>
      <w:bdr w:val="none" w:sz="0" w:space="0" w:color="auto"/>
      <w:shd w:val="clear" w:color="auto" w:fill="CCCCFF"/>
    </w:rPr>
  </w:style>
  <w:style w:type="character" w:customStyle="1" w:styleId="bibschool">
    <w:name w:val="bib_school"/>
    <w:rsid w:val="00056FBF"/>
    <w:rPr>
      <w:rFonts w:ascii="Times New Roman" w:hAnsi="Times New Roman"/>
      <w:sz w:val="24"/>
      <w:bdr w:val="none" w:sz="0" w:space="0" w:color="auto"/>
      <w:shd w:val="clear" w:color="auto" w:fill="FFCC66"/>
    </w:rPr>
  </w:style>
  <w:style w:type="character" w:customStyle="1" w:styleId="bibseason">
    <w:name w:val="bib_season"/>
    <w:rsid w:val="00056FBF"/>
    <w:rPr>
      <w:rFonts w:ascii="Times New Roman" w:hAnsi="Times New Roman"/>
      <w:sz w:val="24"/>
      <w:szCs w:val="24"/>
      <w:bdr w:val="none" w:sz="0" w:space="0" w:color="auto"/>
      <w:shd w:val="clear" w:color="auto" w:fill="FF6600"/>
    </w:rPr>
  </w:style>
  <w:style w:type="character" w:customStyle="1" w:styleId="bibseries">
    <w:name w:val="bib_series"/>
    <w:rsid w:val="00056FBF"/>
    <w:rPr>
      <w:rFonts w:ascii="Times New Roman" w:hAnsi="Times New Roman"/>
      <w:sz w:val="24"/>
      <w:shd w:val="clear" w:color="auto" w:fill="FFCC99"/>
    </w:rPr>
  </w:style>
  <w:style w:type="character" w:customStyle="1" w:styleId="bibseriesno">
    <w:name w:val="bib_seriesno"/>
    <w:rsid w:val="00056FBF"/>
    <w:rPr>
      <w:rFonts w:ascii="Times New Roman" w:hAnsi="Times New Roman"/>
      <w:sz w:val="24"/>
      <w:shd w:val="clear" w:color="auto" w:fill="FFFF99"/>
    </w:rPr>
  </w:style>
  <w:style w:type="character" w:customStyle="1" w:styleId="bibsuffix">
    <w:name w:val="bib_suffix"/>
    <w:rsid w:val="00056FBF"/>
    <w:rPr>
      <w:rFonts w:ascii="Times New Roman" w:hAnsi="Times New Roman"/>
      <w:sz w:val="24"/>
    </w:rPr>
  </w:style>
  <w:style w:type="character" w:customStyle="1" w:styleId="bibsuppl">
    <w:name w:val="bib_suppl"/>
    <w:rsid w:val="00056FBF"/>
    <w:rPr>
      <w:rFonts w:ascii="Times New Roman" w:hAnsi="Times New Roman"/>
      <w:sz w:val="24"/>
      <w:bdr w:val="none" w:sz="0" w:space="0" w:color="auto"/>
      <w:shd w:val="clear" w:color="auto" w:fill="FFCC66"/>
    </w:rPr>
  </w:style>
  <w:style w:type="character" w:customStyle="1" w:styleId="bibtitle">
    <w:name w:val="bib_title"/>
    <w:rsid w:val="00056FBF"/>
    <w:rPr>
      <w:sz w:val="24"/>
      <w:effect w:val="none"/>
      <w:bdr w:val="none" w:sz="0" w:space="0" w:color="auto"/>
      <w:shd w:val="clear" w:color="auto" w:fill="D99594"/>
    </w:rPr>
  </w:style>
  <w:style w:type="character" w:customStyle="1" w:styleId="bibtrans">
    <w:name w:val="bib_trans"/>
    <w:rsid w:val="00056FBF"/>
    <w:rPr>
      <w:rFonts w:ascii="Times New Roman" w:hAnsi="Times New Roman"/>
      <w:sz w:val="24"/>
      <w:shd w:val="clear" w:color="auto" w:fill="99CC00"/>
    </w:rPr>
  </w:style>
  <w:style w:type="character" w:customStyle="1" w:styleId="bibunpubl">
    <w:name w:val="bib_unpubl"/>
    <w:rsid w:val="00056FBF"/>
    <w:rPr>
      <w:rFonts w:ascii="Times New Roman" w:hAnsi="Times New Roman"/>
      <w:sz w:val="24"/>
    </w:rPr>
  </w:style>
  <w:style w:type="character" w:customStyle="1" w:styleId="biburl">
    <w:name w:val="bib_url"/>
    <w:rsid w:val="00056FBF"/>
    <w:rPr>
      <w:rFonts w:ascii="Times New Roman" w:hAnsi="Times New Roman"/>
      <w:sz w:val="24"/>
      <w:bdr w:val="none" w:sz="0" w:space="0" w:color="auto"/>
      <w:shd w:val="clear" w:color="auto" w:fill="CCFF66"/>
    </w:rPr>
  </w:style>
  <w:style w:type="character" w:customStyle="1" w:styleId="bibvolcount">
    <w:name w:val="bib_volcount"/>
    <w:rsid w:val="00056FBF"/>
    <w:rPr>
      <w:rFonts w:ascii="Times New Roman" w:hAnsi="Times New Roman"/>
      <w:sz w:val="20"/>
      <w:bdr w:val="none" w:sz="0" w:space="0" w:color="auto"/>
      <w:shd w:val="clear" w:color="auto" w:fill="00FF00"/>
    </w:rPr>
  </w:style>
  <w:style w:type="character" w:customStyle="1" w:styleId="AccessedDate">
    <w:name w:val="AccessedDate"/>
    <w:rsid w:val="00056FBF"/>
  </w:style>
  <w:style w:type="character" w:customStyle="1" w:styleId="italic0">
    <w:name w:val="_italic"/>
    <w:uiPriority w:val="99"/>
    <w:rsid w:val="00056FBF"/>
    <w:rPr>
      <w:i/>
      <w:iCs/>
    </w:rPr>
  </w:style>
  <w:style w:type="paragraph" w:customStyle="1" w:styleId="TUL2-MID">
    <w:name w:val="TUL2-MID"/>
    <w:qFormat/>
    <w:rsid w:val="00056FBF"/>
    <w:pPr>
      <w:pBdr>
        <w:top w:val="none" w:sz="0" w:space="0" w:color="auto"/>
        <w:left w:val="none" w:sz="0" w:space="0" w:color="auto"/>
        <w:bottom w:val="none" w:sz="0" w:space="0" w:color="auto"/>
        <w:right w:val="none" w:sz="0" w:space="0" w:color="auto"/>
        <w:between w:val="none" w:sz="0" w:space="0" w:color="auto"/>
        <w:bar w:val="none" w:sz="0" w:color="auto"/>
      </w:pBdr>
      <w:spacing w:after="200" w:line="480" w:lineRule="auto"/>
      <w:ind w:left="576"/>
    </w:pPr>
    <w:rPr>
      <w:rFonts w:eastAsiaTheme="minorHAnsi"/>
      <w:sz w:val="24"/>
      <w:szCs w:val="24"/>
      <w:bdr w:val="none" w:sz="0" w:space="0" w:color="auto"/>
      <w:lang w:val="en-IN" w:eastAsia="en-US"/>
    </w:rPr>
  </w:style>
  <w:style w:type="paragraph" w:customStyle="1" w:styleId="REFH1">
    <w:name w:val="REFH1"/>
    <w:basedOn w:val="H10"/>
    <w:qFormat/>
    <w:rsid w:val="00730A4B"/>
    <w:pPr>
      <w:keepNext w:val="0"/>
      <w:keepLines w:val="0"/>
      <w:widowControl w:val="0"/>
      <w:spacing w:before="0" w:line="480" w:lineRule="auto"/>
    </w:pPr>
  </w:style>
  <w:style w:type="character" w:customStyle="1" w:styleId="BodyTextChar">
    <w:name w:val="Body Text Char"/>
    <w:basedOn w:val="DefaultParagraphFont"/>
    <w:link w:val="BodyText"/>
    <w:rsid w:val="00492379"/>
    <w:rPr>
      <w:rFonts w:asciiTheme="minorHAnsi" w:eastAsiaTheme="minorHAnsi" w:hAnsiTheme="minorHAnsi" w:cstheme="minorBidi"/>
      <w:sz w:val="22"/>
      <w:szCs w:val="22"/>
      <w:bdr w:val="none" w:sz="0" w:space="0" w:color="auto"/>
      <w:lang w:val="en-IN" w:eastAsia="en-US"/>
    </w:rPr>
  </w:style>
  <w:style w:type="paragraph" w:customStyle="1" w:styleId="TSN">
    <w:name w:val="TSN"/>
    <w:basedOn w:val="Normal"/>
    <w:qFormat/>
    <w:rsid w:val="00730A4B"/>
    <w:pPr>
      <w:widowControl w:val="0"/>
      <w:spacing w:line="480" w:lineRule="auto"/>
    </w:pPr>
  </w:style>
  <w:style w:type="paragraph" w:customStyle="1" w:styleId="T30">
    <w:name w:val="T3"/>
    <w:basedOn w:val="T3"/>
    <w:qFormat/>
    <w:rsid w:val="003220D7"/>
    <w:pPr>
      <w:widowControl w:val="0"/>
      <w:tabs>
        <w:tab w:val="left" w:pos="220"/>
        <w:tab w:val="left" w:pos="720"/>
      </w:tabs>
      <w:spacing w:line="480" w:lineRule="auto"/>
      <w:ind w:left="283" w:hanging="283"/>
    </w:pPr>
    <w:rPr>
      <w:u w:color="000000"/>
    </w:rPr>
  </w:style>
  <w:style w:type="character" w:styleId="PlaceholderText">
    <w:name w:val="Placeholder Text"/>
    <w:basedOn w:val="DefaultParagraphFont"/>
    <w:uiPriority w:val="99"/>
    <w:semiHidden/>
    <w:rsid w:val="00E877A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webSettings" Target="webSetting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customXml" Target="../customXml/item6.xml"/><Relationship Id="rId11" Type="http://schemas.microsoft.com/office/2007/relationships/stylesWithEffects" Target="stylesWithEffects.xml"/><Relationship Id="rId5" Type="http://schemas.openxmlformats.org/officeDocument/2006/relationships/customXml" Target="../customXml/item5.xml"/><Relationship Id="rId15" Type="http://schemas.openxmlformats.org/officeDocument/2006/relationships/endnotes" Target="endnotes.xml"/><Relationship Id="rId10" Type="http://schemas.openxmlformats.org/officeDocument/2006/relationships/styles" Target="styl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Tool\Lww-REF.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DefaultPlaceholder_1082065158"/>
        <w:category>
          <w:name w:val="General"/>
          <w:gallery w:val="placeholder"/>
        </w:category>
        <w:types>
          <w:type w:val="bbPlcHdr"/>
        </w:types>
        <w:behaviors>
          <w:behavior w:val="content"/>
        </w:behaviors>
        <w:guid w:val="{CB207B49-21D0-4A42-B7AB-9E2AE3E6007E}"/>
      </w:docPartPr>
      <w:docPartBody>
        <w:p w:rsidR="00424615" w:rsidRDefault="00DC6C43">
          <w:r w:rsidRPr="00355C2F">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Corbel"/>
    <w:charset w:val="00"/>
    <w:family w:val="auto"/>
    <w:pitch w:val="variable"/>
    <w:sig w:usb0="00000003" w:usb1="500079DB" w:usb2="00000010" w:usb3="00000000" w:csb0="00000001" w:csb1="00000000"/>
  </w:font>
  <w:font w:name="Helvetica Neue Light">
    <w:altName w:val="Corbel"/>
    <w:charset w:val="00"/>
    <w:family w:val="auto"/>
    <w:pitch w:val="variable"/>
    <w:sig w:usb0="00000001" w:usb1="5000205B" w:usb2="00000002" w:usb3="00000000" w:csb0="00000007" w:csb1="00000000"/>
  </w:font>
  <w:font w:name="Helvetica">
    <w:panose1 w:val="020B0504020202020204"/>
    <w:charset w:val="00"/>
    <w:family w:val="swiss"/>
    <w:notTrueType/>
    <w:pitch w:val="variable"/>
    <w:sig w:usb0="00000003" w:usb1="00000000" w:usb2="00000000" w:usb3="00000000" w:csb0="00000001" w:csb1="00000000"/>
  </w:font>
  <w:font w:name="ヒラギノ角ゴ Pro W3">
    <w:altName w:val="Yu Gothic"/>
    <w:charset w:val="4E"/>
    <w:family w:val="auto"/>
    <w:pitch w:val="variable"/>
    <w:sig w:usb0="E00002FF" w:usb1="7AC7FFFF" w:usb2="00000012" w:usb3="00000000" w:csb0="0002000D" w:csb1="00000000"/>
  </w:font>
  <w:font w:name="Lohit Devanagari">
    <w:altName w:val="Cambria"/>
    <w:panose1 w:val="00000000000000000000"/>
    <w:charset w:val="00"/>
    <w:family w:val="roman"/>
    <w:notTrueType/>
    <w:pitch w:val="default"/>
  </w:font>
  <w:font w:name="Courier 10 Pitch">
    <w:altName w:val="Courier New"/>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C6C43"/>
    <w:rsid w:val="00424615"/>
    <w:rsid w:val="004927D6"/>
    <w:rsid w:val="00B92330"/>
    <w:rsid w:val="00DC6C43"/>
    <w:rsid w:val="00E170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C6C43"/>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C6C4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preedit xmlns="http://www.machineedit.net/AMOD/CustomXML/Grammar.htm">[{"b-find":"many different","e-paracontent":"Historically,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from&lt;mark&gt;many different&lt;\/mark&gt;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.","c-replace":[],"ab-name":"Grammar","a-name":"Redundant Phrases","g-rebookmarkname":"","i-wm":"many different","d-description":"Use simply 'many'.","f-bookmark":"BMGRAMMARCHECK_LNG_Redundant_Phrases_100038"},{"b-find":"\u201c","e-paracontent":"The paper entitled&lt;mark&gt;\u201c&lt;\/mark&gt;Diagnosis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15.","c-replace":[],"ab-name":"Grammar","a-name":"Punctuation","g-rebookmarkname":"","i-wm":"\u201c","d-description":"Unpaired symbol: '\u201d' seems to be missing","f-bookmark":"BMGRAMMARCHECK_LNG_Punctuation_100071"},{"b-find":"\u201c","e-paracontent":"The paper entitled \u201cDiagnosis of fetal non-chromosomal abnormalities on routine ultrasound examination at 11\u201313 weeks\u2019 gestatio&lt;mark&gt;\u201c&lt;\/mark&gt;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15.","c-replace":[],"ab-name":"Grammar","a-name":"Punctuation","g-rebookmarkname":"","i-wm":"\u201c","d-description":"Unpaired symbol: '\u201d' seems to be missing","f-bookmark":"BMGRAMMARCHECK_LNG_Punctuation_100072"},{"b-find":"et al","e-paracontent":"The paper entitled \u201cDiagnosis of fetal non-chromosomal abnormalities on routine ultrasound examination at 11\u201313 weeks\u2019 gestation\u201c published by Syngelaki&lt;mark&gt;et al&lt;\/mark&gt;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15.","c-replace":[],"ab-name":"Grammar","a-name":"Possible Typo","g-rebookmarkname":"","i-wm":"et al","d-description":"A dot is missing here: 'et al.'","f-bookmark":"BMGRAMMARCHECK_LNG_Possible_Typo_100074"},{"b-find":"et al","e-paracontent":"Another important study was published in 2024 in a manuscript entitled \u201cDetection of Non-Cardiac Fetal Abnormalities on Ultrasound at 11\u201314 Weeks: Systematic Review and Meta-Analysis\u201d by Karim&lt;mark&gt;et al&lt;\/mark&gt;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(LUTO)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group.","c-replace":[],"ab-name":"Grammar","a-name":"Possible Typo","g-rebookmarkname":"","i-wm":"et al","d-description":"A dot is missing here: 'et al.'","f-bookmark":"BMGRAMMARCHECK_LNG_Possible_Typo_100161"},{"b-find":"\u201c","e-paracontent":"The Cochrane systematic review entitled&lt;mark&gt;\u201c&lt;\/mark&gt;Diagnostic Accuracy of Ultrasound Screening for Fetal Structural Abnormalities during the First and Second Trimester of Pregnancy in Low-risk and Unselected Populations\u201c by Buijtendijk et al. 18 provides in its version of 2024 a comprehensive up-to-date and important evidence-based assessment of the existing literature on the subject. Structural anomalies affect approximately 3% of all live births worldwide and can lead to significant morbidity or mortality. Detecting these anomalies early in  pregnancy is crucial for parental counseling, medical planning, and potential interventions, including pregnancy termination in severe cases or passionate care depending on the local policy of the country.","c-replace":[],"ab-name":"Grammar","a-name":"Punctuation","g-rebookmarkname":"","i-wm":"\u201c","d-description":"Unpaired symbol: '\u201d' seems to be missing","f-bookmark":"BMGRAMMARCHECK_LNG_Punctuation_100182"},{"b-find":"\u201c","e-paracontent":"The Cochrane systematic review entitled \u201cDiagnostic Accuracy of Ultrasound Screening for Fetal Structural Abnormalities during the First and Second Trimester of Pregnancy in Low-risk and Unselected Population&lt;mark&gt;\u201c&lt;\/mark&gt; by Buijtendijk et al. 18 provides in its version of 2024 a comprehensive up-to-date and important evidence-based assessment of the existing literature on the subject. Structural anomalies affect approximately 3% of all live births worldwide and can lead to significant morbidity or mortality. Detecting these anomalies early in  pregnancy is crucial for parental counseling, medical planning, and potential interventions, including pregnancy termination in severe cases or passionate care depending on the local policy of the country.","c-replace":[],"ab-name":"Grammar","a-name":"Punctuation","g-rebookmarkname":"","i-wm":"\u201c","d-description":"Unpaired symbol: '\u201d' seems to be missing","f-bookmark":"BMGRAMMARCHECK_LNG_Punctuation_100184"},{"b-find":"'","e-paracontent":"Modified and adapted from Syngelaki A, et al. Diagnosis of fetal non-chromosomal abnormalities on routine ultrasound examination at 11-13ߙweek&lt;mark&gt;'&lt;\/mark&gt; gestation. Ultrasound Obstet. Gynecol. 2019;54:468-476. (Copyright John Wiley &amp; Sons, Ltd., with permission)","c-replace":[],"ab-name":"Grammar","a-name":"Punctuation","g-rebookmarkname":"","i-wm":"'","d-description":"Unpaired symbol: ''' seems to be missing","f-bookmark":"BMGRAMMARCHECK_LNG_Punctuation_100450"},{"b-find":")","e-paracontent":"Adapted from Karim et al. Ultrasound Obstet Gynecol 2024;64:15\u201327; Copyright John Wiley &amp; Sons, Ltd., with permissio&lt;mark&gt;)&lt;\/mark&gt;","c-replace":[],"ab-name":"Grammar","a-name":"Punctuation","g-rebookmarkname":"","i-wm":")","d-description":"Unpaired symbol: '(' seems to be missing","f-bookmark":"BMGRAMMARCHECK_LNG_Punctuation_100513"},{"b-find":"et al","e-paracontent":"Adapted from Karim&lt;mark&gt;et al&lt;\/mark&gt;: Ultrasound Obstet Gynecol 2024; 64:15\u201327; Copyright John Wiley &amp; Sons, Ltd., with permission)","c-replace":[],"ab-name":"Grammar","a-name":"Possible Typo","g-rebookmarkname":"","i-wm":"et al","d-description":"A dot is missing here: 'et al.'","f-bookmark":"BMGRAMMARCHECK_LNG_Possible_Typo_100528"},{"b-find":")","e-paracontent":"Adapted from Karim et al: Ultrasound Obstet Gynecol 2024; 64:15\u201327; Copyright John Wiley &amp; Sons, Ltd., with permissio&lt;mark&gt;)&lt;\/mark&gt;","c-replace":[],"ab-name":"Grammar","a-name":"Punctuation","g-rebookmarkname":"","i-wm":")","d-description":"Unpaired symbol: '(' seems to be missing","f-bookmark":"BMGRAMMARCHECK_LNG_Punctuation_100531"}]</preedit>
</file>

<file path=customXml/item2.xml><?xml version="1.0" encoding="utf-8"?>
<preedit xmlns="http://www.machineedit.net/AMOD/CustomXML/Pre-Edit.htm">[{"b-find":"NT","e-paracontent":"Historically,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&lt;mark&gt;NT&lt;\/mark&gt;)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.","c-replace":[],"ab-name":"Pre-Edit","a-name":"Small_cap","g-rebookmarkname":"","i-wm":"NT","d-description":"Abbreviations should be in small caps.","f-bookmark":"BMPRE_ME_Small_cap_100003"},{"b-find":"30","e-paracontent":"Historically,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reviewed&lt;mark&gt;30&lt;\/mark&gt;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.","c-replace":["thirty"],"ab-name":"Pre-Edit","a-name":"Spell_out","g-rebookmarkname":"","i-wm":"30","d-description":"Spell out from one to ninety-nine.","f-bookmark":"BMPRE_ME_Spell_out_100036"},{"b-find":"always","e-paracontent":"Numerous studies have been published in the last three decades on the performance of the first trimester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 Syngelaki and Nicolaides 1, which reported in 2011 on the detection of fetal anomalies during the 11-13 weeks\u2019 ultrasound examination in a population of 44,859 patients, after excluding 332 detected aneuploidies 1. The authors classified the type of first trimester fetal malformations into four main groups:&lt;mark&gt;always&lt;\/mark&gt; detectable, occasionally detectable, rarely detectable and non-detectable 1. Since the publication of this seminal study, several more recent studies and meta-analyses have been published, emphasizing the performance and limitations of the first trimester ultrasound examination. In this chapter we present the results of four large studies summarizing the current performance of the first trimester scan. ","c-replace":["Always"],"ab-name":"Pre-Edit","a-name":"After_Colon_Capitalization","g-rebookmarkname":"","i-wm":"always","d-description":"Capitalize the first letter after a colon unless it is a list.","f-bookmark":"BMPRE_ME_After_Colon_Capitalization_100039"},{"b-find":"those","e-paracontent":"The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weeks:&lt;mark&gt;those&lt;\/mark&gt;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book.","c-replace":["Those"],"ab-name":"Pre-Edit","a-name":"After_Colon_Capitalization","g-rebookmarkname":"","i-wm":"those","d-description":"Capitalize the first letter after a colon unless it is a list.","f-bookmark":"BMPRE_ME_After_Colon_Capitalization_100079"},{"b-find":"NT","e-paracontent":"The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&lt;mark&gt;NT&lt;\/mark&gt;)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book.","c-replace":[],"ab-name":"Pre-Edit","a-name":"Small_cap","g-rebookmarkname":"","i-wm":"NT","d-description":"Abbreviations should be in small caps.","f-bookmark":"BMPRE_ME_Small_cap_100080"},{"b-find":"14","e-paracontent":"In a large retrospective study published in 2021, Liao and colleagues 16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with&lt;mark&gt;14&lt;\/mark&gt; predefined standard views (Table 2.2), adapted from the mid-trimester anomaly screening approach 16. At the time of the first trimester examination, the median fetal CRL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 sonographers who performed the first trimester examination had to complete a rigorous 6-month training program. All examinations were performed transabdominally and only completed by a transvaginal examination if necessary. ","c-replace":["fourteen"],"ab-name":"Pre-Edit","a-name":"Spell_out","g-rebookmarkname":"","i-wm":"14","d-description":"Spell out from one to ninety-nine.","f-bookmark":"BMPRE_ME_Spell_out_100118"},{"b-find":"LUTO","e-paracontent":"Another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&lt;mark&gt;LUTO&lt;\/mark&gt;)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group.","c-replace":[],"ab-name":"Pre-Edit","a-name":"Small_cap","g-rebookmarkname":"","i-wm":"LUTO","d-description":"Abbreviations should be in small caps.","f-bookmark":"BMPRE_ME_Small_cap_100142"},{"b-find":"52","e-paracontent":"Another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reviewing&lt;mark&gt;52&lt;\/mark&gt;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(LUTO)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group.","c-replace":["fifty-two"],"ab-name":"Pre-Edit","a-name":"Spell_out","g-rebookmarkname":"","i-wm":"52","d-description":"Spell out from one to ninety-nine.","f-bookmark":"BMPRE_ME_Spell_out_100159"},{"b-find":"16","e-paracontent":"Another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detecting&lt;mark&gt;16&lt;\/mark&gt;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(LUTO)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group.","c-replace":["sixteen"],"ab-name":"Pre-Edit","a-name":"Spell_out","g-rebookmarkname":"","i-wm":"16","d-description":"Spell out from one to ninety-nine.","f-bookmark":"BMPRE_ME_Spell_out_100160"},{"b-find":"87","e-paracontent":"The authors reviewed data from&lt;mark&gt;87&lt;\/mark&gt;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","c-replace":["eighty-seven"],"ab-name":"Pre-Edit","a-name":"Spell_out","g-rebookmarkname":"","i-wm":"87","d-description":"Spell out from one to ninety-nine.","f-bookmark":"BMPRE_ME_Spell_out_100205"}]</preedit>
</file>

<file path=customXml/item3.xml><?xml version="1.0" encoding="utf-8"?>
<group data-contentcontrol="true">
  <group EndBk="para10080_36385032101" StartBk="para10061_36385032101" Tag="TableGroup" Title="TableGroup"/>
  <group EndBk="para10130_36385032101" StartBk="para10082_36385032101" Tag="TableGroup" Title="TableGroup"/>
  <group EndBk="para10200_36385032101" StartBk="para10132_36385032101" Tag="TableGroup" Title="TableGroup"/>
  <group EndBk="para10271_36385032101" StartBk="para10202_36385032101" Tag="TableGroup" Title="TableGroup"/>
  <group EndBk="para10328_36385032101" StartBk="para10273_36385032101" Tag="TableGroup" Title="TableGroup"/>
  <group EndBk="para10053_36385032101" StartBk="para10036_36385032101" Tag="RefGroup" Title="RefGroup"/>
  <group EndBk="para10036_36385032101" StartBk="para10036_36385032101" Tag="Reference1" Title="Reference1"/>
  <group EndBk="para10037_36385032101" StartBk="para10037_36385032101" Tag="Reference2" Title="Reference2"/>
  <group EndBk="para10038_36385032101" StartBk="para10038_36385032101" Tag="Reference3" Title="Reference3"/>
  <group EndBk="para10039_36385032101" StartBk="para10039_36385032101" Tag="Reference4" Title="Reference4"/>
  <group EndBk="para10040_36385032101" StartBk="para10040_36385032101" Tag="Reference5" Title="Reference5"/>
  <group EndBk="para10041_36385032101" StartBk="para10041_36385032101" Tag="Reference6" Title="Reference6"/>
  <group EndBk="para10042_36385032101" StartBk="para10042_36385032101" Tag="Reference7" Title="Reference7"/>
  <group EndBk="para10043_36385032101" StartBk="para10043_36385032101" Tag="Reference8" Title="Reference8"/>
  <group EndBk="para10044_36385032101" StartBk="para10044_36385032101" Tag="Reference9" Title="Reference9"/>
  <group EndBk="para10045_36385032101" StartBk="para10045_36385032101" Tag="Reference10" Title="Reference10"/>
  <group EndBk="para10046_36385032101" StartBk="para10046_36385032101" Tag="Reference11" Title="Reference11"/>
  <group EndBk="para10047_36385032101" StartBk="para10047_36385032101" Tag="Reference12" Title="Reference12"/>
  <group EndBk="para10048_36385032101" StartBk="para10048_36385032101" Tag="Reference13" Title="Reference13"/>
  <group EndBk="para10049_36385032101" StartBk="para10049_36385032101" Tag="Reference14" Title="Reference14"/>
  <group EndBk="para10050_36385032101" StartBk="para10050_36385032101" Tag="Reference15" Title="Reference15"/>
  <group EndBk="para10051_36385032101" StartBk="para10051_36385032101" Tag="Reference16" Title="Reference16"/>
  <group EndBk="para10052_36385032101" StartBk="para10052_36385032101" Tag="Reference17" Title="Reference17"/>
  <group EndBk="para10053_36385032101" StartBk="para10053_36385032101" Tag="Reference18" Title="Reference18"/>
  <group EndBk="para10056_36385032101" StartBk="para10056_36385032101" Tag="FigureCaption" Title="FigureCaption"/>
  <group EndBk="para10057_36385032101" StartBk="para10057_36385032101" Tag="FigureCaption" Title="FigureCaption"/>
  <group EndBk="para10058_36385032101" StartBk="para10058_36385032101" Tag="FigureCaption" Title="FigureCaption"/>
  <group EndBk="para10061_36385032101" StartBk="para10061_36385032101" Tag="TableCaption" Title="TableCaption"/>
  <group EndBk="para10082_36385032101" StartBk="para10082_36385032101" Tag="TableCaption" Title="TableCaption"/>
  <group EndBk="para10132_36385032101" StartBk="para10132_36385032101" Tag="TableCaption" Title="TableCaption"/>
  <group EndBk="para10202_36385032101" StartBk="para10202_36385032101" Tag="TableCaption" Title="TableCaption"/>
  <group EndBk="para10273_36385032101" StartBk="para10273_36385032101" Tag="TableCaption" Title="TableCaption"/>
</group>
</file>

<file path=customXml/item4.xml><?xml version="1.0" encoding="utf-8"?>
<preedit xmlns="http://www.machineedit.net/AMOD/CustomXML/Abbreviations.htm">[{"b-find":"nuchal translucency (NT)","e-paracontent":"Historically,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of&lt;mark&gt;nuchal translucency (NT)&lt;\/mark&gt;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.","c-replace":["nuchal translucency (NT)","NT"],"ab-name":"Abbreviations","a-name":"Abbreviation_Defined_Twice_or_More","g-rebookmarkname":"","i-wm":"nuchal translucency (NT)","d-description":"An abbreviation is defined more than once. The definition may also be inconsistent.","k-color":"#a24c29","f-bookmark":"BMABBRE100002","j-groupid":2},{"b-find":"nuchal translucency","e-paracontent":"The paper entitled \u201cDiagnosis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thickened&lt;mark&gt;nuchal translucency&lt;\/mark&gt;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15.","c-replace":["nuchal translucency (NT)","NT"],"ab-name":"Abbreviations","a-name":"Abbreviation_Defined_Twice_or_More","g-rebookmarkname":"","i-wm":"nuchal translucency","d-description":"An abbreviation is defined more than once. The definition may also be inconsistent.","k-color":"#a24c29","f-bookmark":"BMABBRE100054","j-groupid":2},{"b-find":"CRL","e-paracontent":"The paper entitled \u201cDiagnosis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fetal&lt;mark&gt;CRL&lt;\/mark&gt; was 63.8 mm, and median gestational age was 12.7 weeks of gestation. Only 8.5% cases were examined in the 11th week of gestation 15.","c-replace":[""],"ab-name":"Abbreviations","a-name":"Possible_Abbreviations","g-rebookmarkname":"","i-wm":"CRL","d-description":"Word in all caps may be an abbreviation.","k-color":"","f-bookmark":"BMABBRE100055","j-groupid":1},{"b-find":"NT","e-paracontent":"The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that&lt;mark&gt;NT&lt;\/mark&gt;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book.","c-replace":["nuchal translucency (NT)","NT"],"ab-name":"Abbreviations","a-name":"Abbreviation","g-rebookmarkname":"","i-wm":"NT","d-description":"An abbreviation must appear with its expanded form first and can then only be reused.","k-color":"#a24c29","f-bookmark":"BMABBRE100077","j-groupid":2},{"b-find":"nuchal translucency (NT)","e-paracontent":"The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increased&lt;mark&gt;nuchal translucency (NT)&lt;\/mark&gt;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book.","c-replace":["nuchal translucency (NT)","NT"],"ab-name":"Abbreviations","a-name":"Abbreviation_Defined_Twice_or_More","g-rebookmarkname":"","i-wm":"nuchal translucency (NT)","d-description":"An abbreviation is defined more than once. The definition may also be inconsistent.","k-color":"#a24c29","f-bookmark":"BMABBRE100078","j-groupid":2},{"b-find":"CRL","e-paracontent":"In a large retrospective study published in 2021, Liao and colleagues 16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 14 predefined standard views (Table 2.2), adapted from the mid-trimester anomaly screening approach 16. At the time of the first trimester examination, the median fetal&lt;mark&gt;CRL&lt;\/mark&gt;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 sonographers who performed the first trimester examination had to complete a rigorous 6-month training program. All examinations were performed transabdominally and only completed by a transvaginal examination if necessary. ","c-replace":[""],"ab-name":"Abbreviations","a-name":"Possible_Abbreviations","g-rebookmarkname":"","i-wm":"CRL","d-description":"Word in all caps may be an abbreviation.","k-color":"","f-bookmark":"BMABBRE100107","j-groupid":1},{"b-find":"NT","e-paracontent":"The study found a rate of structural anomalies of 3% (1,578 fetuses) in the cohort of which 680 were diagnosed in the first trimester screening examination, corresponding to a detection rate of 43.1% 16 (Table 2.3). The detection rates varied greatly depending on the organ system. Abdominal wall defects had the highest detection rate (95.6%), followed by anomalies of the nervous system (66.3%), skeletal malformations (33.8%), facial defects (30.8%) and cardiac anomalies (37.7%)16. Among the cardiac anomalies, severe defects were discovered in 57.9% of cases, while mild defects such as isolated ventricular septal defects were rarely detected (2.6%). Gastrointestinal anomalies had the lowest detection rate at only 4.1%. Strength of this study included the large sample size and rigorous implementation of a structured anatomic protocol, which resulted in higher detection rates compared to many previous studies. The authors confirmed an association between increased&lt;mark&gt;NT&lt;\/mark&gt; and certain severe anomalies, such as heart defects, holoprosencephaly and megacystis. However, the study also has limitations including the retrospective design and lack of consistency in postnatal confirmation of anomalies, so subtle defects may have been missed. Details on genetic abnormalities were not fully available, as many pregnancies with severe malformations were terminated without genetic testing. The authors concluded that this study supported the implementation of a standardized anatomical protocol during first trimester ultrasound (Table 2.2) to improve early detection of fetal structural anomalies 16. While it cannot replace mid-trimester anomaly scans, early screening can speed up diagnosis and allow earlier decision making and counseling, especially for severe or lethal conditions. Follow-up tests can be offered to avoid false-positive and false-negative findings. Details of individual detection rates by organ system are presented as tables in the various chapters in the second part of this book.","c-replace":["nuchal translucency (NT)","NT"],"ab-name":"Abbreviations","a-name":"Abbreviation","g-rebookmarkname":"","i-wm":"NT","d-description":"An abbreviation must appear with its expanded form first and can then only be reused.","k-color":"#a24c29","f-bookmark":"BMABBRE100123","j-groupid":2},{"b-find":"lower urinary tract obstruction (LUTO)","e-paracontent":"Another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included&lt;mark&gt;lower urinary tract obstruction (LUTO)&lt;\/mark&gt;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group.","c-replace":["lower urinary tract obstruction (LUTO)","LUTO"],"ab-name":"Abbreviations","a-name":"Abbreviation_Defined_Twice_or_More","g-rebookmarkname":"","i-wm":"lower urinary tract obstruction (LUTO)","d-description":"An abbreviation is defined more than once. The definition may also be inconsistent.","k-color":"#a24c29","f-bookmark":"BMABBRE100140","j-groupid":3},{"b-find":"lower urinary tract obstruction (LUTO)","e-paracontent":"Another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included&lt;mark&gt;lower urinary tract obstruction (LUTO)&lt;\/mark&gt;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group.","c-replace":["lower urinary tract obstruction (LUTO)","LUTO"],"ab-name":"Abbreviations","a-name":"Abbreviation_Not_Used","g-rebookmarkname":"","i-wm":"lower urinary tract obstruction (LUTO)","d-description":"An abbreviation is written out in full after it is defined.","k-color":"#a24c29","f-bookmark":"BMABBRE100141","j-groupid":3},{"b-find":"TAB","e-paracontent":"&lt;TAB 2-4&gt;&lt;mark&gt;TAB&lt;\/mark&gt; 2-5&gt;","c-replace":[""],"ab-name":"Abbreviations","a-name":"Possible_Abbreviations","g-rebookmarkname":"","i-wm":"TAB","d-description":"Word in all caps may be an abbreviation.","k-color":"","f-bookmark":"BMABBRE100163","j-groupid":1},{"b-find":"FIG","e-paracontent":"&lt;FIG 2-1&gt;&lt;mark&gt;FIG&lt;\/mark&gt; 2-2&gt;&lt;FIG 2-3&gt;","c-replace":[""],"ab-name":"Abbreviations","a-name":"Possible_Abbreviations","g-rebookmarkname":"","i-wm":"FIG","d-description":"Word in all caps may be an abbreviation.","k-color":"","f-bookmark":"BMABBRE100206","j-groupid":1},{"b-find":"FIG","e-paracontent":"&lt;FIG 2-1&gt;&lt;FIG 2-2&gt;&lt;mark&gt;FIG&lt;\/mark&gt; 2-3&gt;","c-replace":[""],"ab-name":"Abbreviations","a-name":"Possible_Abbreviations","g-rebookmarkname":"","i-wm":"FIG","d-description":"Word in all caps may be an abbreviation.","k-color":"","f-bookmark":"BMABBRE100207","j-groupid":1},{"b-find":"CNS","e-paracontent":"Figure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intervals.&lt;mark&gt;CNS&lt;\/mark&gt;, central nervous system; Resp, Respiratory system; Thor/Abd, thoracic and abdominal wall; GIT, gastrointestinal tract system; UT,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permission).","c-replace":[""],"ab-name":"Abbreviations","a-name":"Possible_Abbreviations","g-rebookmarkname":"","i-wm":"CNS","d-description":"Word in all caps may be an abbreviation.","k-color":"","f-bookmark":"BMABBRE100374","j-groupid":1},{"b-find":"GIT","e-paracontent":"Figure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wall;&lt;mark&gt;GIT&lt;\/mark&gt;, gastrointestinal tract system; UT,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permission).","c-replace":[""],"ab-name":"Abbreviations","a-name":"Possible_Abbreviations","g-rebookmarkname":"","i-wm":"GIT","d-description":"Word in all caps may be an abbreviation.","k-color":"","f-bookmark":"BMABBRE100375","j-groupid":1},{"b-find":"UT","e-paracontent":"Figure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system;&lt;mark&gt;UT&lt;\/mark&gt;,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permission).","c-replace":[""],"ab-name":"Abbreviations","a-name":"Possible_Abbreviations","g-rebookmarkname":"","i-wm":"UT","d-description":"Word in all caps may be an abbreviation.","k-color":"","f-bookmark":"BMABBRE100376","j-groupid":1},{"b-find":"CD","e-paracontent":"Figure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No.:&lt;mark&gt;CD&lt;\/mark&gt;014715. Copyright of John Wiley &amp; Sons, Ltd., with permission).","c-replace":[""],"ab-name":"Abbreviations","a-name":"Possible_Abbreviations","g-rebookmarkname":"","i-wm":"CD","d-description":"Word in all caps may be an abbreviation.","k-color":"","f-bookmark":"BMABBRE100377","j-groupid":1},{"b-find":"CNS","e-paracontent":"Figure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anomalies.&lt;mark&gt;CNS&lt;\/mark&gt;,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permission).","c-replace":[""],"ab-name":"Abbreviations","a-name":"Possible_Abbreviations","g-rebookmarkname":"","i-wm":"CNS","d-description":"Word in all caps may be an abbreviation.","k-color":"","f-bookmark":"BMABBRE100394","j-groupid":1},{"b-find":"GIT","e-paracontent":"Figure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wall;&lt;mark&gt;GIT&lt;\/mark&gt;,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permission).","c-replace":[""],"ab-name":"Abbreviations","a-name":"Possible_Abbreviations","g-rebookmarkname":"","i-wm":"GIT","d-description":"Word in all caps may be an abbreviation.","k-color":"","f-bookmark":"BMABBRE100395","j-groupid":1},{"b-find":"UT","e-paracontent":"Figure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system;&lt;mark&gt;UT&lt;\/mark&gt;,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permission).","c-replace":[""],"ab-name":"Abbreviations","a-name":"Possible_Abbreviations","g-rebookmarkname":"","i-wm":"UT","d-description":"Word in all caps may be an abbreviation.","k-color":"","f-bookmark":"BMABBRE100396","j-groupid":1},{"b-find":"CD","e-paracontent":"Figure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No.:&lt;mark&gt;CD&lt;\/mark&gt;014715. Copyright of John Wiley &amp; Sons, Ltd., with permission).","c-replace":[""],"ab-name":"Abbreviations","a-name":"Possible_Abbreviations","g-rebookmarkname":"","i-wm":"CD","d-description":"Word in all caps may be an abbreviation.","k-color":"","f-bookmark":"BMABBRE100397","j-groupid":1},{"b-find":"CNS","e-paracontent":"Figure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intervals.&lt;mark&gt;CNS&lt;\/mark&gt;,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permission).","c-replace":[""],"ab-name":"Abbreviations","a-name":"Possible_Abbreviations","g-rebookmarkname":"","i-wm":"CNS","d-description":"Word in all caps may be an abbreviation.","k-color":"","f-bookmark":"BMABBRE100414","j-groupid":1},{"b-find":"GIT","e-paracontent":"Figure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wall;&lt;mark&gt;GIT&lt;\/mark&gt;,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permission).","c-replace":[""],"ab-name":"Abbreviations","a-name":"Possible_Abbreviations","g-rebookmarkname":"","i-wm":"GIT","d-description":"Word in all caps may be an abbreviation.","k-color":"","f-bookmark":"BMABBRE100415","j-groupid":1},{"b-find":"UT","e-paracontent":"Figure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system;&lt;mark&gt;UT&lt;\/mark&gt;,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permission).","c-replace":[""],"ab-name":"Abbreviations","a-name":"Possible_Abbreviations","g-rebookmarkname":"","i-wm":"UT","d-description":"Word in all caps may be an abbreviation.","k-color":"","f-bookmark":"BMABBRE100416","j-groupid":1},{"b-find":"CD","e-paracontent":"Figure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No.:&lt;mark&gt;CD&lt;\/mark&gt;014715. Copyright of John Wiley &amp; Sons, Ltd., with permission).","c-replace":[""],"ab-name":"Abbreviations","a-name":"Possible_Abbreviations","g-rebookmarkname":"","i-wm":"CD","d-description":"Word in all caps may be an abbreviation.","k-color":"","f-bookmark":"BMABBRE100417","j-groupid":1},{"b-find":"Nuchal translucency","e-paracontent":"&lt;mark&gt;Nuchal translucency&lt;\/mark&gt;, nasal bone, midbrain and brain stem","c-replace":["nuchal translucency (NT)","NT"],"ab-name":"Abbreviations","a-name":"Abbreviation_Defined_Twice_or_More","g-rebookmarkname":"","i-wm":"Nuchal translucency","d-description":"An abbreviation is defined more than once. The definition may also be inconsistent.","k-color":"#a24c29","f-bookmark":"BMABBRE100438","j-groupid":2},{"b-find":"Nuchal translucency","e-paracontent":"&lt;mark&gt;Nuchal translucency&lt;\/mark&gt; measurement in this section","c-replace":["nuchal translucency (NT)","NT"],"ab-name":"Abbreviations","a-name":"Abbreviation_Defined_Twice_or_More","g-rebookmarkname":"","i-wm":"Nuchal translucency","d-description":"An abbreviation is defined more than once. The definition may also be inconsistent.","k-color":"#a24c29","f-bookmark":"BMABBRE100458","j-groupid":2},{"b-find":"NT","e-paracontent":"Increased&lt;mark&gt;NT&lt;\/mark&gt;","c-replace":["nuchal translucency (NT)","NT"],"ab-name":"Abbreviations","a-name":"Abbreviation","g-rebookmarkname":"","i-wm":"NT","d-description":"An abbreviation must appear with its expanded form first and can then only be reused.","k-color":"#a24c29","f-bookmark":"BMABBRE100489","j-groupid":2},{"b-find":"CI","e-paracontent":"Prevalence per 10,000 (95%&lt;mark&gt;CI&lt;\/mark&gt;)","c-replace":[""],"ab-name":"Abbreviations","a-name":"Possible_Abbreviations","g-rebookmarkname":"","i-wm":"CI","d-description":"Word in all caps may be an abbreviation.","k-color":"","f-bookmark":"BMABBRE100502","j-groupid":1},{"b-find":"Lower urinary tract obstruction","e-paracontent":"&lt;mark&gt;Lower urinary tract obstruction&lt;\/mark&gt;","c-replace":["lower urinary tract obstruction (LUTO)","LUTO"],"ab-name":"Abbreviations","a-name":"Abbreviation_Defined_Twice_or_More","g-rebookmarkname":"","i-wm":"Lower urinary tract obstruction","d-description":"An abbreviation is defined more than once. The definition may also be inconsistent.","k-color":"#a24c29","f-bookmark":"BMABBRE100510","j-groupid":3},{"b-find":"Lower urinary tract obstruction","e-paracontent":"&lt;mark&gt;Lower urinary tract obstruction&lt;\/mark&gt;","c-replace":["lower urinary tract obstruction (LUTO)","LUTO"],"ab-name":"Abbreviations","a-name":"Abbreviation_Defined_Twice_or_More","g-rebookmarkname":"","i-wm":"Lower urinary tract obstruction","d-description":"An abbreviation is defined more than once. The definition may also be inconsistent.","k-color":"#a24c29","f-bookmark":"BMABBRE100521","j-groupid":3}]</preedit>
</file>

<file path=customXml/item5.xml><?xml version="1.0" encoding="utf-8"?>
<styles data-stylescollection="true">
  <style AA_CCC_B_ZRange="Range" DZC_Abbreviation="Abbreviation" DZC_AbbreviationExpansion="AbbreviationExpansion" DZC_AbbreviationHead="AbbreviationHead" DZC_AbstractHeading="Abst Abstract Char" DZC_Accessed_Date="AccessedDate" DZC_Acknowledgements="Acknowledgements" DZC_AcronymHead="AcronymHead" DZC_Address="Address" DZC_Aff_Organisation="Aff_Organisation" DZC_AffiliationHead="AffiliationHead" DZC_AppendixCitation="AppendixCitation" DZC_AppendixNumber="AppendixNumber" DZC_ArabicCharacters="ArabicCharacters" DZC_ArticleTitle="bib_article" DZC_BookTitle="bib_book" DZC_BoxCitation="BoxCitation" DZC_BoxNumber="NBX-NUM" DZC_BoxPMI="BoxPMI" DZC_CJK_Characters="CJK_Characters" DZC_ChapterNumber="CN" DZC_ChapterTitle="ChapterTitle" DZC_ChapterWord="CW" DZC_CherokeeCharacters="CherokeeCharacters" DZC_Cited="Cited" DZC_CityName="CityName" DZC_CollegeName="CollegeName" DZC_Country_Name="CountryName" DZC_DOI="bib_doi" DZC_DateFormat="bib_year" DZC_DepartmentName="DepartmentName" DZC_DocumentAuthor="CAU" DZC_Edition="bib_editionno" DZC_Editor="bib_ed-fname" DZC_EgyptianCopticCharacters="EgyptianCopticCharacters" DZC_EmailAddress="EmailAddress" DZC_EquationName="EQN" DZC_Et_al="bib_etal" DZC_ExhibitCitation="ExhibitCitation" DZC_ExhibitNumber="ExhibitNumber" DZC_ExhibitPMI="ExhibitPMI" DZC_ExternalBoxCitation="ExternalBoxCitation" DZC_ExternalExhibitCitation="ExternalExhibitCitation" DZC_ExternalFigCitation="ExternalFigCitation" DZC_ExternalImageCitation="ExternalImageCitation" DZC_ExternalMultiBoxCitation="ExternalBoxCitation" DZC_ExternalMultiExhibitCitation="ExternalExhibitCitation" DZC_ExternalMultiFigureCitation="ExternalFigureCitation" DZC_ExternalMultiImageCitation="ExternalImageCitation" DZC_ExternalMultiPhotoCitation="ExternalPhotoCitation" DZC_ExternalMultiSchemeCitation="ExternalSchemeCitation" DZC_ExternalMultiStructureCitation="ExternalStructureCitation" DZC_ExternalMultiTableCitation="ExternalTableCitation" DZC_ExternalPhotoCitation="ExternalPhotoCitation" DZC_ExternalSchemeCitation="ExternalSchemeCitation" DZC_ExternalStructureCitation="ExternalStructureCitation" DZC_ExternalSupplFigureCitation="ExternalSupplementFigureCitation" DZC_ExternalSupplMultiFigureCitation="ExternalSupplementFigureCitation" DZC_ExternalSupplMultiTableCitation="ExternalSupplementTableCitation" DZC_ExternalSupplTableCitation="ExternalSupplementTableCitation" DZC_ExternalTableCitation="ExternalTableCitation" DZC_FB_ForewordHeading="ForewordHeading" DZC_FB_Publisher="Publisher" DZC_FN="bib_fname" DZC_Fax_Format="FaxFormat" DZC_Fax_Number="FaxNumber" DZC_FigureCitation="FigureCitation" DZC_FigureNumber="FIG-NUM" DZC_FigurePMI="FigurePMI" DZC_FirstName="bib_fname" DZC_FirstPage="bib_fpage" DZC_FootnoteAnchor="FootnoteAnchor" DZC_GreekCharacters="GreekCharacters" DZC_Head1="H1" DZC_Head2="H2" DZC_Head3="H3" DZC_Head4="H4" DZC_Head5="H5" DZC_Head6="H6" DZC_Head7="H7" DZC_HeadingNumber="HeadingNumber" DZC_HebrewCharacters="HebrewCharacters" DZC_Highlight="Highlight" DZC_Ibid="Ibid" DZC_Id="Id" DZC_IllustrationCitation="IllustrationCitation" DZC_IllustrationNumber="IllustrationNumber" DZC_Illustration_PMI="Illustration_PMI" DZC_ImageCitation="ImageCitation" DZC_ImageNumber="ImageNumber" DZC_ImagePMI="ImagePMI" DZC_InPress="InPress" DZC_InternetResource="InternetResource" DZC_Issue="bib_issue" DZC_Journalname="bib_journal" DZC_KeyTermHead="KT1" DZC_LN="bib_surname" DZC_LastName="bib_surname" DZC_LastPage="bib_lpage" DZC_LearnObjHeading="LearnObjHeading" DZC_Location="bib_location" DZC_LongDash="LongDash" DZC_MN="bib_fname" DZC_ManualList="ManualList" DZC_MapCitation="MapCitation" DZC_MapNumber="MapNumber" DZC_MapPMI="MapPMI" DZC_Math="Math" DZC_MathB="MathBold" DZC_MathBI="MathBoldItalic" DZC_MathBISub="MathBoldItalicSubscript" DZC_MathBISup="MathBoldItalicSuperscript" DZC_MathBSub="MathBoldSubscript" DZC_MathBSup="MathBoldSupscript" DZC_MathI="MathItalic" DZC_MathISub="MathItalicSubscript" DZC_MathISup="MathItalicSuperscript" DZC_MathSub="MathSubscript" DZC_MathSup="MathSupscript" DZC_MiddleName="bib_surname" DZC_MovieCitation="MovieCitation" DZC_MovieNumber="MovieNumber" DZC_MoviePMI="MoviePMI" DZC_MultiAppendixCitation="AppendixCitation" DZC_MultiBoxCitation="BoxCitation" DZC_MultiExhibitCitation="ExhibitCitation" DZC_MultiFigureCitation="FigureCitation" DZC_MultiIllustrationCitation="IllustrationCitation" DZC_MultiImageCitation="ImageCitation" DZC_MultiMapCitation="MapCitation" DZC_MultiMovieCitation="MovieCitation" DZC_MultiPhotoCitation="PhotoCitation" DZC_MultiSchemeCitation="SchemeCitation" DZC_MultiStructureCitation="StructureCitation" DZC_MultiTableCitation="TableCitation" DZC_Organisation="bib_organization" DZC_OthersTitle="bib_title" DZC_ParaFl="ParaFl" DZC_PartNumber="PN" DZC_PartWord="PW" DZC_PhoneNumber="PhoneNumber" DZC_PhotoCitation="PhotoCitation" DZC_PhotoNumber="PhotoNumber" DZC_PhotoPMI="PhotoPMI" DZC_Publisher="bib_publisher" DZC_QuestionNumber="QuestionNumber" DZC_RName="RName" DZC_Retraction="Retraction" DZC_Retrieved_Date="Retrieved_Date" DZC_RunningHead="RunningHead" DZC_SchemeCitation="SchemeCitation" DZC_SchemeNumber="SchemeNumber" DZC_SchemePMI="SchemePMI" DZC_SectionNumber="SN" DZC_SectionWord="PN" DZC_ShortTitleHead="ShortTitleHead" DZC_StructureCitation="StructureCitation" DZC_StructureNumber="StructureNumber" DZC_StructurePMI="StructurePMI" DZC_Suppl="Supplement" DZC_SupplBoxCitation="SupplementBoxCitation" DZC_SupplBoxNumber="SupplementBoxNumber" DZC_SupplExhibitCitation="SupplementExhibitCitation" DZC_SupplExhibitNumber="SupplementExhibitNumber" DZC_SupplFigureCitation="SupplementFigureCitation" DZC_SupplFigureNumber="SupplementFigureNumber" DZC_SupplImageCitation="SupplementImageCitation" DZC_SupplImageNumber="SupplementImageNumber" DZC_SupplMovieCitation="SupplementMovieCitation" DZC_SupplMovieNumber="SupplementMovieNumber" DZC_SupplMultiBoxCitation="SupplementBoxCitation" DZC_SupplMultiExhibitCitation="SupplementExhibitCitation" DZC_SupplMultiFigureCitation="SupplementFigureCitation" DZC_SupplMultiImageCitation="SupplementImageCitation" DZC_SupplMultiMovieCitation="SupplementMovieCitation" DZC_SupplMultiPhotoCitation="SupplementPhotoCitation" DZC_SupplMultiSchemeCitation="SupplementSchemeCitation" DZC_SupplMultiStructureCitation="SupplementStructureCitation" DZC_SupplMultiTableCitation="SupplementTableCitation" DZC_SupplPhotoCitation="SupplementPhotoCitation" DZC_SupplPhotoNumber="SupplementPhotoNumber" DZC_SupplSchemeCitation="SupplementSchemeCitation" DZC_SupplSchemeNumber="SupplementSchemeNumber" DZC_SupplStructureCitation="SupplementStructureCitation" DZC_SupplStructureNumber="SupplementStructureNumber" DZC_SupplTableCitation="SupplementTableCitation" DZC_SupplTableNumber="SupplementTableNumber" DZC_Symbol="Symbol" DZC_SymbolB="SymbolBold" DZC_SymbolBI="SymbolBoldItalic" DZC_SymbolBISub="SymbolBoldItalicSubscript" DZC_SymbolBISup="SymbolBoldItalicSupscript" DZC_SymbolBSub="SymbolBoldSubscript" DZC_SymbolBSup="SymbolBoldSupscript" DZC_SymbolI="SymbolItalic" DZC_SymbolISub="SymbolItalicSubscript" DZC_SymbolISup="SymbolItalicSupscript" DZC_SymbolSub="SymbolSubscript" DZC_SymbolSup="SymbolSupscript" DZC_TableCitation="TableCitation" DZC_TableNumber="TN" DZC_TablePMI="TablePMI" DZC_Tag="Tag" DZC_Telephone_Number="TelephoneNumber" DZC_Time="Time" DZC_TitleHead="TitleHead" DZC_URL="bib_url" DZC_UnFigurePMI="UnFigurePMI" DZC_UnfigCaption="UnfigCaption" DZC_UnitNumber="UN" DZC_UnitWord="UnitWord" DZC_UniversityName="UniversityName" DZC_Untag="bib_issue" DZC_Updated="Updated" DZC_Volume="bib_volume" DZC_WebAddress="WebAddress" DZC_Website="URL" DZC_allcaps="allcaps" DZC_bold="bold" DZC_boldHLC="bold" DZC_boldallcaps="bold" DZC_bolditalicHLC="boldItalics" DZC_bolditalics="bolditalics" DZC_bolditalicunderlineHLC="boldItalics" DZC_boldsmallcaps="BoldSmallcaps" DZC_boldstrikethrough="BoldStrikethrough" DZC_boldsubscript="subscript" DZC_boldsuperscript="superscript" DZC_cite_bib="cite_bib" DZC_italic="italic" DZC_italicHLC="ItalicHLC" DZC_italicallcaps="ItalicAllCaps" DZC_italicsmallcaps="ItalicSmallcaps" DZC_italicstrikethrough="ItalicStrikethrough" DZC_italicsubscript="ItalicSubscript" DZC_italicsuperscript="ItalicSuperscript" DZC_italicunderlineHLC="ItalicUnderlineHLC" DZC_singleunderline="underline" DZC_smallcaps="SmallCaps" DZC_strikethrough="Strikethrough" DZC_sub="subscript" DZC_sup="superscript" DZC_underlineHLC="UnderlineHLC" DZC_underlineboldHLC="UnderlineBoldHLC" DZP_Abbreviation="AbbreviationText" DZP_AbbreviationHead="ABBR_H1" DZP_AbbreviationList="ABBR" DZP_Abstract="ABS_TXT" DZP_AbstractHeading="ABST" DZP_AbstractWordCount="AbstractWordCount" DZP_Academic="Academic" DZP_Academic_Editor="Academic_Editor" DZP_AcceptedDate="AcceptedDate" DZP_AcknowledgementContent="ACKTXT" DZP_Acknowledgements="ACK1" DZP_AcronymHead="AcronymHead" DZP_AcronymText="AcronymText" DZP_Address="Address" DZP_Affiliation="AFFIL" DZP_AffiliationHead="AffiliationHead" DZP_Answer="Answer" DZP_AnswerHead="AnswerHead" DZP_AppendixCaption="AppendixCaption" DZP_AppendixCaptions="AppendixCaptions" DZP_AppendixSource="AppendixSource" DZP_ArticleType="ArticleType" DZP_AuthorContribution="ContributorAuthor" DZP_AuthorDeclaration="AuthorDeclaration" DZP_AuthorHeading="AU" DZP_AuthorInfo="AuthorInfo" DZP_BackMatterHeading="BackMatterHeading" DZP_BodyText_B="BodyText_B" DZP_BoxBulletList="BX1-BL-MID" DZP_BoxFootnote="BoxFootnote" DZP_BoxHeading="BX1-H1" DZP_BoxLc_AlphaList="BoxLc_AlphaList" DZP_BoxLc_RomanList="BoxLc_RomanList" DZP_BoxList="BX1-UL" DZP_BoxNumberedList="BX1-NL-MID" DZP_BoxSource="BoxSource" DZP_BoxSubHead="BoxSubHead" DZP_BoxText="BX1-TXT" DZP_BoxTitle="BX1-TTL" DZP_BoxTitles="BX1-TTL" DZP_BoxUc_AlphaList="BoxUc_AlphaList" DZP_BoxUc_RomanList="BoxUc_RomanList" DZP_BoxUnNumberedList="BoxUnNumberedList" DZP_Box_Place_Holder="Box_Place_Holder" DZP_BulletList="BL-MID" DZP_BulletPara="BLTXT" DZP_Bullet_SubList2="BL2-MID" DZP_Bullet_SubList2_Last="BL2-MID" DZP_Bullet_SubList3="BL3-MID" DZP_Bullet_SubList3_Last="BL3_Last" DZP_Bullet_SubList4="BL4" DZP_Bullet_SubList4_Last="BL4_Last" DZP_Bullet_SubList5="BL5" DZP_Bullet_SubList5_Last="BL5_Last" DZP_Bullet_SubList6="BL6" DZP_Bullet_SubList6_Last="BL6_Last" DZP_Bullet_SubList7="BL7" DZP_Bullet_SubList7_Last="BL7_Last" DZP_Capsule="Capsule" DZP_CapsulePara="CapsulePara" DZP_Caption="Caption" DZP_Case_report="Case_report" DZP_ChapOut="COUTH1" DZP_ChapOutText="COUT-TXT" DZP_ChapterNumber="CN" DZP_ChapterTitle="CT" DZP_ChapterTitle_First="ChapterTitle_First" DZP_ChapterWord="CHAP" DZP_Chapter_Open_Para="Chapter_Open_Para" DZP_Choice="Option" DZP_CoreObjective="CoreObjective" DZP_CoreObjectiveText="OBJ-TXT" DZP_Correct_Choice="Correct_Choice" DZP_CorrespondenceInfo="CorrespondenceInfo" DZP_CorrespondenceInfoHeading="CorrespondenceInfoHeading" DZP_Count="Count" DZP_DOI="DOI" DZP_DataAvailability="DataAvailability" DZP_DedicationHeading="DedicationHeading" DZP_Disclaimer="Disclaimer" DZP_Disclosure="Disclosure" DZP_DisplayHeading="DisplayHeading" DZP_DisplayHeadings="DisplayHeadings" DZP_DocumentAuthor="CAU" DZP_EMailAddress="EMailAddress" DZP_EMailAddressHead="EMailAddressHead" DZP_EndNotesText="ENTXT" DZP_Epigraph="Epigraph" DZP_Epigraph_Author_Name="Epigraph_Author_Name" DZP_Equation="EQN-ONLY" DZP_Ethical_Approval="Ethical_Approval" DZP_ExhibitCaption="ExhibitCaption" DZP_ExhibitCaptions="ExhibitCaptions" DZP_ExhibitSource="ExhibitSource" DZP_Exhibit_Place_Holder="Exhibit_Place_Holder" DZP_ExtraTitle="ExtraTitle" DZP_ExtractText="EXT-MID" DZP_FB_Abbreviation="Abbreviation" DZP_FB_AbbreviationText="AbbreviationText" DZP_FB_AbouttheEditor="AbouttheEditor" DZP_FB_AbouttheEditorHeading="AbouttheEditorHeading" DZP_FB_Abstract="ABS_TXT" DZP_FB_AbstractPara="AbstractPara" DZP_FB_AcknowledgementContent="AcknowledgementContent" DZP_FB_Advisory_Board_Heading="Advisory_Board_Heading" DZP_FB_Advisory_Board_Members="Advisory_Board_Members" DZP_FB_Affiliation="Affiliation" DZP_FB_AppendixPara="APX-TXT" DZP_FB_AppendixParaFL="APX-TXT-FLUSH" DZP_FB_AppendixSubHead="APXST" DZP_FB_AppendixTitle="APXT" DZP_FB_AuthorDetails="AuthorDetails" DZP_FB_Book_Author="TTLPG-AU" DZP_FB_Book_Editor="TTLPG-ED" DZP_FB_Book_Title="TTLPG-TTL" DZP_FB_CaseStudyPara="CaseStudyPara" DZP_FB_CaseStudyTitle="CaseStudyTitle" DZP_FB_City="City" DZP_FB_ConclusionPara="ConclusionPara" DZP_FB_ContributorsPara="ContributorsPara" DZP_FB_Copy_Right="CPY" DZP_FB_Copy_Right_First="CPY" DZP_FB_DedicationPara="DED" DZP_FB_DocumentAuthor="DocumentAuthor" DZP_FB_Equation="EQN-ONLY" DZP_FB_ForewordPara="ForewordPara" DZP_FB_GlossaryTerm="GLDEF" DZP_FB_Half_Title="Half_Title" DZP_FB_ISBN="ISBN" DZP_FB_Imprint="Imprint" DZP_FB_IndexAlpha="IDX-ALPHA" DZP_FB_IndexEntry="IDX-TXT" DZP_FB_IndexEntry_First="FB_IndexEntry_First" DZP_FB_IndexHeading="IDX" DZP_FB_IndexSubEntry1="IndexSubEntry1" DZP_FB_IndexSubEntry2="IndexSubEntry2" DZP_FB_IndexSubEntry3="IndexSubEntry3" DZP_FB_IndexSubEntry4="IndexSubEntry4" DZP_FB_IndexSubEntry5="IndexSubEntry5" DZP_FB_IndexSubEntry6="IndexSubEntry6" DZP_FB_IndexSubEntry7="IndexSubEntry7" DZP_FB_IntroductionPara="IntroductionPara" DZP_FB_KeyTermHead="KT1" DZP_FB_KeyTerms="KT-TXT" DZP_FB_ListofBoxCaption="ListofBoxCaption" DZP_FB_ListofFigureCaption="ListofFigureCaption" DZP_FB_ListofTableCaption="ListofTableCaption" DZP_FB_NotationPara="NotationPara" DZP_FB_Note="Note" DZP_FB_PrefacePara="PrefacePara" DZP_FB_Series_Editor_Heading="Series_Editor_Heading" DZP_FB_Series_Editor_Name="Series_Editor_Name" DZP_FB_Series_Para="Series_Para" DZP_FB_Series_Title="Series_Title" DZP_FB_Series_Title_Info="Series_Title_Info" DZP_FB_Series_Titles_Heading="Series_Titles_Heading" DZP_FB_TransliterationPara="TransliterationPara" DZP_FE_01_NAME="BX1-TYPE" DZP_FigureLegend="FIG-LEG" DZP_FigureLegends="FIG-LEG" DZP_FigureSource="FigureSource" DZP_Figure_Place_Holder="Figure_Place_Holder" DZP_FirstAuthor="FirstAuthor" DZP_FirstBulletList="BL-FIRST" DZP_FirstLc_AlphaList="LL-FIRST" DZP_FirstLc_RomanList="OL-FIRST" DZP_FirstList="List_first" DZP_FirstNumberedList="NL-FIRST" DZP_FirstUc_AlphaList="LL-FIRST" DZP_FirstUc_RomanList="OL-FIRST" DZP_FirstUnNumberedList="UL" DZP_FootNotesText="FNTXT" DZP_Footnote="FN" DZP_FrontMatterHeading="FrontMatterHeading" DZP_Funding="Funding" DZP_GlossaryTerm="GLDEF" DZP_GraphicalAbstract="GraphicalAbstract" DZP_Head1="H1" DZP_Head2="H2" DZP_Head3="H3" DZP_Head4="H4" DZP_Head5="H5" DZP_Head6="H6" DZP_Head7="H7" DZP_HeaderText="HeaderText" DZP_Heading_L="Heading_L" DZP_Highlight="Highlight" DZP_HighlightText="HighlightText" DZP_HomeWorkAssignment="HomeWorkAssignment" DZP_HomeWorkAssignmentList="HomeWorkAssignmentList" DZP_HomeWorkAssignmentText="HomeWorkAssignmentText" DZP_IllustrationLegend="IllustrationLegend" DZP_IllustrationSource="IllustrationSource" DZP_Illustration_Place_Holder="Illustration_Place_Holder" DZP_Image="Image" DZP_ImageCaption="ImageCaption" DZP_ImageCaptions="ImageCaptions" DZP_ImageSource="ImageSource" DZP_Image_Place_Holder="Image_Place_Holder" DZP_Instruction="Instruction" DZP_IntroQuote="COQ" DZP_IntroQuoteName="COQA" DZP_JournalName="JournalName" DZP_KeyConcepts="KeyConcepts" DZP_KeyConceptsHeading="KeyConceptsHeading" DZP_KeyTermHead="KT1" DZP_KeyTerms="KT-TXT" DZP_Keypoints="KP" DZP_LastBulletList="BL-LAST" DZP_LastLc_AlphaList="LL-LAST" DZP_LastLc_RomanList="OL-LAST" DZP_LastList="lastList" DZP_LastNumberedList="NL-LAST" DZP_LastUc_AlphaList="LL-LAST" DZP_LastUc_RomanList="OL-LAST" DZP_LastUnNumberedList="UL" DZP_Lc_AlphaList="LL-MID" DZP_Lc_Alpha_SubList2="LL-MID" DZP_Lc_Alpha_SubList2_Last="LL2_Last" DZP_Lc_Alpha_SubList3="LL3" DZP_Lc_Alpha_SubList3_Last="LL3_Last" DZP_Lc_Alpha_SubList4="LL4" DZP_Lc_Alpha_SubList4_Last="LL4_Last" DZP_Lc_Alpha_SubList5="LL5" DZP_Lc_Alpha_SubList5_Last="LL5_Last" DZP_Lc_Alpha_SubList6="LL6" DZP_Lc_Alpha_SubList6_Last="LL6_Last" DZP_Lc_Alpha_SubList7="LL7" DZP_Lc_Alpha_SubList7_Last="LL7_Last" DZP_Lc_RomanList="OL-MID" DZP_Lc_Roman_SubList2="OL2-MID" DZP_Lc_Roman_SubList2_Last="OL2_Last" DZP_Lc_Roman_SubList3="OL3-MID" DZP_Lc_Roman_SubList3_Last="OL3_Last" DZP_Lc_Roman_SubList4="OL4" DZP_Lc_Roman_SubList4_Last="OL4_Last" DZP_Lc_Roman_SubList5="OL5" DZP_Lc_Roman_SubList5_Last="OL5_Last" DZP_Lc_Roman_SubList6="OL6" DZP_Lc_Roman_SubList6_Last="OL6_Last" DZP_Lc_Roman_SubList7="OL7" DZP_Lc_Roman_SubList7_Last="OL7_Last" DZP_LearnObjHeading="OBJ1" DZP_LearnObjList="OBJ" DZP_LearnObjStatement="OBJ-TXT" DZP_List="List" DZP_ListHead="L1" DZP_Location="Location" DZP_MSReceivedDate="MSReceivedDate" DZP_ManyBoxTitle="BoxTitle" DZP_ManyExhibitCaption="ExhibitCaption" DZP_ManyFigureCaption="FigureCaption" DZP_ManyFigureLegend="FigureCaption" DZP_ManyIllustrationCaption="IllustrationCaption" DZP_ManyIllustrationLegend="IllustrationCaption" DZP_ManyImageCaption="ImageCaption" DZP_ManyMapCaption="MapCaption" DZP_ManyMapLegend="MapCaption" DZP_ManyMovieLegend="MovieLegend" DZP_ManyPhotoCaption="PhotoCaption" DZP_ManySchemeLegend="SchemeLegend" DZP_ManyStructureLegend="StructureLegend" DZP_ManySupplBoxTitle="SupplementBoxTitle" DZP_ManySupplFigureLegend="SupplementFigureLegend" DZP_ManySupplMovieLegend="SupplementMovieLegend" DZP_ManySupplTableCaption="SupplementTableCaption" DZP_ManyTableCaption="TableCaption" DZP_MapLegend="MapLegend" DZP_MapSource="MapSource" DZP_Map_Place_Holder="Map_Place_Holder" DZP_MovieLegend="MovieLegend" DZP_MovieSource="MovieSource" DZP_Movie_Place_Holder="Movie_Place_Holder" DZP_Note="Note" DZP_NotesHeading="NotesHeading" DZP_NumberSubList2="NL2-MID" DZP_NumberSubList2_Last="NL2_Last" DZP_NumberSubList3="NL3-MID" DZP_NumberSubList3_Last="NL3_Last" DZP_NumberSubList4="NL4-MID" DZP_NumberSubList4_Last="NL4_Last" DZP_NumberSubList5="NL5" DZP_NumberSubList5_Last="NL5_Last" DZP_NumberSubList6="NL6" DZP_NumberSubList6_Last="NL6_Last" DZP_NumberSubList7="NL7" DZP_NumberSubList7_Last="NL7_Last" DZP_NumberedList="NL-MID" DZP_ParaFL="TXT-FLUSH" DZP_ParaFirstLineInd="TXT" DZP_PartNumber="PN" DZP_PartTitle="PT" DZP_PartWord="PART" DZP_PhoneNumber="PhoneNumber" DZP_PhotoCaption="PhotoCaption" DZP_PhotoCaptions="PhotoCaptions" DZP_PhotoSource="PhotoSource" DZP_PhotoTitle="PhotoTitle" DZP_Photo_Place_Holder="Photo_Place_Holder" DZP_Poem="Poem" DZP_PreviewReviewHeader="PreviewReview-Header" DZP_PreviewReview_UL="PreviewReview-UL" DZP_Question="Q" DZP_QuestionNumber="QuestionNumber" DZP_RName="RName" DZP_RName_First="RName_First" DZP_Reference_Alphabetical="REF-U" DZP_Reference_Numbered="REF-N" DZP_ReferencesHeading1="REFH1" DZP_Review_Instruction="RI" DZP_Review_QuestionsH1="RQ-H1" DZP_Review_QuestionsH2="RQ-H2" DZP_RevisedDate="RevisedDate" DZP_RunningHead="RunningHead" DZP_RunningHeadText="RunningHeadText" DZP_SchemeLegend="SchemeLegend" DZP_SchemeLegends="SchemeLegends" DZP_SchemeSource="SchemeSource" DZP_Scheme_Place_Holder="Scheme_Place_Holder" DZP_SectionNumber="SN" DZP_SectionTitle="ST" DZP_SectionToc="SectionToc" DZP_SectionWord="SECTION" DZP_SeriesHeading="SeriesHeading" DZP_SeriesHeadings="SeriesHeadings" DZP_ShortTitle="ShortTitle" DZP_ShortTitleHead="ShortTitleHead" DZP_Source="S" DZP_StructureLegend="StructureLegend" DZP_StructureLegends="StructureLegends" DZP_StructureSource="StructureSource" DZP_Structure_Place_Holder="Structure_Place_Holder" DZP_StudyPresentation="StudyPresentation" DZP_StudyPresentationHead="StudyPresentationHead" DZP_SubTitle="CST" DZP_Submitted="Submitted" DZP_SubmittedDate="SubmittedDate" DZP_Summary="Summary" DZP_Summarytxt="Summarytxt" DZP_SupplBoxCaption="SupplementBoxCaption" DZP_SupplBoxSource="SupplementBoxSource" DZP_SupplBoxTitle="SupplementBoxCaption" DZP_SupplExhibitCaption="SupplementExhibitCaption" DZP_SupplFigureLegend="SupplementFigureLegend" DZP_SupplFigureSource="SupplementFigureSource" DZP_SupplImageCaption="SupplementImageCaption" DZP_SupplMovieLegend="SupplementMovieLegend" DZP_SupplMovieSource="SupplementMovieSource" DZP_SupplPhotoCaption="SupplementPhotoCaption" DZP_SupplSchemeCaption="SupplementSchemeCaption" DZP_SupplStructureCaption="SupplementStructureCaption" DZP_SupplTableCaption="SupplementTableCaption" DZP_SupplTableSource="SupplementTableSource" DZP_SupplementaryLegends="SupplementaryLegends" DZP_SupportInfo="SupportInfo" DZP_SupportInfoHead="SupportInfoHead" DZP_TOC_BackMatter="TOC_BackMatter" DZP_TOC_ChapterNumber="TOC-CN" DZP_TOC_ChapterTitle="TOC-CT" DZP_TOC_FrontMatter="TOC-FM" DZP_TOC_PartNumber="TOC_PartNumber" DZP_TOC_PartTitle="TOC_PartTitle" DZP_TOC_SectionNumber="TOC-SN" DZP_TOC_SectionTitle="TOC-ST" DZP_TOC_UnitNumber="TOC-UN" DZP_TOC_UnitTitle="TOC-UT" DZP_TableBody="T" DZP_TableBulletList="TBL-MID" DZP_TableCaption="T1" DZP_TableCaptions="TableCaptions" DZP_TableColumnHead="T2" DZP_TableFirstBulletList="TBL-FIRST" DZP_TableFirstLc_AlphaList="TLL-FIRST" DZP_TableFirstLc_RomanList="TOL-FIRST" DZP_TableFirstNumberedList="TNL-FIRST" DZP_TableFirstUc_AlphaList="TLL-FIRST" DZP_TableFirstUc_RomanList="TOL-FIRST" DZP_TableFirstUnNumberedList="TUL-FIRST" DZP_TableFootnote="TFN" DZP_TableLastBulletList="TBL-LAST" DZP_TableLastColumnHead="T2-C" DZP_TableLastLc_AlphaList="TLL-LAST" DZP_TableLastLc_RomanList="TOL-LAST" DZP_TableLastNumberedList="TNL-LAST" DZP_TableLastRow="T" DZP_TableLastUc_AlphaList="TLL-LAST" DZP_TableLastUc_RomanList="TOL-LAST" DZP_TableLastUnNumberedList="TUL-LAST" DZP_TableLc_AlphaList="TLL-MID" DZP_TableLc_RomanList="TOL-MID" DZP_TableList="TableList" DZP_TableNumberdList="TNL-MID" DZP_TableSideHead="TableSideHead" DZP_TableSource="TSN" DZP_TableUc_AlphaList="TLL-MID" DZP_TableUc_RomanList="TOL-MID" DZP_TableUnNumberedList="TableUnNumberedList" DZP_Table_Place_Holder="Table_Place_Holder" DZP_Title="Title" DZP_TitleHead="T1" DZP_TocContent="TocContent" DZP_TocHeading="TocHeading" DZP_URL="URL" DZP_Uc_AlphaList="Uc_AlphaList" DZP_Uc_Alpha_SubList2="LL2" DZP_Uc_Alpha_SubList2_Last="LL2_Last" DZP_Uc_Alpha_SubList3="LL3" DZP_Uc_Alpha_SubList3_Last="LL3_Last" DZP_Uc_Alpha_SubList4="LL4" DZP_Uc_Alpha_SubList4_Last="LL4_Last" DZP_Uc_Alpha_SubList5="LL5" DZP_Uc_Alpha_SubList5_Last="LL5_Last" DZP_Uc_Alpha_SubList6="LL6" DZP_Uc_Alpha_SubList6_Last="LL6_Last" DZP_Uc_Alpha_SubList7="LL7" DZP_Uc_Alpha_SubList7_Last="LL7_Last" DZP_Uc_RomanList="OL-MID" DZP_Uc_Roman_SubList2="Uc_Roman_SubList2" DZP_Uc_Roman_SubList2_Last="Uc_Roman_SubList2_Last" DZP_Uc_Roman_SubList3="Uc_Roman_SubList3" DZP_Uc_Roman_SubList3_Last="Uc_Roman_SubList3_Last" DZP_Uc_Roman_SubList4="Uc_Roman_SubList4" DZP_Uc_Roman_SubList4_Last="Uc_Roman_SubList4_Last" DZP_Uc_Roman_SubList5="Uc_Roman_SubList5" DZP_Uc_Roman_SubList5_Last="Uc_Roman_SubList5_Last" DZP_Uc_Roman_SubList6="Uc_Roman_SubList6" DZP_Uc_Roman_SubList6_Last="Uc_Roman_SubList6_Last" DZP_Uc_Roman_SubList7="Uc_Roman_SubList7" DZP_Uc_Roman_SubList7_Last="Uc_Roman_SubList7_Last" DZP_UnFig_Place_Holder="UnFig_Place_Holder" DZP_UnFigureCaption="UnFigureCaption" DZP_UnNumberedList="UL" DZP_UnitNumber="UN" DZP_UnitTitle="UT" DZP_UnitWord="UNIT" DZP_Vltext="Vltext" DZP_WebAddress="WebAddress" DZP_WordCount="WordCount" DZP_WordCountHead="WordCountHead"/>
</styles>
</file>

<file path=customXml/item6.xml><?xml version="1.0" encoding="utf-8"?>
<preedit xmlns="http://www.machineedit.net/AMOD/CustomXML/Inconsistencies.htm">[{"b-find":"first trimester","e-paracontent":"Historically, the role of the&lt;mark&gt;first trimester&lt;\/mark&gt;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 trimester","d-description":"Hyphenated / Open / Closed forms found.","l-hyphenWordCount":14,"f-bookmark":"BMHYPHEN100004","ab-name":"Inconsistencies","n-withOutSpaceCount":0,"m-withSpaceWordCount":34,"j-groupid":100001},{"b-find":"first 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the&lt;mark&gt;first trimester&lt;\/mark&gt;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 trimester","d-description":"Hyphenated / Open / Closed forms found.","l-hyphenWordCount":14,"f-bookmark":"BMHYPHEN100005","ab-name":"Inconsistencies","n-withOutSpaceCount":0,"m-withSpaceWordCount":34,"j-groupid":100001},{"b-find":"body stalk","e-paracontent":"Historically,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anencephaly,&lt;mark&gt;body stalk&lt;\/mark&gt;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.","c-replace":["body-stalk","body stalk"],"a-name":"ComplexWord","g-rebookmarkname":"","i-wm":"body stalk","d-description":"Hyphenated / Open / Closed forms found.","l-hyphenWordCount":3,"f-bookmark":"BMHYPHEN100006","ab-name":"Inconsistencies","n-withOutSpaceCount":0,"m-withSpaceWordCount":1,"j-groupid":100006},{"b-find":"first 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the&lt;mark&gt;first trimester&lt;\/mark&gt;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 trimester","d-description":"Hyphenated / Open / Closed forms found.","l-hyphenWordCount":14,"f-bookmark":"BMHYPHEN100007","ab-name":"Inconsistencies","n-withOutSpaceCount":0,"m-withSpaceWordCount":34,"j-groupid":100001},{"b-find":"first 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hands,&lt;mark&gt;first trimester&lt;\/mark&gt;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 trimester","d-description":"Hyphenated / Open / Closed forms found.","l-hyphenWordCount":14,"f-bookmark":"BMHYPHEN100008","ab-name":"Inconsistencies","n-withOutSpaceCount":0,"m-withSpaceWordCount":34,"j-groupid":100001},{"b-find":"first 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the&lt;mark&gt;first trimester&lt;\/mark&gt;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 trimester","d-description":"Hyphenated / Open / Closed forms found.","l-hyphenWordCount":14,"f-bookmark":"BMHYPHEN100009","ab-name":"Inconsistencies","n-withOutSpaceCount":0,"m-withSpaceWordCount":34,"j-groupid":100001},{"b-find":"first 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the&lt;mark&gt;first trimester&lt;\/mark&gt;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 trimester","d-description":"Hyphenated / Open / Closed forms found.","l-hyphenWordCount":14,"f-bookmark":"BMHYPHEN100010","ab-name":"Inconsistencies","n-withOutSpaceCount":0,"m-withSpaceWordCount":34,"j-groupid":100001},{"b-find":"second 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the&lt;mark&gt;second trimester&lt;\/mark&gt;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.","c-replace":["second-trimester","second trimester"],"a-name":"ComplexWord","g-rebookmarkname":"","i-wm":"second trimester","d-description":"Hyphenated / Open / Closed forms found.","l-hyphenWordCount":8,"f-bookmark":"BMHYPHEN100011","ab-name":"Inconsistencies","n-withOutSpaceCount":0,"m-withSpaceWordCount":9,"j-groupid":100014},{"b-find":"first 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the&lt;mark&gt;first trimester&lt;\/mark&gt;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 trimester","d-description":"Hyphenated / Open / Closed forms found.","l-hyphenWordCount":14,"f-bookmark":"BMHYPHEN100012","ab-name":"Inconsistencies","n-withOutSpaceCount":0,"m-withSpaceWordCount":34,"j-groupid":100001},{"b-find":"first-trimester","e-paracontent":"Historically, the role of the first trimester ultrasound examination was limited to the identification of one or more intrauterine pregnancy with cardiac activity, pregnancy dating, and evaluation of the uterus and adnexae.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of&lt;mark&gt;first-trimester&lt;\/mark&gt;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.","c-replace":["first-trimester","first trimester"],"a-name":"ComplexWord","g-rebookmarkname":"","i-wm":"first-trimester","d-description":"Hyphenated / Open / Closed forms found.","l-hyphenWordCount":14,"f-bookmark":"BMHYPHEN100013","ab-name":"Inconsistencies","n-withOutSpaceCount":0,"m-withSpaceWordCount":34,"j-groupid":100001},{"b-find":"first trimester","e-paracontent":"Numerous studies have been published in the last three decades on the performance of the&lt;mark&gt;first trimester&lt;\/mark&gt;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 Syngelaki and Nicolaides 1, which reported in 2011 on the detection of fetal anomalies during the 11-13 weeks\u2019 ultrasound examination in a population of 44,859 patients, after excluding 332 detected aneuploidies 1. The authors classified the type of first trimester fetal malformations into four main groups: always detectable, occasionally detectable, rarely detectable and non-detectable 1. Since the publication of this seminal study, several more recent studies and meta-analyses have been published, emphasizing the performance and limitations of the first trimester ultrasound examination. In this chapter we present the results of four large studies summarizing the current performance of the first trimester scan. ","c-replace":["first-trimester","first trimester"],"a-name":"ComplexWord","g-rebookmarkname":"","i-wm":"first trimester","d-description":"Hyphenated / Open / Closed forms found.","l-hyphenWordCount":14,"f-bookmark":"BMHYPHEN100040","ab-name":"Inconsistencies","n-withOutSpaceCount":0,"m-withSpaceWordCount":34,"j-groupid":100001},{"b-find":"first trimester","e-paracontent":"Numerous studies have been published in the last three decades on the performance of the first trimester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 Syngelaki and Nicolaides 1, which reported in 2011 on the detection of fetal anomalies during the 11-13 weeks\u2019 ultrasound examination in a population of 44,859 patients, after excluding 332 detected aneuploidies 1. The authors classified the type of&lt;mark&gt;first trimester&lt;\/mark&gt; fetal malformations into four main groups: always detectable, occasionally detectable, rarely detectable and non-detectable 1. Since the publication of this seminal study, several more recent studies and meta-analyses have been published, emphasizing the performance and limitations of the first trimester ultrasound examination. In this chapter we present the results of four large studies summarizing the current performance of the first trimester scan. ","c-replace":["first-trimester","first trimester"],"a-name":"ComplexWord","g-rebookmarkname":"","i-wm":"first trimester","d-description":"Hyphenated / Open / Closed forms found.","l-hyphenWordCount":14,"f-bookmark":"BMHYPHEN100041","ab-name":"Inconsistencies","n-withOutSpaceCount":0,"m-withSpaceWordCount":34,"j-groupid":100001},{"b-find":"meta-analyses","e-paracontent":"Numerous studies have been published in the last three decades on the performance of the first trimester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 Syngelaki and Nicolaides 1, which reported in 2011 on the detection of fetal anomalies during the 11-13 weeks\u2019 ultrasound examination in a population of 44,859 patients, after excluding 332 detected aneuploidies 1. The authors classified the type of first trimester fetal malformations into four main groups: always detectable, occasionally detectable, rarely detectable and non-detectable 1. Since the publication of this seminal study, several more recent studies and&lt;mark&gt;meta-analyses&lt;\/mark&gt; have been published, emphasizing the performance and limitations of the first trimester ultrasound examination. In this chapter we present the results of four large studies summarizing the current performance of the first trimester scan. ","c-replace":["metaanalyses","meta-analyses"],"a-name":"ComplexWord","g-rebookmarkname":"","i-wm":"meta-analyses","d-description":"Hyphenated / Open / Closed forms found.","l-hyphenWordCount":0,"f-bookmark":"BMHYPHEN100042","ab-name":"Inconsistencies","n-withOutSpaceCount":1,"m-withSpaceWordCount":0,"j-groupid":100002},{"b-find":"first trimester","e-paracontent":"Numerous studies have been published in the last three decades on the performance of the first trimester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 Syngelaki and Nicolaides 1, which reported in 2011 on the detection of fetal anomalies during the 11-13 weeks\u2019 ultrasound examination in a population of 44,859 patients, after excluding 332 detected aneuploidies 1. The authors classified the type of first trimester fetal malformations into four main groups: always detectable, occasionally detectable, rarely detectable and non-detectable 1. Since the publication of this seminal study, several more recent studies and meta-analyses have been published, emphasizing the performance and limitations of the&lt;mark&gt;first trimester&lt;\/mark&gt; ultrasound examination. In this chapter we present the results of four large studies summarizing the current performance of the first trimester scan. ","c-replace":["first-trimester","first trimester"],"a-name":"ComplexWord","g-rebookmarkname":"","i-wm":"first trimester","d-description":"Hyphenated / Open / Closed forms found.","l-hyphenWordCount":14,"f-bookmark":"BMHYPHEN100043","ab-name":"Inconsistencies","n-withOutSpaceCount":0,"m-withSpaceWordCount":34,"j-groupid":100001},{"b-find":"first trimester","e-paracontent":"Numerous studies have been published in the last three decades on the performance of the first trimester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 Syngelaki and Nicolaides 1, which reported in 2011 on the detection of fetal anomalies during the 11-13 weeks\u2019 ultrasound examination in a population of 44,859 patients, after excluding 332 detected aneuploidies 1. The authors classified the type of first trimester fetal malformations into four main groups: always detectable, occasionally detectable, rarely detectable and non-detectable 1. Since the publication of this seminal study, several more recent studies and meta-analyses have been published, emphasizing the performance and limitations of the first trimester ultrasound examination. In this chapter we present the results of four large studies summarizing the current performance of the&lt;mark&gt;first trimester&lt;\/mark&gt; scan. ","c-replace":["first-trimester","first trimester"],"a-name":"ComplexWord","g-rebookmarkname":"","i-wm":"first trimester","d-description":"Hyphenated / Open / Closed forms found.","l-hyphenWordCount":14,"f-bookmark":"BMHYPHEN100044","ab-name":"Inconsistencies","n-withOutSpaceCount":0,"m-withSpaceWordCount":34,"j-groupid":100001},{"b-find":"first trimester","e-paracontent":"The paper entitled \u201cDiagnosis of fetal non-chromosomal abnormalities on routine ultrasound examination at 11\u201313 weeks\u2019 gestation\u201c published by Syngelaki et al in 2019 15 is a large study on the&lt;mark&gt;first trimester&lt;\/mark&gt;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15.","c-replace":["first-trimester","first trimester"],"a-name":"ComplexWord","g-rebookmarkname":"","i-wm":"first trimester","d-description":"Hyphenated / Open / Closed forms found.","l-hyphenWordCount":14,"f-bookmark":"BMHYPHEN100056","ab-name":"Inconsistencies","n-withOutSpaceCount":0,"m-withSpaceWordCount":34,"j-groupid":100001},{"b-find":"First-trimester","e-paracontent":"The paper entitled \u201cDiagnosis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15.&lt;mark&gt;First-trimester&lt;\/mark&gt;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15.","c-replace":["First-trimester","First trimester"],"a-name":"ComplexWord","g-rebookmarkname":"","i-wm":"First-trimester","d-description":"Hyphenated / Open / Closed forms found.","l-hyphenWordCount":1,"f-bookmark":"BMHYPHEN100057","ab-name":"Inconsistencies","n-withOutSpaceCount":0,"m-withSpaceWordCount":1,"j-groupid":100003},{"b-find":"First trimester","e-paracontent":"The paper entitled \u201cDiagnosis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minutes.&lt;mark&gt;First trimester&lt;\/mark&gt;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15.","c-replace":["First-trimester","First trimester"],"a-name":"ComplexWord","g-rebookmarkname":"","i-wm":"First trimester","d-description":"Hyphenated / Open / Closed forms found.","l-hyphenWordCount":1,"f-bookmark":"BMHYPHEN100058","ab-name":"Inconsistencies","n-withOutSpaceCount":0,"m-withSpaceWordCount":1,"j-groupid":100003},{"b-find":"follow-up","e-paracontent":"The paper entitled \u201cDiagnosis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and&lt;mark&gt;follow-up&lt;\/mark&gt;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15.","c-replace":[""],"a-name":"ComplexWord","g-rebookmarkname":"","i-wm":"follow-up","d-description":"Hyphenated / Open / Closed forms found.","l-hyphenWordCount":5,"f-bookmark":"BMHYPHEN100059","ab-name":"Inconsistencies","n-withOutSpaceCount":0,"m-withSpaceWordCount":1,"j-groupid":100004},{"b-find":"first-trimester","e-paracontent":"The paper entitled \u201cDiagnosis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the&lt;mark&gt;first-trimester&lt;\/mark&gt; scan, median fetal CRL was 63.8 mm, and median gestational age was 12.7 weeks of gestation. Only 8.5% cases were examined in the 11th week of gestation 15.","c-replace":["first-trimester","first trimester"],"a-name":"ComplexWord","g-rebookmarkname":"","i-wm":"first-trimester","d-description":"Hyphenated / Open / Closed forms found.","l-hyphenWordCount":14,"f-bookmark":"BMHYPHEN100060","ab-name":"Inconsistencies","n-withOutSpaceCount":0,"m-withSpaceWordCount":34,"j-groupid":100001},{"b-find":"first trimester","e-paracontent":"The study population comprised 1720 (1.7%) pregnancies with a non-chromosomal fetal structural anomaly. In this group, 474 (27.6%) anomalies were detected at screening in the&lt;mark&gt;first trimester&lt;\/mark&gt;,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book.","c-replace":["first-trimester","first trimester"],"a-name":"ComplexWord","g-rebookmarkname":"","i-wm":"first trimester","d-description":"Hyphenated / Open / Closed forms found.","l-hyphenWordCount":14,"f-bookmark":"BMHYPHEN100081","ab-name":"Inconsistencies","n-withOutSpaceCount":0,"m-withSpaceWordCount":34,"j-groupid":100001},{"b-find":"second trimester","e-paracontent":"The study population comprised 1720 (1.7%) pregnancies with a non-chromosomal fetal structural anomaly. In this group, 474 (27.6%) anomalies were detected at screening in the first trimester, 926 (53.8%) in the&lt;mark&gt;second trimester&lt;\/mark&gt;,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book.","c-replace":["second-trimester","second trimester"],"a-name":"ComplexWord","g-rebookmarkname":"","i-wm":"second trimester","d-description":"Hyphenated / Open / Closed forms found.","l-hyphenWordCount":8,"f-bookmark":"BMHYPHEN100082","ab-name":"Inconsistencies","n-withOutSpaceCount":0,"m-withSpaceWordCount":9,"j-groupid":100014},{"b-find":"first trimester","e-paracontent":"The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the&lt;mark&gt;first trimester&lt;\/mark&gt;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book.","c-replace":["first-trimester","first trimester"],"a-name":"ComplexWord","g-rebookmarkname":"","i-wm":"first trimester","d-description":"Hyphenated / Open / Closed forms found.","l-hyphenWordCount":14,"f-bookmark":"BMHYPHEN100083","ab-name":"Inconsistencies","n-withOutSpaceCount":0,"m-withSpaceWordCount":34,"j-groupid":100001},{"b-find":"body-stalk","e-paracontent":"The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and&lt;mark&gt;body-stalk&lt;\/mark&gt;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book.","c-replace":["body-stalk","body stalk"],"a-name":"ComplexWord","g-rebookmarkname":"","i-wm":"body-stalk","d-description":"Hyphenated / Open / Closed forms found.","l-hyphenWordCount":3,"f-bookmark":"BMHYPHEN100084","ab-name":"Inconsistencies","n-withOutSpaceCount":0,"m-withSpaceWordCount":1,"j-groupid":100006},{"b-find":"first trimester","e-paracontent":"The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the&lt;mark&gt;first trimester&lt;\/mark&gt;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book.","c-replace":["first-trimester","first trimester"],"a-name":"ComplexWord","g-rebookmarkname":"","i-wm":"first trimester","d-description":"Hyphenated / Open / Closed forms found.","l-hyphenWordCount":14,"f-bookmark":"BMHYPHEN100085","ab-name":"Inconsistencies","n-withOutSpaceCount":0,"m-withSpaceWordCount":34,"j-groupid":100001},{"b-find":"follow-up","e-paracontent":"The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high&lt;mark&gt;follow-up&lt;\/mark&gt;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book.","c-replace":[""],"a-name":"ComplexWord","g-rebookmarkname":"","i-wm":"follow-up","d-description":"Hyphenated / Open / Closed forms found.","l-hyphenWordCount":5,"f-bookmark":"BMHYPHEN100086","ab-name":"Inconsistencies","n-withOutSpaceCount":0,"m-withSpaceWordCount":1,"j-groupid":100004},{"b-find":"follow-up","e-paracontent":"The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systematic&lt;mark&gt;follow-up&lt;\/mark&gt;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book.","c-replace":["follow-up","follow up"],"a-name":"ComplexWord","g-rebookmarkname":"","i-wm":"follow-up","d-description":"Hyphenated / Open / Closed forms found.","l-hyphenWordCount":5,"f-bookmark":"BMHYPHEN100087","ab-name":"Inconsistencies","n-withOutSpaceCount":0,"m-withSpaceWordCount":1,"j-groupid":100004},{"b-find":"first-trimester","e-paracontent":"In a large retrospective study published in 2021, Liao and colleagues 16 evaluated the effectiveness of a standardized anatomical protocol in routine&lt;mark&gt;first-trimester&lt;\/mark&gt;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 14 predefined standard views (Table 2.2), adapted from the mid-trimester anomaly screening approach 16. At the time of the first trimester examination, the median fetal CRL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 sonographers who performed the first trimester examination had to complete a rigorous 6-month training program. All examinations were performed transabdominally and only completed by a transvaginal examination if necessary. ","c-replace":["first-trimester","first trimester"],"a-name":"ComplexWord","g-rebookmarkname":"","i-wm":"first-trimester","d-description":"Hyphenated / Open / Closed forms found.","l-hyphenWordCount":14,"f-bookmark":"BMHYPHEN100108","ab-name":"Inconsistencies","n-withOutSpaceCount":0,"m-withSpaceWordCount":34,"j-groupid":100001},{"b-find":"first trimester","e-paracontent":"In a large retrospective study published in 2021, Liao and colleagues 16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 14 predefined standard views (Table 2.2), adapted from the mid-trimester anomaly screening approach 16. At the time of the&lt;mark&gt;first trimester&lt;\/mark&gt; examination, the median fetal CRL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 sonographers who performed the first trimester examination had to complete a rigorous 6-month training program. All examinations were performed transabdominally and only completed by a transvaginal examination if necessary. ","c-replace":["first-trimester","first trimester"],"a-name":"ComplexWord","g-rebookmarkname":"","i-wm":"first trimester","d-description":"Hyphenated / Open / Closed forms found.","l-hyphenWordCount":14,"f-bookmark":"BMHYPHEN100109","ab-name":"Inconsistencies","n-withOutSpaceCount":0,"m-withSpaceWordCount":34,"j-groupid":100001},{"b-find":"first trimester","e-paracontent":"In a large retrospective study published in 2021, Liao and colleagues 16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 14 predefined standard views (Table 2.2), adapted from the mid-trimester anomaly screening approach 16. At the time of the first trimester examination, the median fetal CRL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 sonographers who performed the&lt;mark&gt;first trimester&lt;\/mark&gt; examination had to complete a rigorous 6-month training program. All examinations were performed transabdominally and only completed by a transvaginal examination if necessary. ","c-replace":["first-trimester","first trimester"],"a-name":"ComplexWord","g-rebookmarkname":"","i-wm":"first trimester","d-description":"Hyphenated / Open / Closed forms found.","l-hyphenWordCount":14,"f-bookmark":"BMHYPHEN100110","ab-name":"Inconsistencies","n-withOutSpaceCount":0,"m-withSpaceWordCount":34,"j-groupid":100001},{"b-find":"first trimester","e-paracontent":"The study found a rate of structural anomalies of 3% (1,578 fetuses) in the cohort of which 680 were diagnosed in the&lt;mark&gt;first trimester&lt;\/mark&gt; screening examination, corresponding to a detection rate of 43.1% 16 (Table 2.3). The detection rates varied greatly depending on the organ system. Abdominal wall defects had the highest detection rate (95.6%), followed by anomalies of the nervous system (66.3%), skeletal malformations (33.8%), facial defects (30.8%) and cardiac anomalies (37.7%)16. Among the cardiac anomalies, severe defects were discovered in 57.9% of cases, while mild defects such as isolated ventricular septal defects were rarely detected (2.6%). Gastrointestinal anomalies had the lowest detection rate at only 4.1%. Strength of this study included the large sample size and rigorous implementation of a structured anatomic protocol, which resulted in higher detection rates compared to many previous studies. The authors confirmed an association between increased NT and certain severe anomalies, such as heart defects, holoprosencephaly and megacystis. However, the study also has limitations including the retrospective design and lack of consistency in postnatal confirmation of anomalies, so subtle defects may have been missed. Details on genetic abnormalities were not fully available, as many pregnancies with severe malformations were terminated without genetic testing. The authors concluded that this study supported the implementation of a standardized anatomical protocol during first trimester ultrasound (Table 2.2) to improve early detection of fetal structural anomalies 16. While it cannot replace mid-trimester anomaly scans, early screening can speed up diagnosis and allow earlier decision making and counseling, especially for severe or lethal conditions. Follow-up tests can be offered to avoid false-positive and false-negative findings. Details of individual detection rates by organ system are presented as tables in the various chapters in the second part of this book.","c-replace":["first-trimester","first trimester"],"a-name":"ComplexWord","g-rebookmarkname":"","i-wm":"first trimester","d-description":"Hyphenated / Open / Closed forms found.","l-hyphenWordCount":14,"f-bookmark":"BMHYPHEN100124","ab-name":"Inconsistencies","n-withOutSpaceCount":0,"m-withSpaceWordCount":34,"j-groupid":100001},{"b-find":"first trimester","e-paracontent":"The study found a rate of structural anomalies of 3% (1,578 fetuses) in the cohort of which 680 were diagnosed in the first trimester screening examination, corresponding to a detection rate of 43.1% 16 (Table 2.3). The detection rates varied greatly depending on the organ system. Abdominal wall defects had the highest detection rate (95.6%), followed by anomalies of the nervous system (66.3%), skeletal malformations (33.8%), facial defects (30.8%) and cardiac anomalies (37.7%)16. Among the cardiac anomalies, severe defects were discovered in 57.9% of cases, while mild defects such as isolated ventricular septal defects were rarely detected (2.6%). Gastrointestinal anomalies had the lowest detection rate at only 4.1%. Strength of this study included the large sample size and rigorous implementation of a structured anatomic protocol, which resulted in higher detection rates compared to many previous studies. The authors confirmed an association between increased NT and certain severe anomalies, such as heart defects, holoprosencephaly and megacystis. However, the study also has limitations including the retrospective design and lack of consistency in postnatal confirmation of anomalies, so subtle defects may have been missed. Details on genetic abnormalities were not fully available, as many pregnancies with severe malformations were terminated without genetic testing. The authors concluded that this study supported the implementation of a standardized anatomical protocol during&lt;mark&gt;first trimester&lt;\/mark&gt; ultrasound (Table 2.2) to improve early detection of fetal structural anomalies 16. While it cannot replace mid-trimester anomaly scans, early screening can speed up diagnosis and allow earlier decision making and counseling, especially for severe or lethal conditions. Follow-up tests can be offered to avoid false-positive and false-negative findings. Details of individual detection rates by organ system are presented as tables in the various chapters in the second part of this book.","c-replace":["first-trimester","first trimester"],"a-name":"ComplexWord","g-rebookmarkname":"","i-wm":"first trimester","d-description":"Hyphenated / Open / Closed forms found.","l-hyphenWordCount":14,"f-bookmark":"BMHYPHEN100125","ab-name":"Inconsistencies","n-withOutSpaceCount":0,"m-withSpaceWordCount":34,"j-groupid":100001},{"b-find":"false-positive","e-paracontent":"The study found a rate of structural anomalies of 3% (1,578 fetuses) in the cohort of which 680 were diagnosed in the first trimester screening examination, corresponding to a detection rate of 43.1% 16 (Table 2.3). The detection rates varied greatly depending on the organ system. Abdominal wall defects had the highest detection rate (95.6%), followed by anomalies of the nervous system (66.3%), skeletal malformations (33.8%), facial defects (30.8%) and cardiac anomalies (37.7%)16. Among the cardiac anomalies, severe defects were discovered in 57.9% of cases, while mild defects such as isolated ventricular septal defects were rarely detected (2.6%). Gastrointestinal anomalies had the lowest detection rate at only 4.1%. Strength of this study included the large sample size and rigorous implementation of a structured anatomic protocol, which resulted in higher detection rates compared to many previous studies. The authors confirmed an association between increased NT and certain severe anomalies, such as heart defects, holoprosencephaly and megacystis. However, the study also has limitations including the retrospective design and lack of consistency in postnatal confirmation of anomalies, so subtle defects may have been missed. Details on genetic abnormalities were not fully available, as many pregnancies with severe malformations were terminated without genetic testing. The authors concluded that this study supported the implementation of a standardized anatomical protocol during first trimester ultrasound (Table 2.2) to improve early detection of fetal structural anomalies 16. While it cannot replace mid-trimester anomaly scans, early screening can speed up diagnosis and allow earlier decision making and counseling, especially for severe or lethal conditions. Follow-up tests can be offered to avoid&lt;mark&gt;false-positive&lt;\/mark&gt; and false-negative findings. Details of individual detection rates by organ system are presented as tables in the various chapters in the second part of this book.","c-replace":["false-positive","false positive"],"a-name":"ComplexWord","g-rebookmarkname":"","i-wm":"false-positive","d-description":"Hyphenated / Open / Closed forms found.","l-hyphenWordCount":2,"f-bookmark":"BMHYPHEN100126","ab-name":"Inconsistencies","n-withOutSpaceCount":0,"m-withSpaceWordCount":2,"j-groupid":100010},{"b-find":"first trimester","e-paracontent":"Another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the&lt;mark&gt;first trimester&lt;\/mark&gt;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(LUTO)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group.","c-replace":["first-trimester","first trimester"],"a-name":"ComplexWord","g-rebookmarkname":"","i-wm":"first trimester","d-description":"Hyphenated / Open / Closed forms found.","l-hyphenWordCount":14,"f-bookmark":"BMHYPHEN100143","ab-name":"Inconsistencies","n-withOutSpaceCount":0,"m-withSpaceWordCount":34,"j-groupid":100001},{"b-find":"first trimester","e-paracontent":"Another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effective&lt;mark&gt;first trimester&lt;\/mark&gt;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(LUTO)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group.","c-replace":["first-trimester","first trimester"],"a-name":"ComplexWord","g-rebookmarkname":"","i-wm":"first trimester","d-description":"Hyphenated / Open / Closed forms found.","l-hyphenWordCount":14,"f-bookmark":"BMHYPHEN100144","ab-name":"Inconsistencies","n-withOutSpaceCount":0,"m-withSpaceWordCount":34,"j-groupid":100001},{"b-find":"first trimester","e-paracontent":"Another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the&lt;mark&gt;first trimester&lt;\/mark&gt;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(LUTO)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group.","c-replace":["first-trimester","first trimester"],"a-name":"ComplexWord","g-rebookmarkname":"","i-wm":"first trimester","d-description":"Hyphenated / Open / Closed forms found.","l-hyphenWordCount":14,"f-bookmark":"BMHYPHEN100145","ab-name":"Inconsistencies","n-withOutSpaceCount":0,"m-withSpaceWordCount":34,"j-groupid":100001},{"b-find":"body-stalk","e-paracontent":"Another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and&lt;mark&gt;body-stalk&lt;\/mark&gt; anomaly), conditions that are known to be almost always detected. A second group with a detection rate between 50% and 80% included lower urinary tract obstruction (LUTO)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group.","c-replace":["body-stalk","body stalk"],"a-name":"ComplexWord","g-rebookmarkname":"","i-wm":"body-stalk","d-description":"Hyphenated / Open / Closed forms found.","l-hyphenWordCount":3,"f-bookmark":"BMHYPHEN100146","ab-name":"Inconsistencies","n-withOutSpaceCount":0,"m-withSpaceWordCount":1,"j-groupid":100006},{"b-find":"false positive","e-paracontent":"This study also found that several factors influenced detection rates 17. One of the most important was the use of a standardized anatomical imaging protocol. Studies in which such protocols were used had a higher overall detection rate (67.55%) than studies in which this was not the case (44.55%). In particular, the detection of spina bifida, facial clefts and limb reduction defects \u2014 conditions traditionally considered difficult to diagnose - was significantly improved by the presence of a formal protocol17. In addition, the analysis showed a marked improvement in detection sensitivity over time in more recent studies, particularly those published after 2010, reflecting technological advances and increasing clinician experience. Interestingly, the type of ultrasound examination -whether transabdominal alone or combined with transvaginal- had no significant impact on detection rates. Most studies used a combination of both modalities, and the authors concluded that tailored approaches based on maternal and fetal factors are likely to provide the best results 17. A common&lt;mark&gt;false positive&lt;\/mark&gt; finding is the presence of a bowel-only omphalocele in euploid fetuses, that subsequently resolved, but after removing these cases from the analysis, the reported false-positive rate was very low at 0.13%. Strengths of this study include the large pooled population, the methodological approach and the focus on general obstetric populations rather than high-risk referrals 17. However, the authors also acknowledge limitations, including potential publication bias, the predominance of data from tertiary care centers, variability in sonographer experience, imaging protocols, and confirmation of follow-up, which could affect the assessment of accuracy. In summary, these results demonstrate that a first trimester ultrasound-based screening for anomalies has the potential to detect a number of common congenital anomalies at an earlier gestational age 17. The authors emphasize that a major advantage of early screening is that it allows for timely counseling, further testing and treatment planning 17.","c-replace":["false-positive","false positive"],"a-name":"ComplexWord","g-rebookmarkname":"","i-wm":"false positive","d-description":"Hyphenated / Open / Closed forms found.","l-hyphenWordCount":2,"f-bookmark":"BMHYPHEN100164","ab-name":"Inconsistencies","n-withOutSpaceCount":0,"m-withSpaceWordCount":2,"j-groupid":100010},{"b-find":"false-positive","e-paracontent":"This study also found that several factors influenced detection rates 17. One of the most important was the use of a standardized anatomical imaging protocol. Studies in which such protocols were used had a higher overall detection rate (67.55%) than studies in which this was not the case (44.55%). In particular, the detection of spina bifida, facial clefts and limb reduction defects \u2014 conditions traditionally considered difficult to diagnose - was significantly improved by the presence of a formal protocol17. In addition, the analysis showed a marked improvement in detection sensitivity over time in more recent studies, particularly those published after 2010, reflecting technological advances and increasing clinician experience. Interestingly, the type of ultrasound examination -whether transabdominal alone or combined with transvaginal- had no significant impact on detection rates. Most studies used a combination of both modalities, and the authors concluded that tailored approaches based on maternal and fetal factors are likely to provide the best results 17. A common false positive finding is the presence of a bowel-only omphalocele in euploid fetuses, that subsequently resolved, but after removing these cases from the analysis, the reported&lt;mark&gt;false-positive&lt;\/mark&gt; rate was very low at 0.13%. Strengths of this study include the large pooled population, the methodological approach and the focus on general obstetric populations rather than high-risk referrals 17. However, the authors also acknowledge limitations, including potential publication bias, the predominance of data from tertiary care centers, variability in sonographer experience, imaging protocols, and confirmation of follow-up, which could affect the assessment of accuracy. In summary, these results demonstrate that a first trimester ultrasound-based screening for anomalies has the potential to detect a number of common congenital anomalies at an earlier gestational age 17. The authors emphasize that a major advantage of early screening is that it allows for timely counseling, further testing and treatment planning 17.","c-replace":["false-positive","false positive"],"a-name":"ComplexWord","g-rebookmarkname":"","i-wm":"false-positive","d-description":"Hyphenated / Open / Closed forms found.","l-hyphenWordCount":2,"f-bookmark":"BMHYPHEN100165","ab-name":"Inconsistencies","n-withOutSpaceCount":0,"m-withSpaceWordCount":2,"j-groupid":100010},{"b-find":"follow-up","e-paracontent":"This study also found that several factors influenced detection rates 17. One of the most important was the use of a standardized anatomical imaging protocol. Studies in which such protocols were used had a higher overall detection rate (67.55%) than studies in which this was not the case (44.55%). In particular, the detection of spina bifida, facial clefts and limb reduction defects \u2014 conditions traditionally considered difficult to diagnose - was significantly improved by the presence of a formal protocol17. In addition, the analysis showed a marked improvement in detection sensitivity over time in more recent studies, particularly those published after 2010, reflecting technological advances and increasing clinician experience. Interestingly, the type of ultrasound examination -whether transabdominal alone or combined with transvaginal- had no significant impact on detection rates. Most studies used a combination of both modalities, and the authors concluded that tailored approaches based on maternal and fetal factors are likely to provide the best results 17. A common false positive finding is the presence of a bowel-only omphalocele in euploid fetuses, that subsequently resolved, but after removing these cases from the analysis, the reported false-positive rate was very low at 0.13%. Strengths of this study include the large pooled population, the methodological approach and the focus on general obstetric populations rather than high-risk referrals 17. However, the authors also acknowledge limitations, including potential publication bias, the predominance of data from tertiary care centers, variability in sonographer experience, imaging protocols, and confirmation of&lt;mark&gt;follow-up&lt;\/mark&gt;, which could affect the assessment of accuracy. In summary, these results demonstrate that a first trimester ultrasound-based screening for anomalies has the potential to detect a number of common congenital anomalies at an earlier gestational age 17. The authors emphasize that a major advantage of early screening is that it allows for timely counseling, further testing and treatment planning 17.","c-replace":["follow-up","follow up"],"a-name":"ComplexWord","g-rebookmarkname":"","i-wm":"follow-up","d-description":"Hyphenated / Open / Closed forms found.","l-hyphenWordCount":5,"f-bookmark":"BMHYPHEN100166","ab-name":"Inconsistencies","n-withOutSpaceCount":0,"m-withSpaceWordCount":1,"j-groupid":100004},{"b-find":"first trimester","e-paracontent":"This study also found that several factors influenced detection rates 17. One of the most important was the use of a standardized anatomical imaging protocol. Studies in which such protocols were used had a higher overall detection rate (67.55%) than studies in which this was not the case (44.55%). In particular, the detection of spina bifida, facial clefts and limb reduction defects \u2014 conditions traditionally considered difficult to diagnose - was significantly improved by the presence of a formal protocol17. In addition, the analysis showed a marked improvement in detection sensitivity over time in more recent studies, particularly those published after 2010, reflecting technological advances and increasing clinician experience. Interestingly, the type of ultrasound examination -whether transabdominal alone or combined with transvaginal- had no significant impact on detection rates. Most studies used a combination of both modalities, and the authors concluded that tailored approaches based on maternal and fetal factors are likely to provide the best results 17. A common false positive finding is the presence of a bowel-only omphalocele in euploid fetuses, that subsequently resolved, but after removing these cases from the analysis, the reported false-positive rate was very low at 0.13%. Strengths of this study include the large pooled population, the methodological approach and the focus on general obstetric populations rather than high-risk referrals 17. However, the authors also acknowledge limitations, including potential publication bias, the predominance of data from tertiary care centers, variability in sonographer experience, imaging protocols, and confirmation of follow-up, which could affect the assessment of accuracy. In summary, these results demonstrate that a&lt;mark&gt;first trimester&lt;\/mark&gt; ultrasound-based screening for anomalies has the potential to detect a number of common congenital anomalies at an earlier gestational age 17. The authors emphasize that a major advantage of early screening is that it allows for timely counseling, further testing and treatment planning 17.","c-replace":["first-trimester","first trimester"],"a-name":"ComplexWord","g-rebookmarkname":"","i-wm":"first trimester","d-description":"Hyphenated / Open / Closed forms found.","l-hyphenWordCount":14,"f-bookmark":"BMHYPHEN100167","ab-name":"Inconsistencies","n-withOutSpaceCount":0,"m-withSpaceWordCount":34,"j-groupid":100001},{"b-find":"second-trimester","e-paracontent":"The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single-stage&lt;mark&gt;second-trimester&lt;\/mark&gt;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","c-replace":["second-trimester","second trimester"],"a-name":"ComplexWord","g-rebookmarkname":"","i-wm":"second-trimester","d-description":"Hyphenated / Open / Closed forms found.","l-hyphenWordCount":8,"f-bookmark":"BMHYPHEN100186","ab-name":"Inconsistencies","n-withOutSpaceCount":0,"m-withSpaceWordCount":9,"j-groupid":100014},{"b-find":"first-trimester","e-paracontent":"The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a&lt;mark&gt;first-trimester&lt;\/mark&gt;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","c-replace":["first-trimester","first trimester"],"a-name":"ComplexWord","g-rebookmarkname":"","i-wm":"first-trimester","d-description":"Hyphenated / Open / Closed forms found.","l-hyphenWordCount":14,"f-bookmark":"BMHYPHEN100187","ab-name":"Inconsistencies","n-withOutSpaceCount":0,"m-withSpaceWordCount":34,"j-groupid":100001},{"b-find":"second-trimester","e-paracontent":"The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the&lt;mark&gt;second-trimester&lt;\/mark&gt;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","c-replace":["second-trimester","second trimester"],"a-name":"ComplexWord","g-rebookmarkname":"","i-wm":"second-trimester","d-description":"Hyphenated / Open / Closed forms found.","l-hyphenWordCount":8,"f-bookmark":"BMHYPHEN100188","ab-name":"Inconsistencies","n-withOutSpaceCount":0,"m-withSpaceWordCount":9,"j-groupid":100014},{"b-find":"second-trimester","e-paracontent":"The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While&lt;mark&gt;second-trimester&lt;\/mark&gt;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","c-replace":["second-trimester","second trimester"],"a-name":"ComplexWord","g-rebookmarkname":"","i-wm":"second-trimester","d-description":"Hyphenated / Open / Closed forms found.","l-hyphenWordCount":8,"f-bookmark":"BMHYPHEN100189","ab-name":"Inconsistencies","n-withOutSpaceCount":0,"m-withSpaceWordCount":9,"j-groupid":100014},{"b-find":"first-trimester","e-paracontent":"The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made&lt;mark&gt;first-trimester&lt;\/mark&gt;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","c-replace":["first-trimester","first trimester"],"a-name":"ComplexWord","g-rebookmarkname":"","i-wm":"first-trimester","d-description":"Hyphenated / Open / Closed forms found.","l-hyphenWordCount":14,"f-bookmark":"BMHYPHEN100190","ab-name":"Inconsistencies","n-withOutSpaceCount":0,"m-withSpaceWordCount":34,"j-groupid":100001},{"b-find":"second-trimester","e-paracontent":"The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single-stage&lt;mark&gt;second-trimester&lt;\/mark&gt;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","c-replace":["second-trimester","second trimester"],"a-name":"ComplexWord","g-rebookmarkname":"","i-wm":"second-trimester","d-description":"Hyphenated / Open / Closed forms found.","l-hyphenWordCount":8,"f-bookmark":"BMHYPHEN100191","ab-name":"Inconsistencies","n-withOutSpaceCount":0,"m-withSpaceWordCount":9,"j-groupid":100014},{"b-find":"first-trimester","e-paracontent":"The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the&lt;mark&gt;first-trimester&lt;\/mark&gt; scan was 37.5% for detection of structural anomalies (Fig. 2.2) and an overall specificity of 99.9%, but interestingly the two-stage screening reached a combined sensitivity of an overall 83.8% (Fig. 2.3) with a specificity of 99.9% 18. ","c-replace":["first-trimester","first trimester"],"a-name":"ComplexWord","g-rebookmarkname":"","i-wm":"first-trimester","d-description":"Hyphenated / Open / Closed forms found.","l-hyphenWordCount":14,"f-bookmark":"BMHYPHEN100192","ab-name":"Inconsistencies","n-withOutSpaceCount":0,"m-withSpaceWordCount":34,"j-groupid":100001},{"b-find":"Figure ","e-paracontent":"The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in&lt;mark&gt;Figure &lt;\/mark&gt;2.1. In the two-stage approach the overall sensitivity of the first-trimester scan was 37.5% for detection of structural anomalies (Fig. 2.2) and an overall specificity of 99.9%, but interestingly the two-stage screening reached a combined sensitivity of an overall 83.8% (Fig. 2.3) with a specificity of 99.9% 18. ","c-replace":["Figure "],"ab-name":"Inconsistencies","a-name":"Figure","g-rebookmarkname":"","i-wm":"Figure ","d-description":"Cross referencing style in this document is found to be inconsistent.","f-bookmark":"BMHYPHEN100193","j-groupid":10001},{"b-find":"Fig. ","e-paracontent":"The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&lt;mark&gt;Fig. &lt;\/mark&gt;2.2) and an overall specificity of 99.9%, but interestingly the two-stage screening reached a combined sensitivity of an overall 83.8% (Fig. 2.3) with a specificity of 99.9% 18. ","c-replace":["Figure "],"ab-name":"Inconsistencies","a-name":"Figure","g-rebookmarkname":"","i-wm":"Fig. ","d-description":"Cross referencing style in this document is found to be inconsistent.","f-bookmark":"BMHYPHEN100194","j-groupid":10001},{"b-find":"Fig. ","e-paracontent":"The authors reviewed data from 87 studies between 1997 and 2022, covering over 7 million fetuses from low-risk pregnancies, including more than 25,000 with structural anomalies 18. They assessed the accuracy of fetal ultrasound in detecting both major and minor anomalies before 14- and 24-weeks\u2019 gestation across different organ systems. Major anomalies are those with serious medical and surgical implications, while minor anomalies may cause concern but are typically less severe. The review evaluates the two current prenatal screening approaches: 1) a single-stage second-trimester scan (18-24 weeks) and 2) a two-stage approach with a first-trimester scan (11-14 weeks) followed by the second-trimester scan (18-24 weeks). While second-trimester scans are still the standard in most settings, recent advances in ultrasound technology along with clinical experience in the last decades have made first-trimester screening a reliable approach for the early detection of fetal anomalies. On the other hand, it has been shown that not all structural anomalies can be detected early in gestation, as some anomalies become apparent later in pregnancy, making early scans a complementary rather than a substitute screening policy 18. The analyzed data showed that the strategy with a single-stage second-trimester scan had an overall sensitivity of 50.5% and specificity in 99.8% in detecting fetal structural anomalies with the detection rates varying widely across categories as shown in Figure 2.1. In the two-stage approach the overall sensitivity of the first-trimester scan was 37.5% for detection of structural anomalies (Fig. 2.2) and an overall specificity of 99.9%, but interestingly the two-stage screening reached a combined sensitivity of an overall 83.8% &lt;mark&gt;Fig. &lt;\/mark&gt;2.3) with a specificity of 99.9% 18. ","c-replace":["Figure "],"ab-name":"Inconsistencies","a-name":"Figure","g-rebookmarkname":"","i-wm":"Fig. ","d-description":"Cross referencing style in this document is found to be inconsistent.","f-bookmark":"BMHYPHEN100195","j-groupid":10001},{"b-find":"second-trimester","e-paracontent":"In conclusion, the review supports continuing the use of routine&lt;mark&gt;second-trimester&lt;\/mark&gt; scans and suggests that adding a first-trimester scan can improve early detection of structural anomalies. However, this two-stage approach should be adopted carefully, with attention to potential false positives and variability in detection capability depending on the anomaly type and gestational timing. The evidence also emphasizes the need for standardized training, imaging protocols, and healthcare system infrastructure to optimize screening outcomes across different populations.","c-replace":["second-trimester","second trimester"],"a-name":"ComplexWord","g-rebookmarkname":"","i-wm":"second-trimester","d-description":"Hyphenated / Open / Closed forms found.","l-hyphenWordCount":8,"f-bookmark":"BMHYPHEN100209","ab-name":"Inconsistencies","n-withOutSpaceCount":0,"m-withSpaceWordCount":9,"j-groupid":100014},{"b-find":"first-trimester","e-paracontent":"In conclusion, the review supports continuing the use of routine second-trimester scans and suggests that adding a&lt;mark&gt;first-trimester&lt;\/mark&gt; scan can improve early detection of structural anomalies. However, this two-stage approach should be adopted carefully, with attention to potential false positives and variability in detection capability depending on the anomaly type and gestational timing. The evidence also emphasizes the need for standardized training, imaging protocols, and healthcare system infrastructure to optimize screening outcomes across different populations.","c-replace":["first-trimester","first trimester"],"a-name":"ComplexWord","g-rebookmarkname":"","i-wm":"first-trimester","d-description":"Hyphenated / Open / Closed forms found.","l-hyphenWordCount":14,"f-bookmark":"BMHYPHEN100210","ab-name":"Inconsistencies","n-withOutSpaceCount":0,"m-withSpaceWordCount":34,"j-groupid":100001},{"b-find":"first trimester","e-paracontent":"In summary, the role of&lt;mark&gt;first trimester&lt;\/mark&gt;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","c-replace":["first-trimester","first trimester"],"a-name":"ComplexWord","g-rebookmarkname":"","i-wm":"first trimester","d-description":"Hyphenated / Open / Closed forms found.","l-hyphenWordCount":14,"f-bookmark":"BMHYPHEN100214","ab-name":"Inconsistencies","n-withOutSpaceCount":0,"m-withSpaceWordCount":34,"j-groupid":100001},{"b-find":"meta-analyses","e-paracontent":"In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large&lt;mark&gt;meta-analyses&lt;\/mark&gt;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","c-replace":["metaanalyses","meta-analyses"],"a-name":"ComplexWord","g-rebookmarkname":"","i-wm":"meta-analyses","d-description":"Hyphenated / Open / Closed forms found.","l-hyphenWordCount":0,"f-bookmark":"BMHYPHEN100215","ab-name":"Inconsistencies","n-withOutSpaceCount":1,"m-withSpaceWordCount":0,"j-groupid":100002},{"b-find":"metaanalyses","e-paracontent":"In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and&lt;mark&gt;metaanalyses&lt;\/mark&gt;,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","c-replace":["metaanalyses","meta-analyses"],"a-name":"ComplexWord","g-rebookmarkname":"","i-wm":"metaanalyses","d-description":"Hyphenated / Open / Closed forms found.","l-hyphenWordCount":0,"f-bookmark":"BMHYPHEN100216","ab-name":"Inconsistencies","n-withOutSpaceCount":1,"m-withSpaceWordCount":0,"j-groupid":100002},{"b-find":"first-trimester","e-paracontent":"In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overall&lt;mark&gt;first-trimester&lt;\/mark&gt;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","c-replace":["first-trimester","first trimester"],"a-name":"ComplexWord","g-rebookmarkname":"","i-wm":"first-trimester","d-description":"Hyphenated / Open / Closed forms found.","l-hyphenWordCount":14,"f-bookmark":"BMHYPHEN100217","ab-name":"Inconsistencies","n-withOutSpaceCount":0,"m-withSpaceWordCount":34,"j-groupid":100001},{"b-find":"follow-up","e-paracontent":"In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that&lt;mark&gt;follow-up&lt;\/mark&gt;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","c-replace":["follow-up","follow up"],"a-name":"ComplexWord","g-rebookmarkname":"","i-wm":"follow-up","d-description":"Hyphenated / Open / Closed forms found.","l-hyphenWordCount":5,"f-bookmark":"BMHYPHEN100218","ab-name":"Inconsistencies","n-withOutSpaceCount":0,"m-withSpaceWordCount":1,"j-groupid":100004},{"b-find":"second 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the&lt;mark&gt;second trimester&lt;\/mark&gt;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","c-replace":["second-trimester","second trimester"],"a-name":"ComplexWord","g-rebookmarkname":"","i-wm":"second trimester","d-description":"Hyphenated / Open / Closed forms found.","l-hyphenWordCount":8,"f-bookmark":"BMHYPHEN100219","ab-name":"Inconsistencies","n-withOutSpaceCount":0,"m-withSpaceWordCount":9,"j-groupid":100014},{"b-find":"first 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while&lt;mark&gt;first trimester&lt;\/mark&gt;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","c-replace":["first-trimester","first trimester"],"a-name":"ComplexWord","g-rebookmarkname":"","i-wm":"first trimester","d-description":"Hyphenated / Open / Closed forms found.","l-hyphenWordCount":14,"f-bookmark":"BMHYPHEN100220","ab-name":"Inconsistencies","n-withOutSpaceCount":0,"m-withSpaceWordCount":34,"j-groupid":100001},{"b-find":"second 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complement&lt;mark&gt;second trimester&lt;\/mark&gt;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","c-replace":["second-trimester","second trimester"],"a-name":"ComplexWord","g-rebookmarkname":"","i-wm":"second trimester","d-description":"Hyphenated / Open / Closed forms found.","l-hyphenWordCount":8,"f-bookmark":"BMHYPHEN100221","ab-name":"Inconsistencies","n-withOutSpaceCount":0,"m-withSpaceWordCount":9,"j-groupid":100014},{"b-find":"second 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a&lt;mark&gt;second trimester&lt;\/mark&gt;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","c-replace":["second-trimester","second trimester"],"a-name":"ComplexWord","g-rebookmarkname":"","i-wm":"second trimester","d-description":"Hyphenated / Open / Closed forms found.","l-hyphenWordCount":8,"f-bookmark":"BMHYPHEN100222","ab-name":"Inconsistencies","n-withOutSpaceCount":0,"m-withSpaceWordCount":9,"j-groupid":100014},{"b-find":"first 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successful&lt;mark&gt;first trimester&lt;\/mark&gt;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","c-replace":["first-trimester","first trimester"],"a-name":"ComplexWord","g-rebookmarkname":"","i-wm":"first trimester","d-description":"Hyphenated / Open / Closed forms found.","l-hyphenWordCount":14,"f-bookmark":"BMHYPHEN100223","ab-name":"Inconsistencies","n-withOutSpaceCount":0,"m-withSpaceWordCount":34,"j-groupid":100001},{"b-find":"first-trimester","e-paracontent":"In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integrating&lt;mark&gt;first-trimester&lt;\/mark&gt;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","c-replace":["first-trimester","first trimester"],"a-name":"ComplexWord","g-rebookmarkname":"","i-wm":"first-trimester","d-description":"Hyphenated / Open / Closed forms found.","l-hyphenWordCount":14,"f-bookmark":"BMHYPHEN100224","ab-name":"Inconsistencies","n-withOutSpaceCount":0,"m-withSpaceWordCount":34,"j-groupid":100001},{"b-find":"follow up","e-paracontent":"In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and&lt;mark&gt;follow up&lt;\/mark&gt; examination. The first part of this book presents the technical aspects of sonography in early gestation and the second part reviews in details typical anomalies for each fetal organ system, as they pertain to the first trimester ultrasound examination. ","c-replace":["follow-up","follow up"],"a-name":"ComplexWord","g-rebookmarkname":"","i-wm":"follow up","d-description":"Hyphenated / Open / Closed forms found.","l-hyphenWordCount":5,"f-bookmark":"BMHYPHEN100225","ab-name":"Inconsistencies","n-withOutSpaceCount":0,"m-withSpaceWordCount":1,"j-groupid":100004},{"b-find":"first trimester","e-paracontent":"In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the&lt;mark&gt;first trimester&lt;\/mark&gt; ultrasound examination. ","c-replace":["first-trimester","first trimester"],"a-name":"ComplexWord","g-rebookmarkname":"","i-wm":"first trimester","d-description":"Hyphenated / Open / Closed forms found.","l-hyphenWordCount":14,"f-bookmark":"BMHYPHEN100226","ab-name":"Inconsistencies","n-withOutSpaceCount":0,"m-withSpaceWordCount":34,"j-groupid":100001},{"b-find":"first trimester","e-paracontent":" The performance of the fetal anatomic survey in the&lt;mark&gt;first trimester&lt;\/mark&gt; is enhanced if a systematic approach and a standardized unit protocol is employed.","c-replace":["first-trimester","first trimester"],"a-name":"ComplexWord","g-rebookmarkname":"","i-wm":"first trimester","d-description":"Hyphenated / Open / Closed forms found.","l-hyphenWordCount":14,"f-bookmark":"BMHYPHEN100234","ab-name":"Inconsistencies","n-withOutSpaceCount":0,"m-withSpaceWordCount":34,"j-groupid":100001},{"b-find":"first trimester","e-paracontent":"In Syngelaki study 15, 27.6% of all non-chromosomal fetal structural anomalies were detected in the&lt;mark&gt;first trimester&lt;\/mark&gt; screening ultrasound. ","c-replace":["first-trimester","first trimester"],"a-name":"ComplexWord","g-rebookmarkname":"","i-wm":"first trimester","d-description":"Hyphenated / Open / Closed forms found.","l-hyphenWordCount":14,"f-bookmark":"BMHYPHEN100237","ab-name":"Inconsistencies","n-withOutSpaceCount":0,"m-withSpaceWordCount":34,"j-groupid":100001},{"b-find":"first trimester","e-paracontent":" Consistently detected anomalies in the&lt;mark&gt;first trimester&lt;\/mark&gt; include acrania, alobar holoprosencephaly, encephalocele, large anterior wall defects, severe cardiac anomalies and body-stalk anomaly.","c-replace":["first-trimester","first trimester"],"a-name":"ComplexWord","g-rebookmarkname":"","i-wm":"first trimester","d-description":"Hyphenated / Open / Closed forms found.","l-hyphenWordCount":14,"f-bookmark":"BMHYPHEN100241","ab-name":"Inconsistencies","n-withOutSpaceCount":0,"m-withSpaceWordCount":34,"j-groupid":100001},{"b-find":"body-stalk","e-paracontent":" Consistently detected anomalies in the first trimester include acrania, alobar holoprosencephaly, encephalocele, large anterior wall defects, severe cardiac anomalies and&lt;mark&gt;body-stalk&lt;\/mark&gt; anomaly.","c-replace":["body-stalk","body stalk"],"a-name":"ComplexWord","g-rebookmarkname":"","i-wm":"body-stalk","d-description":"Hyphenated / Open / Closed forms found.","l-hyphenWordCount":3,"f-bookmark":"BMHYPHEN100242","ab-name":"Inconsistencies","n-withOutSpaceCount":0,"m-withSpaceWordCount":1,"j-groupid":100006},{"b-find":"first trimester","e-paracontent":" Following a&lt;mark&gt;first trimester&lt;\/mark&gt; screening ultrasound examination, detailed anatomic screening in the second and/or third trimester is still recommended as some severe anomalies escape detection in early gestation. ","c-replace":["first-trimester","first trimester"],"a-name":"ComplexWord","g-rebookmarkname":"","i-wm":"first trimester","d-description":"Hyphenated / Open / Closed forms found.","l-hyphenWordCount":14,"f-bookmark":"BMHYPHEN100244","ab-name":"Inconsistencies","n-withOutSpaceCount":0,"m-withSpaceWordCount":34,"j-groupid":100001},{"b-find":"false positive","e-paracontent":" A common&lt;mark&gt;false positive&lt;\/mark&gt; finding in the first trimester ultrasound examination is the presence of a bowel-only omphalocele, in euploid fetuses, which subsequently resolves.","c-replace":["false-positive","false positive"],"a-name":"ComplexWord","g-rebookmarkname":"","i-wm":"false positive","d-description":"Hyphenated / Open / Closed forms found.","l-hyphenWordCount":2,"f-bookmark":"BMHYPHEN100247","ab-name":"Inconsistencies","n-withOutSpaceCount":0,"m-withSpaceWordCount":2,"j-groupid":100010},{"b-find":"first trimester","e-paracontent":" A common false positive finding in the&lt;mark&gt;first trimester&lt;\/mark&gt; ultrasound examination is the presence of a bowel-only omphalocele, in euploid fetuses, which subsequently resolves.","c-replace":["first-trimester","first trimester"],"a-name":"ComplexWord","g-rebookmarkname":"","i-wm":"first trimester","d-description":"Hyphenated / Open / Closed forms found.","l-hyphenWordCount":14,"f-bookmark":"BMHYPHEN100248","ab-name":"Inconsistencies","n-withOutSpaceCount":0,"m-withSpaceWordCount":34,"j-groupid":100001},{"b-find":"second-trimester","e-paracontent":" Based on the Cochrane review 18, a strategy of a single-stage&lt;mark&gt;second-trimester&lt;\/mark&gt; scan has an overall sensitivity of 50.5% and specificity in 99.8% in detecting fetal structural anomalies, whereas a two-stage approach of first and second trimester scan has a combined sensitivity of an overall 83.8% with a specificity of 99.9%. ","c-replace":["second-trimester","second trimester"],"a-name":"ComplexWord","g-rebookmarkname":"","i-wm":"second-trimester","d-description":"Hyphenated / Open / Closed forms found.","l-hyphenWordCount":8,"f-bookmark":"BMHYPHEN100252","ab-name":"Inconsistencies","n-withOutSpaceCount":0,"m-withSpaceWordCount":9,"j-groupid":100014},{"b-find":"second trimester","e-paracontent":" Based on the Cochrane review 18, a strategy of a single-stage second-trimester scan has an overall sensitivity of 50.5% and specificity in 99.8% in detecting fetal structural anomalies, whereas a two-stage approach of first and&lt;mark&gt;second trimester&lt;\/mark&gt; scan has a combined sensitivity of an overall 83.8% with a specificity of 99.9%. ","c-replace":["second-trimester","second trimester"],"a-name":"ComplexWord","g-rebookmarkname":"","i-wm":"second trimester","d-description":"Hyphenated / Open / Closed forms found.","l-hyphenWordCount":8,"f-bookmark":"BMHYPHEN100253","ab-name":"Inconsistencies","n-withOutSpaceCount":0,"m-withSpaceWordCount":9,"j-groupid":100014},{"b-find":"second-trimester","e-paracontent":"Figure 2.1: Cochrane systematic review showing the overall (first column) and organ specific sensitivities of a single&lt;mark&gt;second-trimester&lt;\/mark&gt;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permission).","c-replace":["second-trimester","second trimester"],"a-name":"ComplexWord","g-rebookmarkname":"","i-wm":"second-trimester","d-description":"Hyphenated / Open / Closed forms found.","l-hyphenWordCount":8,"f-bookmark":"BMHYPHEN100378","ab-name":"Inconsistencies","n-withOutSpaceCount":0,"m-withSpaceWordCount":9,"j-groupid":100014},{"b-find":"second trimester","e-paracontent":"Figure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(Adapted from Buijtendijk et al.: Diagnostic accuracy of ultrasound screening for fetal structural abnormalities during the first and&lt;mark&gt;second trimester&lt;\/mark&gt; of pregnancy in low-risk and unselected populations (Review) Cochrane Database of Systematic Reviews 2024, Issue 5, Art. No.: CD014715. Copyright of John Wiley &amp; Sons, Ltd., with permission).","c-replace":["second-trimester","second trimester"],"a-name":"ComplexWord","g-rebookmarkname":"","i-wm":"second trimester","d-description":"Hyphenated / Open / Closed forms found.","l-hyphenWordCount":8,"f-bookmark":"BMHYPHEN100379","ab-name":"Inconsistencies","n-withOutSpaceCount":0,"m-withSpaceWordCount":9,"j-groupid":100014},{"b-find":"first-trimester","e-paracontent":"Figure 2.2: Cochrane systematic review showing the overall (first column) and organ specific sensitivities of a single&lt;mark&gt;first-trimester&lt;\/mark&gt;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permission).","c-replace":["first-trimester","first trimester"],"a-name":"ComplexWord","g-rebookmarkname":"","i-wm":"first-trimester","d-description":"Hyphenated / Open / Closed forms found.","l-hyphenWordCount":14,"f-bookmark":"BMHYPHEN100398","ab-name":"Inconsistencies","n-withOutSpaceCount":0,"m-withSpaceWordCount":34,"j-groupid":100001},{"b-find":"second trimester","e-paracontent":"Figure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and&lt;mark&gt;second trimester&lt;\/mark&gt; of pregnancy in low-risk and unselected populations (Review) Cochrane Database of Systematic Reviews 2024, Issue 5, Art. No.: CD014715. Copyright of John Wiley &amp; Sons, Ltd., with permission).","c-replace":["second-trimester","second trimester"],"a-name":"ComplexWord","g-rebookmarkname":"","i-wm":"second trimester","d-description":"Hyphenated / Open / Closed forms found.","l-hyphenWordCount":8,"f-bookmark":"BMHYPHEN100399","ab-name":"Inconsistencies","n-withOutSpaceCount":0,"m-withSpaceWordCount":9,"j-groupid":100014},{"b-find":"first-trimester","e-paracontent":"Figure 2.3: Cochrane systematic review showing the overall (first column) and organ specific sensitivities of a combined&lt;mark&gt;first-trimester&lt;\/mark&gt;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permission).","c-replace":["first-trimester","first trimester"],"a-name":"ComplexWord","g-rebookmarkname":"","i-wm":"first-trimester","d-description":"Hyphenated / Open / Closed forms found.","l-hyphenWordCount":14,"f-bookmark":"BMHYPHEN100418","ab-name":"Inconsistencies","n-withOutSpaceCount":0,"m-withSpaceWordCount":34,"j-groupid":100001},{"b-find":"second-trimester","e-paracontent":"Figure 2.3: Cochrane systematic review showing the overall (first column) and organ specific sensitivities of a combined first-trimester ultrasound examination before 14 weeks of gestation followed by a&lt;mark&gt;second-trimester&lt;\/mark&gt;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permission).","c-replace":["second-trimester","second trimester"],"a-name":"ComplexWord","g-rebookmarkname":"","i-wm":"second-trimester","d-description":"Hyphenated / Open / Closed forms found.","l-hyphenWordCount":8,"f-bookmark":"BMHYPHEN100419","ab-name":"Inconsistencies","n-withOutSpaceCount":0,"m-withSpaceWordCount":9,"j-groupid":100014},{"b-find":"second trimester","e-paracontent":"Figure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and&lt;mark&gt;second trimester&lt;\/mark&gt; of pregnancy in low-risk and unselected populations (Review) Cochrane Database of Systematic Reviews 2024, Issue 5, Art. No.: CD014715. Copyright of John Wiley &amp; Sons, Ltd., with permission).","c-replace":["second-trimester","second trimester"],"a-name":"ComplexWord","g-rebookmarkname":"","i-wm":"second trimester","d-description":"Hyphenated / Open / Closed forms found.","l-hyphenWordCount":8,"f-bookmark":"BMHYPHEN100420","ab-name":"Inconsistencies","n-withOutSpaceCount":0,"m-withSpaceWordCount":9,"j-groupid":100014},{"b-find":"first trimester","e-paracontent":"Table 2.1: Standardized protocol applied in the&lt;mark&gt;first trimester&lt;\/mark&gt; anomaly scan in two centers in London-United Kingdom","c-replace":["first-trimester","first trimester"],"a-name":"ComplexWord","g-rebookmarkname":"","i-wm":"first trimester","d-description":"Hyphenated / Open / Closed forms found.","l-hyphenWordCount":14,"f-bookmark":"BMHYPHEN100436","ab-name":"Inconsistencies","n-withOutSpaceCount":0,"m-withSpaceWordCount":34,"j-groupid":100001},{"b-find":"first trimester","e-paracontent":"Table 2.2: Standardized protocol including 14 standard sections, applied in the large study of the&lt;mark&gt;first trimester&lt;\/mark&gt; anomaly scan performed in one center in Shenzhen-China","c-replace":["first-trimester","first trimester"],"a-name":"ComplexWord","g-rebookmarkname":"","i-wm":"first trimester","d-description":"Hyphenated / Open / Closed forms found.","l-hyphenWordCount":14,"f-bookmark":"BMHYPHEN100453","ab-name":"Inconsistencies","n-withOutSpaceCount":0,"m-withSpaceWordCount":34,"j-groupid":100001},{"b-find":"first-trimester","e-paracontent":"Modified and adapted with permission from Liao Y, et al. Routine&lt;mark&gt;first-trimester&lt;\/mark&gt; ultrasound screening using a standardized anatomical protocol. Am J Obstet Gynecol. 2021;224:396.e1-396.e15. ","c-replace":["first-trimester","first trimester"],"a-name":"ComplexWord","g-rebookmarkname":"","i-wm":"first-trimester","d-description":"Hyphenated / Open / Closed forms found.","l-hyphenWordCount":14,"f-bookmark":"BMHYPHEN100480","ab-name":"Inconsistencies","n-withOutSpaceCount":0,"m-withSpaceWordCount":34,"j-groupid":100001},{"b-find":"first-trimester","e-paracontent":"Table 2.3: Fetal structural abnormalities diagnosed during routine&lt;mark&gt;first-trimester&lt;\/mark&gt; scans performed in one center in Shenzhen-China on 53,349 fetuses","c-replace":["first-trimester","first trimester"],"a-name":"ComplexWord","g-rebookmarkname":"","i-wm":"first-trimester","d-description":"Hyphenated / Open / Closed forms found.","l-hyphenWordCount":14,"f-bookmark":"BMHYPHEN100486","ab-name":"Inconsistencies","n-withOutSpaceCount":0,"m-withSpaceWordCount":34,"j-groupid":100001},{"b-find":"first-trimester","e-paracontent":"Modified and adapted from Liao Y, et al. Routine&lt;mark&gt;first-trimester&lt;\/mark&gt; ultrasound screening using a standardized anatomical protocol. Am J Obstet Gynecol. 2021;224:396.e1-396.e15. (Copyright from Elsevier limited with permission) ","c-replace":["first-trimester","first trimester"],"a-name":"ComplexWord","g-rebookmarkname":"","i-wm":"first-trimester","d-description":"Hyphenated / Open / Closed forms found.","l-hyphenWordCount":14,"f-bookmark":"BMHYPHEN100491","ab-name":"Inconsistencies","n-withOutSpaceCount":0,"m-withSpaceWordCount":34,"j-groupid":100001}]</preedit>
</file>

<file path=customXml/item7.xml><?xml version="1.0" encoding="utf-8"?>
<preedit xmlns="http://www.machineedit.net/AMOD/CustomXML/Spelling.htm">[{"b-find":"adnexae","e-paracontent":"Historically, the role of the first trimester ultrasound examination was limited to the identification of one or more intrauterine pregnancy with cardiac activity, pregnancy dating, and evaluation of the uterus and&lt;mark&gt;adnexae&lt;\/mark&gt;. In addition, ultrasound was used to guide invasive procedures such as chorionic villus sampling. With the introduction of nuchal translucency (NT) screening, several decades ago, and with significant improvements in ultrasound technology, the role of the first trimester ultrasound examination has evolved towards a strong emphasis on fetal anatomic screening with many fetal malformations that were traditionally detected in the second and third trimester of pregnancy are now detected in early gestation. Major fetal anomalies such as fetal hydrops, anencephaly, body stalk anomaly, large anterior abdominal wall defects, megacystis and others are now almost universally detected in the first trimester 1. In experts\u2019 hands, first trimester detailed evaluation of fetal anatomy is achievable and detection of several major fetal malformations is now possible with consistency. Advantages of the fetal anatomic survey in the first trimester include the ability to image the fetus in its entirety in one view, lack of bone ossification which obstructs view later in gestation, increased fetal mobility, which allows imaging from many different angles and the availability of high-resolution transvaginal ultrasound, which brings the ultrasound transducer in proximity to fetal organs. Challenges of the first trimester anatomic survey however include the need to combine the abdominal and transvaginal approach in some cases, the small size of fetal organs, and the lack of some sonographic markers of fetal abnormalities, that are commonly seen in the second trimester of pregnancy. In our experience, the performance of the fetal anatomic survey in the first trimester is enhanced if a systematic approach and a standardized unit protocol is employed. Noteworthy is a systematic review and meta-analysis published in 2017, which evaluated the effectiveness of first-trimester ultrasound (11-14 weeks of gestation) in detecting fetal structural anomalies and examined factors influencing its diagnostic performance 2. Karim et al.2 reviewed 30 studies published between 1991 and 2014 involving over 115,000 fetuses from low and high-risk populations. The authors found that the pooled detection rate for all anomalies in low-risk populations was 32.4%, whereas in high-risk populations, the detection rate was to 61.2%. Among the factors examined, the most significant impact on detection rate is the use of a standardized protocol across all populations. The authors of the study advocated for the development of international standardized protocols to enhance consistency and effectiveness in early prenatal screening 2 .","c-replace":["adverse","annexed","adhere","annex","Andean","Annette","adrenal","Adele","Aeneas","Alexa","annexes","Adela","anneal","adenine","abnegate","ADELE","ADEME","ADEXP","ANENA","DEXA","amoebae","AdSense","Adnan","Adélie","Alexas","apnea"],"ab-name":"Spelling","a-name":"Possible Misspelling","g-rebookmarkname":"","i-wm":"adnexae","d-description":"Possible spelling mistake found","f-bookmark":"BMSPELLING100037"},{"b-find":"Syngelaki","e-paracontent":"Numerous studies have been published in the last three decades on the performance of the first trimester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of&lt;mark&gt;Syngelaki&lt;\/mark&gt; and Nicolaides 1, which reported in 2011 on the detection of fetal anomalies during the 11-13 weeks\u2019 ultrasound examination in a population of 44,859 patients, after excluding 332 detected aneuploidies 1. The authors classified the type of first trimester fetal malformations into four main groups: always detectable, occasionally detectable, rarely detectable and non-detectable 1. Since the publication of this seminal study, several more recent studies and meta-analyses have been published, emphasizing the performance and limitations of the first trimester ultrasound examination. In this chapter we present the results of four large studies summarizing the current performance of the first trimester scan. ","c-replace":[],"ab-name":"Spelling","a-name":"Possible Misspelling","g-rebookmarkname":"","i-wm":"Syngelaki","d-description":"Possible spelling mistake found","f-bookmark":"BMSPELLING100051"},{"b-find":"Nicolaides","e-paracontent":"Numerous studies have been published in the last three decades on the performance of the first trimester anomaly scan 2\u201314, beyond screening for aneuploidies. Only few studies reported on the early gestation\u2019 detection of fetal malformations in large screening populations with ultrasound examinations performed by several examiners with various levels of expertise 1. Of particular interest is the first comprehensive study of Syngelaki and&lt;mark&gt;Nicolaides&lt;\/mark&gt; 1, which reported in 2011 on the detection of fetal anomalies during the 11-13 weeks\u2019 ultrasound examination in a population of 44,859 patients, after excluding 332 detected aneuploidies 1. The authors classified the type of first trimester fetal malformations into four main groups: always detectable, occasionally detectable, rarely detectable and non-detectable 1. Since the publication of this seminal study, several more recent studies and meta-analyses have been published, emphasizing the performance and limitations of the first trimester ultrasound examination. In this chapter we present the results of four large studies summarizing the current performance of the first trimester scan. ","c-replace":["Nicola ides"],"ab-name":"Spelling","a-name":"Possible Misspelling","g-rebookmarkname":"","i-wm":"Nicolaides","d-description":"Possible spelling mistake found","f-bookmark":"BMSPELLING100052"},{"b-find":"Syngelaki","e-paracontent":"The paper entitled \u201cDiagnosis of fetal non-chromosomal abnormalities on routine ultrasound examination at 11\u201313 weeks\u2019 gestation\u201c published by&lt;mark&gt;Syngelaki&lt;\/mark&gt;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 sonographers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15.","c-replace":[],"ab-name":"Spelling","a-name":"Possible Misspelling","g-rebookmarkname":"","i-wm":"Syngelaki","d-description":"Possible spelling mistake found","f-bookmark":"BMSPELLING100073"},{"b-find":"sonographers","e-paracontent":"The paper entitled \u201cDiagnosis of fetal non-chromosomal abnormalities on routine ultrasound examination at 11\u201313 weeks\u2019 gestation\u201c published by Syngelaki et al in 2019 15 is a large study on the first trimester detection of fetal structural anomalies, aimed to assess fetal abnormalities that can be reliably identified early in gestation, their association with a thickened nuchal translucency and the limitations of early ultrasound screening. The analysis was based on a large cohort of 100,997 singleton pregnancies with prospectively collected data from two United Kingdom centers, over nearly a decade (2009\u20132018) and after excluding 796 fetuses with aneuploidy 15. First-trimester ultrasound examinations were performed using a standardized protocol as summarized in Table 2.1 and the time allocated for the ultrasound examination of the fetus was 30 minutes. First trimester ultrasound examinations were performed by 476 physicians and&lt;mark&gt;sonographers&lt;\/mark&gt; with 6-12 months trainings and follow-up examinations were undertaken in the second and third trimester of pregnancy. Ultrasound examinations were performed transabdominally in all cases and in 2\u20133% of cases, they were complemented by a transvaginal scan 15. At the time of the first-trimester scan, median fetal CRL was 63.8 mm, and median gestational age was 12.7 weeks of gestation. Only 8.5% cases were examined in the 11th week of gestation 15.","c-replace":["stenographers","topographers","pornographers"],"ab-name":"Spelling","a-name":"Possible Misspelling","g-rebookmarkname":"","i-wm":"sonographers","d-description":"Possible spelling mistake found","f-bookmark":"BMSPELLING100075"},{"b-find":"postnatally","e-paracontent":"The study population comprised 1720 (1.7%) pregnancies with a non-chromosomal fetal structural anomaly. In this group, 474 (27.6%) anomalies were detected at screening in the first trimester, 926 (53.8%) in the second trimester, and 320 (18.6%) in the third trimester or&lt;mark&gt;postnatally&lt;\/mark&gt;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 exomphalos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book.","c-replace":["postnatal"],"ab-name":"Spelling","a-name":"Possible Misspelling","g-rebookmarkname":"","i-wm":"postnatally","d-description":"Possible spelling mistake found","f-bookmark":"BMSPELLING100105"},{"b-find":"exomphalos","e-paracontent":"The study population comprised 1720 (1.7%) pregnancies with a non-chromosomal fetal structural anomaly. In this group, 474 (27.6%) anomalies were detected at screening in the first trimester, 926 (53.8%) in the second trimester, and 320 (18.6%) in the third trimester or postnatally 15. Interestingly, the results supported the categorization of fetal anomalies into three groups based on their detectability at 11\u201313 weeks: those that are always detectable, those that are detected in more than 50% of cases, and those that are rarely or not detected at this early stage. Anomalies that were consistently diagnosed in the first trimester included acrania, alobar holoprosencephaly, encephalocele, large anterior wall defects such as&lt;mark&gt;exomphalos&lt;\/mark&gt; and gastroschisis, and severe cardiac anomalies such as tricuspid and pulmonary atresia and complex malformations such as pentalogy of Cantrell and body-stalk anomaly. Anomalies in the group that are detected in more than 50% of cases included open spina bifida, hypoplastic left heart syndrome, atrioventricular septal defects and lethal skeletal dysplasias. In contrast, many common anomalies (group three) such as isolated renal agenesis, cleft lip, ventriculomegaly and talipes were rarely detected in the first trimester \u2014 often in less than 10% of cases 15. These were usually diagnosed later in pregnancy, either due to the timing of development or the limitations of early imaging. The study also highlights the association between increased nuchal translucency (NT) and various structural anomalies, particularly congenital heart defects, suggesting that NT is a valuable marker for the presence of cardiac malformations 15. Strengths of the study included the exceptionally large sample size, high follow-up rate, and consistent use of trained personnel following standardized protocols in specialized fetal medicine units. However, the study also acknowledged important limitations 15. Some anomalies, particularly internal or functional defects, may not manifest until later in pregnancy, and others may be missed during postnatal examinations due to subtlety or the lack of systematic follow-up examinations, such as neonatal echocardiography. Ultimately, the study concluded that routine screening at 11 to 13 weeks, performed according to a standardized protocol, can detect aneuploidies along with many severe non-chromosomal fetal anomalies 15. However, such screening has its limitations as some severe anomalies remain undetected and detailed screening in the second and third trimester is recommended. Details of individual detection rates by organ system are presented as tables in the various chapters in the second part of this book.","c-replace":[],"ab-name":"Spelling","a-name":"Possible Misspelling","g-rebookmarkname":"","i-wm":"exomphalos","d-description":"Possible spelling mistake found","f-bookmark":"BMSPELLING100106"},{"b-find":"Liao","e-paracontent":"In a large retrospective study published in 2021,&lt;mark&gt;Liao&lt;\/mark&gt; and colleagues 16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 14 predefined standard views (Table 2.2), adapted from the mid-trimester anomaly screening approach 16. At the time of the first trimester examination, the median fetal CRL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 sonographers who performed the first trimester examination had to complete a rigorous 6-month training program. All examinations were performed transabdominally and only completed by a transvaginal examination if necessary. ","c-replace":["Lao","Liar","Limo","Lido","LIFO","Ciao","Lilo","Lino","IAO","LCAO","LIA","LIGO","RIAO","Liam"],"ab-name":"Spelling","a-name":"Possible Misspelling","g-rebookmarkname":"","i-wm":"Liao","d-description":"Possible spelling mistake found","f-bookmark":"BMSPELLING100119"},{"b-find":"Syngelaki","e-paracontent":"In a large retrospective study published in 2021, Liao and colleagues 16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 14 predefined standard views (Table 2.2), adapted from the mid-trimester anomaly screening approach 16. At the time of the first trimester examination, the median fetal CRL was 61.0 mm. The aim of the study was to find out how effective a systematic, section-based approach can detect fetal anomalies in early pregnancy. In this study, unlike the&lt;mark&gt;Syngelaki&lt;\/mark&gt; study cited above, fetuses with chromosomal anomalies were not excluded. The time allotted for the ultrasound examination was 30 minutes. Physicians and sonographers who performed the first trimester examination had to complete a rigorous 6-month training program. All examinations were performed transabdominally and only completed by a transvaginal examination if necessary. ","c-replace":[],"ab-name":"Spelling","a-name":"Possible Misspelling","g-rebookmarkname":"","i-wm":"Syngelaki","d-description":"Possible spelling mistake found","f-bookmark":"BMSPELLING100120"},{"b-find":"sonographers","e-paracontent":"In a large retrospective study published in 2021, Liao and colleagues 16 evaluated the effectiveness of a standardized anatomical protocol in routine first-trimester ultrasound screening for the detection of fetal structural anomalies. The study, conducted over a 7-year period (2008-2015) at a single tertiary center in Shenzhen-China, included 53,349 singleton pregnancies with complete outcome data 16. Ultrasound examinations were performed between 11 and 13+6 weeks of gestation and followed a detailed protocol with 14 predefined standard views (Table 2.2), adapted from the mid-trimester anomaly screening approach 16. At the time of the first trimester examination, the median fetal CRL was 61.0 mm. The aim of the study was to find out how effective a systematic, section-based approach can detect fetal anomalies in early pregnancy. In this study, unlike the Syngelaki study cited above, fetuses with chromosomal anomalies were not excluded. The time allotted for the ultrasound examination was 30 minutes. Physicians and&lt;mark&gt;sonographers&lt;\/mark&gt; who performed the first trimester examination had to complete a rigorous 6-month training program. All examinations were performed transabdominally and only completed by a transvaginal examination if necessary. ","c-replace":["stenographers","topographers","pornographers"],"ab-name":"Spelling","a-name":"Possible Misspelling","g-rebookmarkname":"","i-wm":"sonographers","d-description":"Possible spelling mistake found","f-bookmark":"BMSPELLING100121"},{"b-find":"LUTO","e-paracontent":"Another important study was published in 2024 in a manuscript entitled \u201cDetection of Non-Cardiac Fetal Abnormalities on Ultrasound at 11\u201314 Weeks: Systematic Review and Meta-Analysis\u201d by Karim et al 17. In this systematic review and meta-analysis, the authors evaluated the diagnostic performance of ultrasound in the first trimester between 11 and 14 weeks in the detection of non-cardiac fetal anomalies. By reviewing 52 studies published between 1999 and 2023 and involving more than 527,837 fetuses, the authors sought to determine how effective first trimester ultrasound is in detecting 16 specific fetal anomalies considered to be of interest in the early anomaly scan 17. These anomalies are listed in Table 2.4 along with the number of fetuses screened, the total number of anomalies affected, and the prevalence of the anomaly per 10,000 screening ultrasound examinations performed. Results show that the first trimester ultrasound examination has an overall sensitivity of 67.33%, a specificity of 99.99%, a positive predictive value of 95.94% and a negative predictive value of 99.86%. However, detection performance varied greatly depending on the abnormality and this information is summarized in Table 2.5. The authors divided the anomalies into four different subgroups according to the detection rate (Table 2.5). One group had a high sensitivity of &gt; 80% and included severe brain anomalies (acrania, encephalocele and holoprosencephaly) and anomalies of the body wall (gastroschisis, omphalocele and body-stalk anomaly), conditions that are known to be almost always detected. A second group with a detection rate between 50% and 80% included lower urinary tract obstruction &lt;mark&gt;LUTO&lt;\/mark&gt;) along with anomalies such as spina bifida, lethal skeletal anomalies and limb reduction defects. A third group with a detection rate between 30% and 50% included anomalies such as congenital diaphragmatic hernias, facial clefts and polydactyly. In contrast, anomalies such as bilateral renal agenesis, talipes, cleft lip alone, and closed spina bifida were in the fourth group with sensitivities of less than 30%. Table 2.5 summarizes details within each group.","c-replace":["Auto","Lute","Pluto","Ludo","LUT","Lutz","LU TO","LUT O"],"ab-name":"Spelling","a-name":"Possible Misspelling","g-rebookmarkname":"","i-wm":"LUTO","d-description":"Possible spelling mistake found","f-bookmark":"BMSPELLING100162"},{"b-find":"euploid","e-paracontent":"This study also found that several factors influenced detection rates 17. One of the most important was the use of a standardized anatomical imaging protocol. Studies in which such protocols were used had a higher overall detection rate (67.55%) than studies in which this was not the case (44.55%). In particular, the detection of spina bifida, facial clefts and limb reduction defects \u2014 conditions traditionally considered difficult to diagnose - was significantly improved by the presence of a formal protocol17. In addition, the analysis showed a marked improvement in detection sensitivity over time in more recent studies, particularly those published after 2010, reflecting technological advances and increasing clinician experience. Interestingly, the type of ultrasound examination -whether transabdominal alone or combined with transvaginal- had no significant impact on detection rates. Most studies used a combination of both modalities, and the authors concluded that tailored approaches based on maternal and fetal factors are likely to provide the best results 17. A common false positive finding is the presence of a bowel-only omphalocele in&lt;mark&gt;euploid&lt;\/mark&gt; fetuses, that subsequently resolved, but after removing these cases from the analysis, the reported false-positive rate was very low at 0.13%. Strengths of this study include the large pooled population, the methodological approach and the focus on general obstetric populations rather than high-risk referrals 17. However, the authors also acknowledge limitations, including potential publication bias, the predominance of data from tertiary care centers, variability in sonographer experience, imaging protocols, and confirmation of follow-up, which could affect the assessment of accuracy. In summary, these results demonstrate that a first trimester ultrasound-based screening for anomalies has the potential to detect a number of common congenital anomalies at an earlier gestational age 17. The authors emphasize that a major advantage of early screening is that it allows for timely counseling, further testing and treatment planning 17.","c-replace":["exploit","upload","haploid","Euclid","diploid","aneuploid"],"ab-name":"Spelling","a-name":"Possible Misspelling","g-rebookmarkname":"","i-wm":"euploid","d-description":"Possible spelling mistake found","f-bookmark":"BMSPELLING100177"},{"b-find":"Cochrane","e-paracontent":"&lt;H1&lt;mark&gt;Cochrane&lt;\/mark&gt; Review on Diagnostic Accuracy of First and Second Trimester Ultrasound Examinations","c-replace":["Cochran","Cochran e"],"ab-name":"Spelling","a-name":"Possible Misspelling","g-rebookmarkname":"","i-wm":"Cochrane","d-description":"Possible spelling mistake found","f-bookmark":"BMSPELLING100178"},{"b-find":"Cochrane","e-paracontent":"The&lt;mark&gt;Cochrane&lt;\/mark&gt; systematic review entitled \u201cDiagnostic Accuracy of Ultrasound Screening for Fetal Structural Abnormalities during the First and Second Trimester of Pregnancy in Low-risk and Unselected Populations\u201c by Buijtendijk et al. 18 provides in its version of 2024 a comprehensive up-to-date and important evidence-based assessment of the existing literature on the subject. Structural anomalies affect approximately 3% of all live births worldwide and can lead to significant morbidity or mortality. Detecting these anomalies early in  pregnancy is crucial for parental counseling, medical planning, and potential interventions, including pregnancy termination in severe cases or passionate care depending on the local policy of the country.","c-replace":["Cochran","Cochran e"],"ab-name":"Spelling","a-name":"Possible Misspelling","g-rebookmarkname":"","i-wm":"Cochrane","d-description":"Possible spelling mistake found","f-bookmark":"BMSPELLING100181"},{"b-find":"Unselected","e-paracontent":"The Cochrane systematic review entitled \u201cDiagnostic Accuracy of Ultrasound Screening for Fetal Structural Abnormalities during the First and Second Trimester of Pregnancy in Low-risk and&lt;mark&gt;Unselected&lt;\/mark&gt; Populations\u201c by Buijtendijk et al. 18 provides in its version of 2024 a comprehensive up-to-date and important evidence-based assessment of the existing literature on the subject. Structural anomalies affect approximately 3% of all live births worldwide and can lead to significant morbidity or mortality. Detecting these anomalies early in  pregnancy is crucial for parental counseling, medical planning, and potential interventions, including pregnancy termination in severe cases or passionate care depending on the local policy of the country.","c-replace":["Selected","Undetected","Deselected","Undeleted"],"ab-name":"Spelling","a-name":"Possible Misspelling","g-rebookmarkname":"","i-wm":"Unselected","d-description":"Possible spelling mistake found","f-bookmark":"BMSPELLING100183"},{"b-find":"Buijtendijk","e-paracontent":"The Cochrane systematic review entitled \u201cDiagnostic Accuracy of Ultrasound Screening for Fetal Structural Abnormalities during the First and Second Trimester of Pregnancy in Low-risk and Unselected Populations\u201c by&lt;mark&gt;Buijtendijk&lt;\/mark&gt; et al. 18 provides in its version of 2024 a comprehensive up-to-date and important evidence-based assessment of the existing literature on the subject. Structural anomalies affect approximately 3% of all live births worldwide and can lead to significant morbidity or mortality. Detecting these anomalies early in  pregnancy is crucial for parental counseling, medical planning, and potential interventions, including pregnancy termination in severe cases or passionate care depending on the local policy of the country.","c-replace":[],"ab-name":"Spelling","a-name":"Possible Misspelling","g-rebookmarkname":"","i-wm":"Buijtendijk","d-description":"Possible spelling mistake found","f-bookmark":"BMSPELLING100185"},{"b-find":"metaanalyses","e-paracontent":"In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and&lt;mark&gt;metaanalyses&lt;\/mark&gt;, the reported overall first-trimester detection rates are 27.6% 15, 32.4% 2, 37.5% 18, 43.1% 16 or up to 61.2% 2, which shows that follow-up in the second trimester is still necessary. The Cochrane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","c-replace":["meta analyses"],"ab-name":"Spelling","a-name":"Possible Misspelling","g-rebookmarkname":"","i-wm":"metaanalyses","d-description":"Possible spelling mistake found","f-bookmark":"BMSPELLING100232"},{"b-find":"Cochrane","e-paracontent":"In summary, the role of first trimester ultrasound has evolved considerably over the last three decades and has become an important screening tool not only for aneuploidy screening but also for the early detection of fetal structural anomalies. Advances in ultrasound technology, increasing clinical experience and the introduction of standardized protocols and guidelines have enabled for the detection of many severe anomalies, as early as 11 to 13 weeks of gestation. Large-scale studies from the United Kingdom 15 and China 16 as well as large meta-analyses 2,17 have shown that detection rates of most anomalies can be improved when examinations are performed according to systematic, protocol-based, approaches by trained personnel. In the various studies and metaanalyses, the reported overall first-trimester detection rates are 27.6% 15, 32.4% 2, 37.5% 18, 43.1% 16 or up to 61.2% 2, which shows that follow-up in the second trimester is still necessary. The&lt;mark&gt;Cochrane&lt;\/mark&gt; review presented 18 emphasizes that while first trimester scans have significant diagnostic value, they should not replace, but complement second trimester anatomical examinations. While a second trimester scan has a detection rate of 50.5%, a two-stage approach\u2014a combination of early and mid-pregnancy scans\u2014results in the highest overall detection rate of 83.8%, supporting the introduction of an early scan into clinical practice 18. A successful first trimester scan is possible especially when structured protocols are applied, consistent training is provided, new ultrasound technology is introduced and up-to-date knowledge of ultrasound cues for early detection of anomalies is adopted. Finally, integrating first-trimester screening for anomalies into routine prenatal care may improve early counseling by allowing time for genetic diagnosis, clinical decision making, and follow up examination. The first part of this book presents the technical aspects of sonography in early gestation and the second part reviews in details typical anomalies for each fetal organ system, as they pertain to the first trimester ultrasound examination. ","c-replace":["Cochran","Cochran e"],"ab-name":"Spelling","a-name":"Possible Misspelling","g-rebookmarkname":"","i-wm":"Cochrane","d-description":"Possible spelling mistake found","f-bookmark":"BMSPELLING100233"},{"b-find":"Syngelaki","e-paracontent":"In&lt;mark&gt;Syngelaki&lt;\/mark&gt; study 15, 27.6% of all non-chromosomal fetal structural anomalies were detected in the first trimester screening ultrasound. ","c-replace":[],"ab-name":"Spelling","a-name":"Possible Misspelling","g-rebookmarkname":"","i-wm":"Syngelaki","d-description":"Possible spelling mistake found","f-bookmark":"BMSPELLING100240"},{"b-find":"euploid","e-paracontent":" A common false positive finding in the first trimester ultrasound examination is the presence of a bowel-only omphalocele, in&lt;mark&gt;euploid&lt;\/mark&gt; fetuses, which subsequently resolves.","c-replace":["exploit","upload","haploid","Euclid","diploid","aneuploid"],"ab-name":"Spelling","a-name":"Possible Misspelling","g-rebookmarkname":"","i-wm":"euploid","d-description":"Possible spelling mistake found","f-bookmark":"BMSPELLING100251"},{"b-find":"Cochrane","e-paracontent":" Based on the&lt;mark&gt;Cochrane&lt;\/mark&gt; review 18, a strategy of a single-stage second-trimester scan has an overall sensitivity of 50.5% and specificity in 99.8% in detecting fetal structural anomalies, whereas a two-stage approach of first and second trimester scan has a combined sensitivity of an overall 83.8% with a specificity of 99.9%. ","c-replace":["Cochran","Cochran e"],"ab-name":"Spelling","a-name":"Possible Misspelling","g-rebookmarkname":"","i-wm":"Cochrane","d-description":"Possible spelling mistake found","f-bookmark":"BMSPELLING100256"},{"b-find":"Cochrane","e-paracontent":"Figure 2.1:&lt;mark&gt;Cochrane&lt;\/mark&gt;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permission).","c-replace":["Cochran","Cochran e"],"ab-name":"Spelling","a-name":"Possible Misspelling","g-rebookmarkname":"","i-wm":"Cochrane","d-description":"Possible spelling mistake found","f-bookmark":"BMSPELLING100387"},{"b-find":"Abd","e-paracontent":"Figure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Thor&lt;mark&gt;Abd&lt;\/mark&gt;, thoracic and abdominal wall; GIT, gastrointestinal tract system; UT, urinary tract system; Musc/Skel,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D","And","Add","Aid","Ad","ASD","Abe","ABM","AD","ADD","APD","SBD","ACD","Abs","TBD","Abed","ABC","AAD","AB","ABA","ABB","ABF","ABG","ABH","ABJ","ABK","ABL","ABN","ABP","ABQ","ABR","ABS","ABT","ABU","ABV","ABW","ABX","ABZ","AED","AFD","AGD","AHD","AID","AKD","ALD","AMD","AND","AOD","ARD","ATD","AUD","AWD","AXD","AYD","AZD","BBD","BD","CBD","DBD","LBD","RBD","Ab","Ab d","Abu"],"ab-name":"Spelling","a-name":"Possible Misspelling","g-rebookmarkname":"","i-wm":"Abd","d-description":"Possible spelling mistake found","f-bookmark":"BMSPELLING100388"},{"b-find":"Musc","e-paracontent":"Figure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system;&lt;mark&gt;Musc&lt;\/mark&gt;/Skel,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permission).","c-replace":["Must","Music","MSC","Muse","Musk","Mush","Masc","Misc","Muss","USC","KUSC","MHSC","MUC","MUS","Mus","Mus c"],"ab-name":"Spelling","a-name":"Possible Misspelling","g-rebookmarkname":"","i-wm":"Musc","d-description":"Possible spelling mistake found","f-bookmark":"BMSPELLING100389"},{"b-find":"Skel","e-paracontent":"Figure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Musc&lt;mark&gt;Skel&lt;\/mark&gt;, musculoskeletal system.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permission).","c-replace":["Skew","SEL"],"ab-name":"Spelling","a-name":"Possible Misspelling","g-rebookmarkname":"","i-wm":"Skel","d-description":"Possible spelling mistake found","f-bookmark":"BMSPELLING100390"},{"b-find":"Buijtendijk","e-paracontent":"Figure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(Adapted from&lt;mark&gt;Buijtendijk&lt;\/mark&gt;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permission).","c-replace":[],"ab-name":"Spelling","a-name":"Possible Misspelling","g-rebookmarkname":"","i-wm":"Buijtendijk","d-description":"Possible spelling mistake found","f-bookmark":"BMSPELLING100391"},{"b-find":"unselected","e-paracontent":"Figure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(Adapted from Buijtendijk et al.: Diagnostic accuracy of ultrasound screening for fetal structural abnormalities during the first and second trimester of pregnancy in low-risk and&lt;mark&gt;unselected&lt;\/mark&gt; populations (Review) Cochrane Database of Systematic Reviews 2024, Issue 5, Art. No.: CD014715. Copyright of John Wiley &amp; Sons, Ltd., with permission).","c-replace":["selected","undetected","deselected","undeleted"],"ab-name":"Spelling","a-name":"Possible Misspelling","g-rebookmarkname":"","i-wm":"unselected","d-description":"Possible spelling mistake found","f-bookmark":"BMSPELLING100392"},{"b-find":"Cochrane","e-paracontent":"Figure 2.1: Cochrane systematic review showing the overall (first column) and organ specific sensitivities of a single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(Adapted from Buijtendijk et al.: Diagnostic accuracy of ultrasound screening for fetal structural abnormalities during the first and second trimester of pregnancy in low-risk and unselected populations (Review)&lt;mark&gt;Cochrane&lt;\/mark&gt; Database of Systematic Reviews 2024, Issue 5, Art. No.: CD014715. Copyright of John Wiley &amp; Sons, Ltd., with permission).","c-replace":["Cochran","Cochran e"],"ab-name":"Spelling","a-name":"Possible Misspelling","g-rebookmarkname":"","i-wm":"Cochrane","d-description":"Possible spelling mistake found","f-bookmark":"BMSPELLING100393"},{"b-find":"Cochrane","e-paracontent":"Figure 2.2:&lt;mark&gt;Cochrane&lt;\/mark&gt;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permission).","c-replace":["Cochran","Cochran e"],"ab-name":"Spelling","a-name":"Possible Misspelling","g-rebookmarkname":"","i-wm":"Cochrane","d-description":"Possible spelling mistake found","f-bookmark":"BMSPELLING100407"},{"b-find":"Abd","e-paracontent":"Figure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Thor&lt;mark&gt;Abd&lt;\/mark&gt;,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D","And","Add","Aid","Ad","ASD","Abe","ABM","AD","ADD","APD","SBD","ACD","Abs","TBD","Abed","ABC","AAD","AB","ABA","ABB","ABF","ABG","ABH","ABJ","ABK","ABL","ABN","ABP","ABQ","ABR","ABS","ABT","ABU","ABV","ABW","ABX","ABZ","AED","AFD","AGD","AHD","AID","AKD","ALD","AMD","AND","AOD","ARD","ATD","AUD","AWD","AXD","AYD","AZD","BBD","BD","CBD","DBD","LBD","RBD","Ab","Ab d","Abu"],"ab-name":"Spelling","a-name":"Possible Misspelling","g-rebookmarkname":"","i-wm":"Abd","d-description":"Possible spelling mistake found","f-bookmark":"BMSPELLING100408"},{"b-find":"Musc","e-paracontent":"Figure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system;&lt;mark&gt;Musc&lt;\/mark&gt;/Skel,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permission).","c-replace":["Must","Music","MSC","Muse","Musk","Mush","Masc","Misc","Muss","USC","KUSC","MHSC","MUC","MUS","Mus","Mus c"],"ab-name":"Spelling","a-name":"Possible Misspelling","g-rebookmarkname":"","i-wm":"Musc","d-description":"Possible spelling mistake found","f-bookmark":"BMSPELLING100409"},{"b-find":"Skel","e-paracontent":"Figure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Musc&lt;mark&gt;Skel&lt;\/mark&gt;,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permission).","c-replace":["Skew","SEL"],"ab-name":"Spelling","a-name":"Possible Misspelling","g-rebookmarkname":"","i-wm":"Skel","d-description":"Possible spelling mistake found","f-bookmark":"BMSPELLING100410"},{"b-find":"Buijtendijk","e-paracontent":"Figure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Musc/Skel, musculoskeletal system. (Modified and adapted from&lt;mark&gt;Buijtendijk&lt;\/mark&gt;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permission).","c-replace":[],"ab-name":"Spelling","a-name":"Possible Misspelling","g-rebookmarkname":"","i-wm":"Buijtendijk","d-description":"Possible spelling mistake found","f-bookmark":"BMSPELLING100411"},{"b-find":"unselected","e-paracontent":"Figure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and&lt;mark&gt;unselected&lt;\/mark&gt; populations (Review) Cochrane Database of Systematic Reviews 2024, Issue 5, Art. No.: CD014715. Copyright of John Wiley &amp; Sons, Ltd., with permission).","c-replace":["selected","undetected","deselected","undeleted"],"ab-name":"Spelling","a-name":"Possible Misspelling","g-rebookmarkname":"","i-wm":"unselected","d-description":"Possible spelling mistake found","f-bookmark":"BMSPELLING100412"},{"b-find":"Cochrane","e-paracontent":"Figure 2.2: Cochrane systematic review showing the overall (first column) and organ specific sensitivities of a single first-trimester ultrasound examination before 14 weeks of gestation in detecting fetal structural anomalies. Sensitivities are displayed on the Y-axis. The black filled circles show the mean sensitivities and the vertical lines show the width of the 95% confidence intervals. Note that meta-analysis of sensitivity was not possible for ear, face and neck anomalies.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(Review)&lt;mark&gt;Cochrane&lt;\/mark&gt; Database of Systematic Reviews 2024, Issue 5, Art. No.: CD014715. Copyright of John Wiley &amp; Sons, Ltd., with permission).","c-replace":["Cochran","Cochran e"],"ab-name":"Spelling","a-name":"Possible Misspelling","g-rebookmarkname":"","i-wm":"Cochrane","d-description":"Possible spelling mistake found","f-bookmark":"BMSPELLING100413"},{"b-find":"Cochrane","e-paracontent":"Figure 2.3:&lt;mark&gt;Cochrane&lt;\/mark&gt;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permission).","c-replace":["Cochran","Cochran e"],"ab-name":"Spelling","a-name":"Possible Misspelling","g-rebookmarkname":"","i-wm":"Cochrane","d-description":"Possible spelling mistake found","f-bookmark":"BMSPELLING100428"},{"b-find":"Abd","e-paracontent":"Figure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Thor&lt;mark&gt;Abd&lt;\/mark&gt;,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D","And","Add","Aid","Ad","ASD","Abe","ABM","AD","ADD","APD","SBD","ACD","Abs","TBD","Abed","ABC","AAD","AB","ABA","ABB","ABF","ABG","ABH","ABJ","ABK","ABL","ABN","ABP","ABQ","ABR","ABS","ABT","ABU","ABV","ABW","ABX","ABZ","AED","AFD","AGD","AHD","AID","AKD","ALD","AMD","AND","AOD","ARD","ATD","AUD","AWD","AXD","AYD","AZD","BBD","BD","CBD","DBD","LBD","RBD","Ab","Ab d","Abu"],"ab-name":"Spelling","a-name":"Possible Misspelling","g-rebookmarkname":"","i-wm":"Abd","d-description":"Possible spelling mistake found","f-bookmark":"BMSPELLING100429"},{"b-find":"Musc","e-paracontent":"Figure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system;&lt;mark&gt;Musc&lt;\/mark&gt;/Skel,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permission).","c-replace":["Must","Music","MSC","Muse","Musk","Mush","Masc","Misc","Muss","USC","KUSC","MHSC","MUC","MUS","Mus","Mus c"],"ab-name":"Spelling","a-name":"Possible Misspelling","g-rebookmarkname":"","i-wm":"Musc","d-description":"Possible spelling mistake found","f-bookmark":"BMSPELLING100430"},{"b-find":"Skel","e-paracontent":"Figure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Musc&lt;mark&gt;Skel&lt;\/mark&gt;, musculoskeletal system. (Modified and adapted from Buijtendijk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permission).","c-replace":["Skew","SEL"],"ab-name":"Spelling","a-name":"Possible Misspelling","g-rebookmarkname":"","i-wm":"Skel","d-description":"Possible spelling mistake found","f-bookmark":"BMSPELLING100431"},{"b-find":"Buijtendijk","e-paracontent":"Figure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from&lt;mark&gt;Buijtendijk&lt;\/mark&gt; et al.: Diagnostic accuracy of ultrasound screening for fetal structural abnormalities during the first and second trimester of pregnancy in low-risk and unselected populations (Review) Cochrane Database of Systematic Reviews 2024, Issue 5, Art. No.: CD014715. Copyright of John Wiley &amp; Sons, Ltd., with permission).","c-replace":[],"ab-name":"Spelling","a-name":"Possible Misspelling","g-rebookmarkname":"","i-wm":"Buijtendijk","d-description":"Possible spelling mistake found","f-bookmark":"BMSPELLING100432"},{"b-find":"unselected","e-paracontent":"Figure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and&lt;mark&gt;unselected&lt;\/mark&gt; populations (Review) Cochrane Database of Systematic Reviews 2024, Issue 5, Art. No.: CD014715. Copyright of John Wiley &amp; Sons, Ltd., with permission).","c-replace":["selected","undetected","deselected","undeleted"],"ab-name":"Spelling","a-name":"Possible Misspelling","g-rebookmarkname":"","i-wm":"unselected","d-description":"Possible spelling mistake found","f-bookmark":"BMSPELLING100433"},{"b-find":"Cochrane","e-paracontent":"Figure 2.3: Cochrane systematic review showing the overall (first column) and organ specific sensitivities of a combined first-trimester ultrasound examination before 14 weeks of gestation followed by a second-trimester ultrasound examination before 24 weeks of gestation in detecting fetal structural anomalies. Sensitivities are displayed on the Y-axis. The black filled circles show the mean sensitivities and the vertical lines show the width of the 95% confidence intervals. CNS, central nervous system; Resp, Respiratory system; Thor/Abd, thoracic and abdominal wall; GIT, gastrointestinal tract system; UT, urinary tract system; Musc/Skel, musculoskeletal system. (Modified and adapted from Buijtendijk et al.: Diagnostic accuracy of ultrasound screening for fetal structural abnormalities during the first and second trimester of pregnancy in low-risk and unselected populations (Review)&lt;mark&gt;Cochrane&lt;\/mark&gt; Database of Systematic Reviews 2024, Issue 5, Art. No.: CD014715. Copyright of John Wiley &amp; Sons, Ltd., with permission).","c-replace":["Cochran","Cochran e"],"ab-name":"Spelling","a-name":"Possible Misspelling","g-rebookmarkname":"","i-wm":"Cochrane","d-description":"Possible spelling mistake found","f-bookmark":"BMSPELLING100434"},{"b-find":"Syngelaki","e-paracontent":"Modified and adapted from&lt;mark&gt;Syngelaki&lt;\/mark&gt; A, et al. Diagnosis of fetal non-chromosomal abnormalities on routine ultrasound examination at 11-13ߙweeks' gestation. Ultrasound Obstet. Gynecol. 2019;54:468-476. (Copyright John Wiley &amp; Sons, Ltd., with permission)","c-replace":[],"ab-name":"Spelling","a-name":"Possible Misspelling","g-rebookmarkname":"","i-wm":"Syngelaki","d-description":"Possible spelling mistake found","f-bookmark":"BMSPELLING100449"},{"b-find":"Obstet","e-paracontent":"Modified and adapted from Syngelaki A, et al. Diagnosis of fetal non-chromosomal abnormalities on routine ultrasound examination at 11-13ߙweeks' gestation. Ultrasound&lt;mark&gt;Obstet&lt;\/mark&gt;. Gynecol. 2019;54:468-476. (Copyright John Wiley &amp; Sons, Ltd., with permission)","c-replace":["Ob stet"],"ab-name":"Spelling","a-name":"Possible Misspelling","g-rebookmarkname":"","i-wm":"Obstet","d-description":"Possible spelling mistake found","f-bookmark":"BMSPELLING100451"},{"b-find":"Gynecol","e-paracontent":"Modified and adapted from Syngelaki A, et al. Diagnosis of fetal non-chromosomal abnormalities on routine ultrasound examination at 11-13ߙweeks' gestation. Ultrasound Obstet.&lt;mark&gt;Gynecol&lt;\/mark&gt;. 2019;54:468-476. (Copyright John Wiley &amp; Sons, Ltd., with permission)","c-replace":["General","Cynical","Glycerol","Glycol","Gynecology","Zydeco","Tylenol","SYVICOL","Ecol","Glencoe"],"ab-name":"Spelling","a-name":"Possible Misspelling","g-rebookmarkname":"","i-wm":"Gynecol","d-description":"Possible spelling mistake found","f-bookmark":"BMSPELLING100452"},{"b-find":"Liao","e-paracontent":"Modified and adapted with permission from&lt;mark&gt;Liao&lt;\/mark&gt; Y, et al. Routine first-trimester ultrasound screening using a standardized anatomical protocol. Am J Obstet Gynecol. 2021;224:396.e1-396.e15. ","c-replace":["Lao","Liar","Limo","Lido","LIFO","Ciao","Lilo","Lino","IAO","LCAO","LIA","LIGO","RIAO","Liam"],"ab-name":"Spelling","a-name":"Possible Misspelling","g-rebookmarkname":"","i-wm":"Liao","d-description":"Possible spelling mistake found","f-bookmark":"BMSPELLING100483"},{"b-find":"Obstet","e-paracontent":"Modified and adapted with permission from Liao Y, et al. Routine first-trimester ultrasound screening using a standardized anatomical protocol. Am J&lt;mark&gt;Obstet&lt;\/mark&gt; Gynecol. 2021;224:396.e1-396.e15. ","c-replace":["Ob stet"],"ab-name":"Spelling","a-name":"Possible Misspelling","g-rebookmarkname":"","i-wm":"Obstet","d-description":"Possible spelling mistake found","f-bookmark":"BMSPELLING100484"},{"b-find":"Gynecol","e-paracontent":"Modified and adapted with permission from Liao Y, et al. Routine first-trimester ultrasound screening using a standardized anatomical protocol. Am J Obstet&lt;mark&gt;Gynecol&lt;\/mark&gt;. 2021;224:396.e1-396.e15. ","c-replace":["General","Cynical","Glycerol","Glycol","Gynecology","Zydeco","Tylenol","SYVICOL","Ecol","Glencoe"],"ab-name":"Spelling","a-name":"Possible Misspelling","g-rebookmarkname":"","i-wm":"Gynecol","d-description":"Possible spelling mistake found","f-bookmark":"BMSPELLING100485"},{"b-find":"Liao","e-paracontent":"Modified and adapted from&lt;mark&gt;Liao&lt;\/mark&gt; Y, et al. Routine first-trimester ultrasound screening using a standardized anatomical protocol. Am J Obstet Gynecol. 2021;224:396.e1-396.e15. (Copyright from Elsevier limited with permission) ","c-replace":["Lao","Liar","Limo","Lido","LIFO","Ciao","Lilo","Lino","IAO","LCAO","LIA","LIGO","RIAO","Liam"],"ab-name":"Spelling","a-name":"Possible Misspelling","g-rebookmarkname":"","i-wm":"Liao","d-description":"Possible spelling mistake found","f-bookmark":"BMSPELLING100496"},{"b-find":"Obstet","e-paracontent":"Modified and adapted from Liao Y, et al. Routine first-trimester ultrasound screening using a standardized anatomical protocol. Am J&lt;mark&gt;Obstet&lt;\/mark&gt; Gynecol. 2021;224:396.e1-396.e15. (Copyright from Elsevier limited with permission) ","c-replace":["Ob stet"],"ab-name":"Spelling","a-name":"Possible Misspelling","g-rebookmarkname":"","i-wm":"Obstet","d-description":"Possible spelling mistake found","f-bookmark":"BMSPELLING100497"},{"b-find":"Gynecol","e-paracontent":"Modified and adapted from Liao Y, et al. Routine first-trimester ultrasound screening using a standardized anatomical protocol. Am J Obstet&lt;mark&gt;Gynecol&lt;\/mark&gt;. 2021;224:396.e1-396.e15. (Copyright from Elsevier limited with permission) ","c-replace":["General","Cynical","Glycerol","Glycol","Gynecology","Zydeco","Tylenol","SYVICOL","Ecol","Glencoe"],"ab-name":"Spelling","a-name":"Possible Misspelling","g-rebookmarkname":"","i-wm":"Gynecol","d-description":"Possible spelling mistake found","f-bookmark":"BMSPELLING100498"},{"b-find":"Obstet","e-paracontent":"Adapted from Karim et al. Ultrasound&lt;mark&gt;Obstet&lt;\/mark&gt; Gynecol 2024;64:15\u201327; Copyright John Wiley &amp; Sons, Ltd., with permission)","c-replace":["Ob stet"],"ab-name":"Spelling","a-name":"Possible Misspelling","g-rebookmarkname":"","i-wm":"Obstet","d-description":"Possible spelling mistake found","f-bookmark":"BMSPELLING100511"},{"b-find":"Gynecol","e-paracontent":"Adapted from Karim et al. Ultrasound Obstet&lt;mark&gt;Gynecol&lt;\/mark&gt; 2024;64:15\u201327; Copyright John Wiley &amp; Sons, Ltd., with permission)","c-replace":["General","Cynical","Glycerol","Glycol","Gynecology","Zydeco","Tylenol","SYVICOL","Ecol","Glencoe"],"ab-name":"Spelling","a-name":"Possible Misspelling","g-rebookmarkname":"","i-wm":"Gynecol","d-description":"Possible spelling mistake found","f-bookmark":"BMSPELLING100512"},{"b-find":"Obstet","e-paracontent":"Adapted from Karim et al: Ultrasound&lt;mark&gt;Obstet&lt;\/mark&gt; Gynecol 2024; 64:15\u201327; Copyright John Wiley &amp; Sons, Ltd., with permission)","c-replace":["Ob stet"],"ab-name":"Spelling","a-name":"Possible Misspelling","g-rebookmarkname":"","i-wm":"Obstet","d-description":"Possible spelling mistake found","f-bookmark":"BMSPELLING100529"},{"b-find":"Gynecol","e-paracontent":"Adapted from Karim et al: Ultrasound Obstet&lt;mark&gt;Gynecol&lt;\/mark&gt; 2024; 64:15\u201327; Copyright John Wiley &amp; Sons, Ltd., with permission)","c-replace":["General","Cynical","Glycerol","Glycol","Gynecology","Zydeco","Tylenol","SYVICOL","Ecol","Glencoe"],"ab-name":"Spelling","a-name":"Possible Misspelling","g-rebookmarkname":"","i-wm":"Gynecol","d-description":"Possible spelling mistake found","f-bookmark":"BMSPELLING100530"}]</preedit>
</file>

<file path=customXml/item8.xml><?xml version="1.0" encoding="utf-8"?>
<b:Sources xmlns:w="http://schemas.openxmlformats.org/wordprocessingml/2006/main" xmlns:r="http://schemas.openxmlformats.org/officeDocument/2006/relationships" xmlns:m="http://schemas.openxmlformats.org/officeDocument/2006/math" xmlns:sl="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p14="http://schemas.microsoft.com/office/word/2010/wordprocessingDrawing" xmlns:a14="http://schemas.microsoft.com/office/drawing/2010/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Props1.xml><?xml version="1.0" encoding="utf-8"?>
<ds:datastoreItem xmlns:ds="http://schemas.openxmlformats.org/officeDocument/2006/customXml" ds:itemID="{C63E37F6-01B8-4CAB-9ECC-D4AE68D3858E}">
  <ds:schemaRefs>
    <ds:schemaRef ds:uri="http://www.machineedit.net/AMOD/CustomXML/Grammar.htm"/>
  </ds:schemaRefs>
</ds:datastoreItem>
</file>

<file path=customXml/itemProps2.xml><?xml version="1.0" encoding="utf-8"?>
<ds:datastoreItem xmlns:ds="http://schemas.openxmlformats.org/officeDocument/2006/customXml" ds:itemID="{6E6149F1-3DAB-440F-8DFF-63E5665D3450}">
  <ds:schemaRefs>
    <ds:schemaRef ds:uri="http://www.machineedit.net/AMOD/CustomXML/Pre-Edit.htm"/>
  </ds:schemaRefs>
</ds:datastoreItem>
</file>

<file path=customXml/itemProps3.xml><?xml version="1.0" encoding="utf-8"?>
<ds:datastoreItem xmlns:ds="http://schemas.openxmlformats.org/officeDocument/2006/customXml" ds:itemID="{5677147A-1FB5-48B7-AAE7-0C23AE137FEC}">
  <ds:schemaRefs/>
</ds:datastoreItem>
</file>

<file path=customXml/itemProps4.xml><?xml version="1.0" encoding="utf-8"?>
<ds:datastoreItem xmlns:ds="http://schemas.openxmlformats.org/officeDocument/2006/customXml" ds:itemID="{28FCBB53-F5DD-4189-BD88-CAF4A4DBE920}">
  <ds:schemaRefs>
    <ds:schemaRef ds:uri="http://www.machineedit.net/AMOD/CustomXML/Abbreviations.htm"/>
  </ds:schemaRefs>
</ds:datastoreItem>
</file>

<file path=customXml/itemProps5.xml><?xml version="1.0" encoding="utf-8"?>
<ds:datastoreItem xmlns:ds="http://schemas.openxmlformats.org/officeDocument/2006/customXml" ds:itemID="{FCE9540B-0E8F-4C13-A17F-125D60C859DB}">
  <ds:schemaRefs/>
</ds:datastoreItem>
</file>

<file path=customXml/itemProps6.xml><?xml version="1.0" encoding="utf-8"?>
<ds:datastoreItem xmlns:ds="http://schemas.openxmlformats.org/officeDocument/2006/customXml" ds:itemID="{37D0090A-8656-4033-87A0-AA5C4E2074D5}">
  <ds:schemaRefs>
    <ds:schemaRef ds:uri="http://www.machineedit.net/AMOD/CustomXML/Inconsistencies.htm"/>
  </ds:schemaRefs>
</ds:datastoreItem>
</file>

<file path=customXml/itemProps7.xml><?xml version="1.0" encoding="utf-8"?>
<ds:datastoreItem xmlns:ds="http://schemas.openxmlformats.org/officeDocument/2006/customXml" ds:itemID="{26A8E038-15AF-42B0-8CF8-AF417D076C5B}">
  <ds:schemaRefs>
    <ds:schemaRef ds:uri="http://www.machineedit.net/AMOD/CustomXML/Spelling.htm"/>
  </ds:schemaRefs>
</ds:datastoreItem>
</file>

<file path=customXml/itemProps8.xml><?xml version="1.0" encoding="utf-8"?>
<ds:datastoreItem xmlns:ds="http://schemas.openxmlformats.org/officeDocument/2006/customXml" ds:itemID="{F1162335-DE37-4A26-992B-B3D8C27D46D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10/wordprocessingDrawing"/>
    <ds:schemaRef ds:uri="http://schemas.microsoft.com/office/drawing/2010/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docProps/app.xml><?xml version="1.0" encoding="utf-8"?>
<Properties xmlns="http://schemas.openxmlformats.org/officeDocument/2006/extended-properties" xmlns:vt="http://schemas.openxmlformats.org/officeDocument/2006/docPropsVTypes">
  <Template>Lww-REF</Template>
  <TotalTime>1</TotalTime>
  <Pages>3</Pages>
  <Words>5471</Words>
  <Characters>31189</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Pagemajik - Stylefinder</dc:description>
  <cp:lastModifiedBy>Hari Krishna M</cp:lastModifiedBy>
  <cp:revision>2</cp:revision>
  <dcterms:created xsi:type="dcterms:W3CDTF">2025-12-06T10:34:00Z</dcterms:created>
  <dcterms:modified xsi:type="dcterms:W3CDTF">2025-12-06T10:34:00Z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e6ee112-9e5c-4f16-b63d-fcad06e1707e_Enabled">
    <vt:lpwstr>true</vt:lpwstr>
  </property>
  <property fmtid="{D5CDD505-2E9C-101B-9397-08002B2CF9AE}" pid="3" name="MSIP_Label_fe6ee112-9e5c-4f16-b63d-fcad06e1707e_SetDate">
    <vt:lpwstr>2025-11-02T20:29:11Z</vt:lpwstr>
  </property>
  <property fmtid="{D5CDD505-2E9C-101B-9397-08002B2CF9AE}" pid="4" name="MSIP_Label_fe6ee112-9e5c-4f16-b63d-fcad06e1707e_Method">
    <vt:lpwstr>Standard</vt:lpwstr>
  </property>
  <property fmtid="{D5CDD505-2E9C-101B-9397-08002B2CF9AE}" pid="5" name="MSIP_Label_fe6ee112-9e5c-4f16-b63d-fcad06e1707e_Name">
    <vt:lpwstr>Internal Use</vt:lpwstr>
  </property>
  <property fmtid="{D5CDD505-2E9C-101B-9397-08002B2CF9AE}" pid="6" name="MSIP_Label_fe6ee112-9e5c-4f16-b63d-fcad06e1707e_SiteId">
    <vt:lpwstr>8ac76c91-e7f1-41ff-a89c-3553b2da2c17</vt:lpwstr>
  </property>
  <property fmtid="{D5CDD505-2E9C-101B-9397-08002B2CF9AE}" pid="7" name="MSIP_Label_fe6ee112-9e5c-4f16-b63d-fcad06e1707e_ActionId">
    <vt:lpwstr>dca0951b-bcad-43e1-aa6b-2e0d14a36160</vt:lpwstr>
  </property>
  <property fmtid="{D5CDD505-2E9C-101B-9397-08002B2CF9AE}" pid="8" name="MSIP_Label_fe6ee112-9e5c-4f16-b63d-fcad06e1707e_ContentBits">
    <vt:lpwstr>0</vt:lpwstr>
  </property>
  <property fmtid="{D5CDD505-2E9C-101B-9397-08002B2CF9AE}" pid="9" name="MSIP_Label_fe6ee112-9e5c-4f16-b63d-fcad06e1707e_Tag">
    <vt:lpwstr>10, 3, 0, 1</vt:lpwstr>
  </property>
</Properties>
</file>