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21BA2" w14:textId="77777777" w:rsidR="000601FE" w:rsidRDefault="00B43BDF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Project design phase</w:t>
      </w:r>
    </w:p>
    <w:p w14:paraId="66BAD3D1" w14:textId="77777777" w:rsidR="000601FE" w:rsidRDefault="00B43BDF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601FE" w14:paraId="7314A6A0" w14:textId="77777777">
        <w:tc>
          <w:tcPr>
            <w:tcW w:w="4261" w:type="dxa"/>
          </w:tcPr>
          <w:p w14:paraId="285CDB15" w14:textId="77777777" w:rsidR="000601FE" w:rsidRDefault="00B43BDF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Date</w:t>
            </w:r>
          </w:p>
        </w:tc>
        <w:tc>
          <w:tcPr>
            <w:tcW w:w="4261" w:type="dxa"/>
          </w:tcPr>
          <w:p w14:paraId="0D4D8C86" w14:textId="77777777" w:rsidR="000601FE" w:rsidRDefault="000601FE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</w:p>
        </w:tc>
      </w:tr>
      <w:tr w:rsidR="000601FE" w14:paraId="4FA4E705" w14:textId="77777777">
        <w:tc>
          <w:tcPr>
            <w:tcW w:w="4261" w:type="dxa"/>
          </w:tcPr>
          <w:p w14:paraId="7A493FEF" w14:textId="77777777" w:rsidR="000601FE" w:rsidRDefault="00B43BDF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Team id</w:t>
            </w:r>
          </w:p>
        </w:tc>
        <w:tc>
          <w:tcPr>
            <w:tcW w:w="4261" w:type="dxa"/>
          </w:tcPr>
          <w:p w14:paraId="67269EBF" w14:textId="42E36E52" w:rsidR="000601FE" w:rsidRDefault="00042928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NM2025TMID02994</w:t>
            </w:r>
          </w:p>
        </w:tc>
      </w:tr>
      <w:tr w:rsidR="000601FE" w14:paraId="3E997CD2" w14:textId="77777777">
        <w:tc>
          <w:tcPr>
            <w:tcW w:w="4261" w:type="dxa"/>
          </w:tcPr>
          <w:p w14:paraId="043F784C" w14:textId="77777777" w:rsidR="000601FE" w:rsidRDefault="00B43BDF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Project Name</w:t>
            </w:r>
          </w:p>
        </w:tc>
        <w:tc>
          <w:tcPr>
            <w:tcW w:w="4261" w:type="dxa"/>
          </w:tcPr>
          <w:p w14:paraId="11F6A80C" w14:textId="1C353E51" w:rsidR="000601FE" w:rsidRDefault="00B43BDF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 xml:space="preserve">LEASE MANAGEMENT </w:t>
            </w:r>
          </w:p>
        </w:tc>
      </w:tr>
      <w:tr w:rsidR="000601FE" w14:paraId="19DC04FA" w14:textId="77777777">
        <w:tc>
          <w:tcPr>
            <w:tcW w:w="4261" w:type="dxa"/>
          </w:tcPr>
          <w:p w14:paraId="2156616D" w14:textId="77777777" w:rsidR="000601FE" w:rsidRDefault="00B43BDF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Maximum Mark</w:t>
            </w:r>
          </w:p>
        </w:tc>
        <w:tc>
          <w:tcPr>
            <w:tcW w:w="4261" w:type="dxa"/>
          </w:tcPr>
          <w:p w14:paraId="09E463F9" w14:textId="77777777" w:rsidR="000601FE" w:rsidRDefault="000601FE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</w:p>
        </w:tc>
      </w:tr>
    </w:tbl>
    <w:p w14:paraId="28B7A32B" w14:textId="77777777" w:rsidR="000601FE" w:rsidRDefault="000601FE">
      <w:pPr>
        <w:jc w:val="center"/>
        <w:rPr>
          <w:rFonts w:ascii="Arial Black" w:hAnsi="Arial Black" w:cs="Arial Black"/>
          <w:sz w:val="24"/>
          <w:szCs w:val="24"/>
        </w:rPr>
      </w:pPr>
    </w:p>
    <w:p w14:paraId="27FB72E0" w14:textId="77777777" w:rsidR="000601FE" w:rsidRDefault="000601FE">
      <w:pPr>
        <w:jc w:val="center"/>
        <w:rPr>
          <w:rFonts w:ascii="Arial Black" w:hAnsi="Arial Black" w:cs="Arial Black"/>
          <w:sz w:val="24"/>
          <w:szCs w:val="24"/>
        </w:rPr>
      </w:pPr>
    </w:p>
    <w:p w14:paraId="7472D570" w14:textId="77777777" w:rsidR="000601FE" w:rsidRDefault="00B43BDF">
      <w:pPr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Solution Architecture:</w:t>
      </w:r>
    </w:p>
    <w:p w14:paraId="74731043" w14:textId="77777777" w:rsidR="000601FE" w:rsidRDefault="000601FE">
      <w:pPr>
        <w:rPr>
          <w:rFonts w:ascii="Arial Black" w:hAnsi="Arial Black" w:cs="Arial Black"/>
          <w:sz w:val="24"/>
          <w:szCs w:val="24"/>
        </w:rPr>
      </w:pPr>
    </w:p>
    <w:p w14:paraId="7D43CDCD" w14:textId="77777777" w:rsidR="000601FE" w:rsidRDefault="00B43BDF">
      <w:pPr>
        <w:pStyle w:val="Heading2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Arial Black" w:eastAsia="sans-serif" w:hAnsi="Arial Black" w:cs="Arial Black" w:hint="default"/>
          <w:color w:val="1B1C1D"/>
          <w:sz w:val="21"/>
          <w:szCs w:val="21"/>
        </w:rPr>
      </w:pPr>
      <w:r>
        <w:rPr>
          <w:rFonts w:ascii="Arial Black" w:eastAsia="sans-serif" w:hAnsi="Arial Black" w:cs="Arial Black" w:hint="default"/>
          <w:color w:val="1B1C1D"/>
          <w:sz w:val="21"/>
          <w:szCs w:val="21"/>
          <w:bdr w:val="none" w:sz="0" w:space="0" w:color="1B1C1D"/>
        </w:rPr>
        <w:t>🏛</w:t>
      </w:r>
      <w:r>
        <w:rPr>
          <w:rFonts w:ascii="Arial Black" w:eastAsia="sans-serif" w:hAnsi="Arial Black" w:cs="Arial Black" w:hint="default"/>
          <w:color w:val="1B1C1D"/>
          <w:sz w:val="21"/>
          <w:szCs w:val="21"/>
          <w:bdr w:val="none" w:sz="0" w:space="0" w:color="1B1C1D"/>
        </w:rPr>
        <w:t>️</w:t>
      </w:r>
      <w:r>
        <w:rPr>
          <w:rFonts w:ascii="Arial Black" w:eastAsia="sans-serif" w:hAnsi="Arial Black" w:cs="Arial Black" w:hint="default"/>
          <w:color w:val="1B1C1D"/>
          <w:sz w:val="21"/>
          <w:szCs w:val="21"/>
          <w:bdr w:val="none" w:sz="0" w:space="0" w:color="1B1C1D"/>
        </w:rPr>
        <w:t xml:space="preserve"> Lease Management Solution Architecture (Conceptual)</w:t>
      </w:r>
    </w:p>
    <w:p w14:paraId="2D3B2E3B" w14:textId="77777777" w:rsidR="000601FE" w:rsidRDefault="00B43BDF">
      <w:pPr>
        <w:pStyle w:val="Heading3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Arial Black" w:eastAsia="sans-serif" w:hAnsi="Arial Black" w:cs="Arial Black" w:hint="default"/>
          <w:color w:val="1B1C1D"/>
          <w:sz w:val="18"/>
          <w:szCs w:val="18"/>
        </w:rPr>
      </w:pPr>
      <w:r>
        <w:rPr>
          <w:rFonts w:ascii="Arial Black" w:eastAsia="sans-serif" w:hAnsi="Arial Black" w:cs="Arial Black" w:hint="default"/>
          <w:color w:val="1B1C1D"/>
          <w:sz w:val="18"/>
          <w:szCs w:val="18"/>
          <w:bdr w:val="none" w:sz="0" w:space="0" w:color="1B1C1D"/>
        </w:rPr>
        <w:t>1. Presentation Layer (User Interface)</w:t>
      </w:r>
    </w:p>
    <w:p w14:paraId="5269518B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Components:</w:t>
      </w:r>
    </w:p>
    <w:p w14:paraId="2D6A1F9C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color w:val="1B1C1D"/>
        </w:rPr>
        <w:t xml:space="preserve">This layer handles the user </w:t>
      </w:r>
      <w:r>
        <w:rPr>
          <w:rFonts w:ascii="Calibri" w:eastAsia="sans-serif" w:hAnsi="Calibri" w:cs="Calibri"/>
          <w:color w:val="1B1C1D"/>
        </w:rPr>
        <w:t>interaction and experience.</w:t>
      </w:r>
    </w:p>
    <w:p w14:paraId="5B4B5C8B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User Portals:</w:t>
      </w:r>
      <w:r>
        <w:rPr>
          <w:rFonts w:ascii="Calibri" w:eastAsia="sans-serif" w:hAnsi="Calibri" w:cs="Calibri"/>
          <w:color w:val="1B1C1D"/>
        </w:rPr>
        <w:t xml:space="preserve"> Role-based access for different users (Lease Administrators, Finance/Accounting, Executives, Auditors).</w:t>
      </w:r>
    </w:p>
    <w:p w14:paraId="752A152A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Dashboards &amp; Analytics:</w:t>
      </w:r>
      <w:r>
        <w:rPr>
          <w:rFonts w:ascii="Calibri" w:eastAsia="sans-serif" w:hAnsi="Calibri" w:cs="Calibri"/>
          <w:color w:val="1B1C1D"/>
        </w:rPr>
        <w:t xml:space="preserve"> Real-time visual summaries of portfolio performance, compliance status, and upcoming critical dates.</w:t>
      </w:r>
    </w:p>
    <w:p w14:paraId="6A7ACFD6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Mobile Interface:</w:t>
      </w:r>
      <w:r>
        <w:rPr>
          <w:rFonts w:ascii="Calibri" w:eastAsia="sans-serif" w:hAnsi="Calibri" w:cs="Calibri"/>
          <w:color w:val="1B1C1D"/>
        </w:rPr>
        <w:t xml:space="preserve"> Applications or responsive design for on-the-go access to key information (e.g., property details, maintenance requests).</w:t>
      </w:r>
    </w:p>
    <w:p w14:paraId="04842E05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Document Viewer:</w:t>
      </w:r>
      <w:r>
        <w:rPr>
          <w:rFonts w:ascii="Calibri" w:eastAsia="sans-serif" w:hAnsi="Calibri" w:cs="Calibri"/>
          <w:color w:val="1B1C1D"/>
        </w:rPr>
        <w:t xml:space="preserve"> Interface to view uploaded lease documents, amendments, and related correspondence.</w:t>
      </w:r>
    </w:p>
    <w:p w14:paraId="5DE63128" w14:textId="77777777" w:rsidR="000601FE" w:rsidRDefault="00B43BDF">
      <w:pPr>
        <w:pStyle w:val="Heading3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sans-serif" w:eastAsia="sans-serif" w:hAnsi="sans-serif" w:cs="sans-serif" w:hint="default"/>
          <w:color w:val="1B1C1D"/>
        </w:rPr>
      </w:pPr>
      <w:r>
        <w:rPr>
          <w:rFonts w:ascii="Arial Black" w:eastAsia="sans-serif" w:hAnsi="Arial Black" w:cs="Arial Black" w:hint="default"/>
          <w:color w:val="1B1C1D"/>
          <w:sz w:val="18"/>
          <w:szCs w:val="18"/>
          <w:bdr w:val="none" w:sz="0" w:space="0" w:color="1B1C1D"/>
        </w:rPr>
        <w:t>2. Application/Business Layer (Core Logic)</w:t>
      </w:r>
    </w:p>
    <w:p w14:paraId="62F8C656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color w:val="1B1C1D"/>
        </w:rPr>
        <w:t>This is the heart of the system, housing all the processes, workflows, and calculations.</w:t>
      </w:r>
    </w:p>
    <w:p w14:paraId="7CDDC647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Lease Administration Module:</w:t>
      </w:r>
    </w:p>
    <w:p w14:paraId="630C875B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Lease Contract Management:</w:t>
      </w:r>
      <w:r>
        <w:rPr>
          <w:rFonts w:ascii="Calibri" w:eastAsia="sans-serif" w:hAnsi="Calibri" w:cs="Calibri"/>
          <w:color w:val="1B1C1D"/>
        </w:rPr>
        <w:t xml:space="preserve"> Stores all abstracting data (dates, terms, parties, property/asset details).</w:t>
      </w:r>
    </w:p>
    <w:p w14:paraId="72B187BF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Critical Date Engine:</w:t>
      </w:r>
      <w:r>
        <w:rPr>
          <w:rFonts w:ascii="Calibri" w:eastAsia="sans-serif" w:hAnsi="Calibri" w:cs="Calibri"/>
          <w:color w:val="1B1C1D"/>
        </w:rPr>
        <w:t xml:space="preserve"> Manages deadlines (renewals, terminations, rent reviews) and triggers automated alerts/notifications.</w:t>
      </w:r>
    </w:p>
    <w:p w14:paraId="1FB1947D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Workflow Engine:</w:t>
      </w:r>
      <w:r>
        <w:rPr>
          <w:rFonts w:ascii="Calibri" w:eastAsia="sans-serif" w:hAnsi="Calibri" w:cs="Calibri"/>
          <w:color w:val="1B1C1D"/>
        </w:rPr>
        <w:t xml:space="preserve"> Defines and automates business processes (e.g., lease approval, amendment processing).</w:t>
      </w:r>
    </w:p>
    <w:p w14:paraId="7A9A3AAD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Lease Accounting &amp; Finance Engine:</w:t>
      </w:r>
    </w:p>
    <w:p w14:paraId="09C9F2B1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Valuation Calculation:</w:t>
      </w:r>
      <w:r>
        <w:rPr>
          <w:rFonts w:ascii="Calibri" w:eastAsia="sans-serif" w:hAnsi="Calibri" w:cs="Calibri"/>
          <w:color w:val="1B1C1D"/>
        </w:rPr>
        <w:t xml:space="preserve"> The core engine that calculates </w:t>
      </w: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Right-of-Use (ROU) assets</w:t>
      </w:r>
      <w:r>
        <w:rPr>
          <w:rFonts w:ascii="Calibri" w:eastAsia="sans-serif" w:hAnsi="Calibri" w:cs="Calibri"/>
          <w:color w:val="1B1C1D"/>
        </w:rPr>
        <w:t xml:space="preserve"> and </w:t>
      </w: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Lease Liabilities</w:t>
      </w:r>
      <w:r>
        <w:rPr>
          <w:rFonts w:ascii="Calibri" w:eastAsia="sans-serif" w:hAnsi="Calibri" w:cs="Calibri"/>
          <w:color w:val="1B1C1D"/>
        </w:rPr>
        <w:t xml:space="preserve"> according to IFRS 16/ASC 842 rules.</w:t>
      </w:r>
    </w:p>
    <w:p w14:paraId="23701CBC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Amortization Schedule Generator:</w:t>
      </w:r>
      <w:r>
        <w:rPr>
          <w:rFonts w:ascii="Calibri" w:eastAsia="sans-serif" w:hAnsi="Calibri" w:cs="Calibri"/>
          <w:color w:val="1B1C1D"/>
        </w:rPr>
        <w:t xml:space="preserve"> Creates detailed, automated schedules for ROU assets, lease liabilities, interest, and depreciation.</w:t>
      </w:r>
    </w:p>
    <w:p w14:paraId="1F0B2720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Scenario Modeling:</w:t>
      </w:r>
      <w:r>
        <w:rPr>
          <w:rFonts w:ascii="Calibri" w:eastAsia="sans-serif" w:hAnsi="Calibri" w:cs="Calibri"/>
          <w:color w:val="1B1C1D"/>
        </w:rPr>
        <w:t xml:space="preserve"> Allows users to run "What-If" scenarios (e.g., extending a lease, changes in discount rate) to assess financial impact.</w:t>
      </w:r>
    </w:p>
    <w:p w14:paraId="09E8AD67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Document Abstraction &amp; AI Module (Optional but Common):</w:t>
      </w:r>
    </w:p>
    <w:p w14:paraId="3E50F36D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color w:val="1B1C1D"/>
        </w:rPr>
        <w:t xml:space="preserve">Uses </w:t>
      </w: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Optical Character Recognition (OCR)</w:t>
      </w:r>
      <w:r>
        <w:rPr>
          <w:rFonts w:ascii="Calibri" w:eastAsia="sans-serif" w:hAnsi="Calibri" w:cs="Calibri"/>
          <w:color w:val="1B1C1D"/>
        </w:rPr>
        <w:t xml:space="preserve"> and </w:t>
      </w: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Natural Language Processing (NLP)</w:t>
      </w:r>
      <w:r>
        <w:rPr>
          <w:rFonts w:ascii="Calibri" w:eastAsia="sans-serif" w:hAnsi="Calibri" w:cs="Calibri"/>
          <w:color w:val="1B1C1D"/>
        </w:rPr>
        <w:t xml:space="preserve"> to automatically extract key data points from scanned lease documents, improving speed and accuracy.</w:t>
      </w:r>
    </w:p>
    <w:p w14:paraId="4297807A" w14:textId="77777777" w:rsidR="000601FE" w:rsidRDefault="00B43BDF">
      <w:pPr>
        <w:pStyle w:val="Heading3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Arial Black" w:eastAsia="sans-serif" w:hAnsi="Arial Black" w:cs="Arial Black" w:hint="default"/>
          <w:color w:val="1B1C1D"/>
          <w:sz w:val="18"/>
          <w:szCs w:val="18"/>
        </w:rPr>
      </w:pPr>
      <w:r>
        <w:rPr>
          <w:rFonts w:ascii="Arial Black" w:eastAsia="sans-serif" w:hAnsi="Arial Black" w:cs="Arial Black" w:hint="default"/>
          <w:color w:val="1B1C1D"/>
          <w:sz w:val="18"/>
          <w:szCs w:val="18"/>
          <w:bdr w:val="none" w:sz="0" w:space="0" w:color="1B1C1D"/>
        </w:rPr>
        <w:t>3. Data Layer (Storage &amp; Integration)</w:t>
      </w:r>
    </w:p>
    <w:p w14:paraId="4928A708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color w:val="1B1C1D"/>
        </w:rPr>
        <w:t>This layer is responsible for secure, centralized data storage and communication with other enterprise systems.</w:t>
      </w:r>
    </w:p>
    <w:p w14:paraId="379CA829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Centralized Lease Repository (Database):</w:t>
      </w:r>
      <w:r>
        <w:rPr>
          <w:rFonts w:ascii="Calibri" w:eastAsia="sans-serif" w:hAnsi="Calibri" w:cs="Calibri"/>
          <w:color w:val="1B1C1D"/>
        </w:rPr>
        <w:t xml:space="preserve"> A single source of truth for all structured lease data, contracts, and financial information. This is typically a high-availability, secure database (e.g., SQL Server, Oracle, PostgreSQL).</w:t>
      </w:r>
    </w:p>
    <w:p w14:paraId="0FEC06F6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Document Management System (DMS):</w:t>
      </w:r>
      <w:r>
        <w:rPr>
          <w:rFonts w:ascii="Calibri" w:eastAsia="sans-serif" w:hAnsi="Calibri" w:cs="Calibri"/>
          <w:color w:val="1B1C1D"/>
        </w:rPr>
        <w:t xml:space="preserve"> Secure storage for unstructured data (PDFs, images, emails) linked to the lease records.</w:t>
      </w:r>
    </w:p>
    <w:p w14:paraId="6CD3CB94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Integration Services (APIs/ETL):</w:t>
      </w:r>
      <w:r>
        <w:rPr>
          <w:rFonts w:ascii="Calibri" w:eastAsia="sans-serif" w:hAnsi="Calibri" w:cs="Calibri"/>
          <w:color w:val="1B1C1D"/>
        </w:rPr>
        <w:t xml:space="preserve"> A crucial component enabling seamless data flow with external systems:</w:t>
      </w:r>
    </w:p>
    <w:p w14:paraId="1435E028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ERP/General Ledger (GL):</w:t>
      </w:r>
      <w:r>
        <w:rPr>
          <w:rFonts w:ascii="Calibri" w:eastAsia="sans-serif" w:hAnsi="Calibri" w:cs="Calibri"/>
          <w:color w:val="1B1C1D"/>
        </w:rPr>
        <w:t xml:space="preserve"> Posting automated monthly journal entries (JEs) for ROU asset depreciation, lease liability, and interest expense.</w:t>
      </w:r>
    </w:p>
    <w:p w14:paraId="71E52DE1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Property/Fixed Asset Management:</w:t>
      </w:r>
      <w:r>
        <w:rPr>
          <w:rFonts w:ascii="Calibri" w:eastAsia="sans-serif" w:hAnsi="Calibri" w:cs="Calibri"/>
          <w:color w:val="1B1C1D"/>
        </w:rPr>
        <w:t xml:space="preserve"> Sharing data on assets, maintenance, and costs.</w:t>
      </w:r>
    </w:p>
    <w:p w14:paraId="001DF84B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Credit/Vendor Systems:</w:t>
      </w:r>
      <w:r>
        <w:rPr>
          <w:rFonts w:ascii="Calibri" w:eastAsia="sans-serif" w:hAnsi="Calibri" w:cs="Calibri"/>
          <w:color w:val="1B1C1D"/>
        </w:rPr>
        <w:t xml:space="preserve"> Sharing payment information with accounts payable/receivable.</w:t>
      </w:r>
    </w:p>
    <w:p w14:paraId="18CB09C6" w14:textId="77777777" w:rsidR="000601FE" w:rsidRDefault="00042928">
      <w:pPr>
        <w:spacing w:after="120" w:line="17" w:lineRule="atLeast"/>
        <w:rPr>
          <w:rFonts w:ascii="sans-serif" w:eastAsia="sans-serif" w:hAnsi="sans-serif" w:cs="sans-serif"/>
          <w:color w:val="808080"/>
        </w:rPr>
      </w:pPr>
      <w:r>
        <w:rPr>
          <w:rFonts w:ascii="sans-serif" w:eastAsia="sans-serif" w:hAnsi="sans-serif" w:cs="sans-serif"/>
          <w:noProof/>
          <w:color w:val="1B1C1D"/>
        </w:rPr>
      </w:r>
      <w:r w:rsidR="00042928">
        <w:rPr>
          <w:rFonts w:ascii="sans-serif" w:eastAsia="sans-serif" w:hAnsi="sans-serif" w:cs="sans-serif"/>
          <w:noProof/>
          <w:color w:val="1B1C1D"/>
        </w:rPr>
        <w:pict w14:anchorId="6DAAF908">
          <v:rect id="_x0000_i1025" style="width:6in;height:1.5pt" o:hralign="center" o:hrstd="t" o:hrnoshade="t" o:hr="t" fillcolor="gray" stroked="f"/>
        </w:pict>
      </w:r>
    </w:p>
    <w:p w14:paraId="4042B112" w14:textId="77777777" w:rsidR="000601FE" w:rsidRDefault="00B43BDF">
      <w:pPr>
        <w:pStyle w:val="Heading2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120" w:afterAutospacing="0" w:line="17" w:lineRule="atLeast"/>
        <w:rPr>
          <w:rFonts w:ascii="Arial Black" w:eastAsia="sans-serif" w:hAnsi="Arial Black" w:cs="Arial Black" w:hint="default"/>
          <w:color w:val="1B1C1D"/>
          <w:sz w:val="21"/>
          <w:szCs w:val="21"/>
        </w:rPr>
      </w:pPr>
      <w:r>
        <w:rPr>
          <w:rFonts w:ascii="Arial Black" w:eastAsia="sans-serif" w:hAnsi="Arial Black" w:cs="Arial Black" w:hint="default"/>
          <w:color w:val="1B1C1D"/>
          <w:sz w:val="21"/>
          <w:szCs w:val="21"/>
          <w:bdr w:val="none" w:sz="0" w:space="0" w:color="1B1C1D"/>
        </w:rPr>
        <w:t>☁</w:t>
      </w:r>
      <w:r>
        <w:rPr>
          <w:rFonts w:ascii="Arial Black" w:eastAsia="sans-serif" w:hAnsi="Arial Black" w:cs="Arial Black" w:hint="default"/>
          <w:color w:val="1B1C1D"/>
          <w:sz w:val="21"/>
          <w:szCs w:val="21"/>
          <w:bdr w:val="none" w:sz="0" w:space="0" w:color="1B1C1D"/>
        </w:rPr>
        <w:t>️</w:t>
      </w:r>
      <w:r>
        <w:rPr>
          <w:rFonts w:ascii="Arial Black" w:eastAsia="sans-serif" w:hAnsi="Arial Black" w:cs="Arial Black" w:hint="default"/>
          <w:color w:val="1B1C1D"/>
          <w:sz w:val="21"/>
          <w:szCs w:val="21"/>
          <w:bdr w:val="none" w:sz="0" w:space="0" w:color="1B1C1D"/>
        </w:rPr>
        <w:t xml:space="preserve"> Deployment Model &amp; Non-Functional Requirements</w:t>
      </w: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3"/>
        <w:gridCol w:w="6538"/>
      </w:tblGrid>
      <w:tr w:rsidR="000601FE" w14:paraId="50432C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FD3F7" w14:textId="77777777" w:rsidR="000601FE" w:rsidRDefault="00B43BDF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Architectural 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C38145" w14:textId="77777777" w:rsidR="000601FE" w:rsidRDefault="00B43BDF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Description</w:t>
            </w:r>
          </w:p>
        </w:tc>
      </w:tr>
      <w:tr w:rsidR="000601FE" w14:paraId="5EE54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B3A51" w14:textId="77777777" w:rsidR="000601FE" w:rsidRDefault="00B43BDF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C91988" w14:textId="77777777" w:rsidR="000601FE" w:rsidRDefault="00B43BDF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Typically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Cloud-Native (SaaS/</w:t>
            </w:r>
            <w:proofErr w:type="spellStart"/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PaaS</w:t>
            </w:r>
            <w:proofErr w:type="spellEnd"/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)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for scalability, automatic updates, and compliance with data residency requirements.</w:t>
            </w:r>
          </w:p>
        </w:tc>
      </w:tr>
      <w:tr w:rsidR="000601FE" w14:paraId="45316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1684A" w14:textId="77777777" w:rsidR="000601FE" w:rsidRDefault="00B43BDF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Data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A93B5" w14:textId="77777777" w:rsidR="000601FE" w:rsidRDefault="00B43BDF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A complex relational model designed to link contracts, assets, parties, 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payment schedules, and multiple accounting treatments (e.g., GAAP vs. IFRS).</w:t>
            </w:r>
          </w:p>
        </w:tc>
      </w:tr>
      <w:tr w:rsidR="000601FE" w14:paraId="6087F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A6D525" w14:textId="77777777" w:rsidR="000601FE" w:rsidRDefault="00B43BDF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B9B0C" w14:textId="77777777" w:rsidR="000601FE" w:rsidRDefault="00B43BDF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Must be highly scalable to handle portfolios ranging from tens to tens of thousands of leases (using </w:t>
            </w:r>
            <w:proofErr w:type="spellStart"/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microservices</w:t>
            </w:r>
            <w:proofErr w:type="spellEnd"/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or auto-scaling cloud resources).</w:t>
            </w:r>
          </w:p>
        </w:tc>
      </w:tr>
      <w:tr w:rsidR="000601FE" w14:paraId="4C72B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B9B87E" w14:textId="77777777" w:rsidR="000601FE" w:rsidRDefault="00B43BDF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79603" w14:textId="77777777" w:rsidR="000601FE" w:rsidRDefault="00B43BDF">
            <w:pPr>
              <w:spacing w:line="17" w:lineRule="atLeast"/>
              <w:rPr>
                <w:rFonts w:ascii="sans-serif" w:eastAsia="sans-serif" w:hAnsi="sans-serif" w:cs="sans-serif"/>
                <w:color w:val="1B1C1D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Role-based access control (RBAC), data encryption (in transit and at rest), and compliance with financial/privacy regulations (e.g., GDPR, SOC 1/2).</w:t>
            </w:r>
          </w:p>
        </w:tc>
      </w:tr>
      <w:tr w:rsidR="000601FE" w14:paraId="4902E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298A4" w14:textId="77777777" w:rsidR="000601FE" w:rsidRDefault="00B43BDF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Auditability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6CC27" w14:textId="77777777" w:rsidR="000601FE" w:rsidRDefault="00B43BDF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A robust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Audit Trail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and complete version control are mandatory, recording every change to a contract and every financial calculation to ensure transparency for auditors.</w:t>
            </w:r>
          </w:p>
        </w:tc>
      </w:tr>
      <w:tr w:rsidR="000601FE" w14:paraId="6DF25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5465D" w14:textId="77777777" w:rsidR="000601FE" w:rsidRDefault="00B43BDF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Technology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90785" w14:textId="77777777" w:rsidR="000601FE" w:rsidRDefault="00B43BDF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Modern stacks often involve technologies like Java/Python/.NET for the back-end, React/Angular/</w:t>
            </w:r>
            <w:proofErr w:type="spellStart"/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Vue</w:t>
            </w:r>
            <w:proofErr w:type="spellEnd"/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for the front-end, and cloud services (AWS/Azure/GCP).</w:t>
            </w:r>
          </w:p>
        </w:tc>
      </w:tr>
    </w:tbl>
    <w:p w14:paraId="056CCBB2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24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color w:val="1B1C1D"/>
        </w:rPr>
        <w:t xml:space="preserve">This architecture ensures the system is not just an administrative tool but a </w:t>
      </w: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financial control mechanism</w:t>
      </w:r>
      <w:r>
        <w:rPr>
          <w:rFonts w:ascii="Calibri" w:eastAsia="sans-serif" w:hAnsi="Calibri" w:cs="Calibri"/>
          <w:color w:val="1B1C1D"/>
        </w:rPr>
        <w:t xml:space="preserve"> critical for global compliance and strategic portfolio management.</w:t>
      </w:r>
    </w:p>
    <w:p w14:paraId="39CF2FA0" w14:textId="77777777" w:rsidR="000601FE" w:rsidRDefault="00B43BDF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24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color w:val="1B1C1D"/>
        </w:rPr>
        <w:t>Does this align with the level of detail you were looking for, or would you like to focus on the technical stack of a particular layer?</w:t>
      </w:r>
    </w:p>
    <w:p w14:paraId="5C62DD4C" w14:textId="77777777" w:rsidR="000601FE" w:rsidRDefault="00B43BDF">
      <w:pPr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Solution Architecture Diagram:</w:t>
      </w:r>
    </w:p>
    <w:p w14:paraId="57D09416" w14:textId="77777777" w:rsidR="000601FE" w:rsidRDefault="000601FE">
      <w:pPr>
        <w:rPr>
          <w:rFonts w:ascii="Arial Black" w:hAnsi="Arial Black" w:cs="Arial Black"/>
          <w:sz w:val="24"/>
          <w:szCs w:val="24"/>
        </w:rPr>
      </w:pPr>
    </w:p>
    <w:p w14:paraId="77CDE3E9" w14:textId="77777777" w:rsidR="000601FE" w:rsidRDefault="00B43BDF">
      <w:pPr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noProof/>
          <w:sz w:val="24"/>
          <w:szCs w:val="24"/>
        </w:rPr>
        <w:drawing>
          <wp:inline distT="0" distB="0" distL="114300" distR="114300" wp14:anchorId="3DE6549D" wp14:editId="4848DC56">
            <wp:extent cx="5272405" cy="3247390"/>
            <wp:effectExtent l="0" t="0" r="4445" b="10160"/>
            <wp:docPr id="1" name="Picture 1" descr="property-management-software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operty-management-software-architectu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1F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ns-serif">
    <w:altName w:val="Segoe Print"/>
    <w:charset w:val="00"/>
    <w:family w:val="auto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embedSystemFonts/>
  <w:proofState w:spelling="clean"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DA1E53"/>
    <w:rsid w:val="00042928"/>
    <w:rsid w:val="000601FE"/>
    <w:rsid w:val="00B43BDF"/>
    <w:rsid w:val="36DA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D7DF94C"/>
  <w15:docId w15:val="{C2C57AA0-14E1-7F4B-A8C1-B842442C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548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917418243363</cp:lastModifiedBy>
  <cp:revision>2</cp:revision>
  <dcterms:created xsi:type="dcterms:W3CDTF">2025-11-07T04:35:00Z</dcterms:created>
  <dcterms:modified xsi:type="dcterms:W3CDTF">2025-11-07T04:35:00Z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4A68E9AFFE2546FD8345100F3623AB02_11</vt:lpwstr>
  </property>
</Properties>
</file>