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Harini Sriram</w:t>
      </w:r>
      <w:r>
        <w:rPr>
          <w:vertAlign w:val="superscript"/>
        </w:rPr>
        <w:t xml:space="preserve">1</w:t>
      </w:r>
      <w:r>
        <w:t xml:space="preserve">, </w:t>
      </w:r>
      <w:r>
        <w:t xml:space="preserve">Anjaneya Sahu</w:t>
      </w:r>
      <w:r>
        <w:rPr>
          <w:vertAlign w:val="superscript"/>
        </w:rPr>
        <w:t xml:space="preserve">2</w:t>
      </w:r>
      <w:r>
        <w:t xml:space="preserve"> and </w:t>
      </w:r>
      <w:r>
        <w:t xml:space="preserve">Khushi Kumari</w:t>
      </w:r>
      <w:r>
        <w:rPr>
          <w:vertAlign w:val="superscript"/>
        </w:rPr>
        <w:t xml:space="preserve">3</w:t>
      </w:r>
    </w:p>
    <w:p>
      <w:pPr>
        <w:pStyle w:val="address"/>
      </w:pPr>
      <w:r>
        <w:rPr>
          <w:vertAlign w:val="superscript"/>
        </w:rPr>
        <w:t xml:space="preserve">1</w:t>
      </w:r>
      <w:r>
        <w:t xml:space="preserve"> Department of Computer Science and Engineering (Data Science), Vellore Institute of Technology, Chennai, 600127, India.</w:t>
      </w:r>
    </w:p>
    <w:p>
      <w:pPr>
        <w:pStyle w:val="address"/>
      </w:pPr>
      <w:r>
        <w:rPr>
          <w:vertAlign w:val="superscript"/>
        </w:rPr>
        <w:t xml:space="preserve">2</w:t>
      </w:r>
      <w:r>
        <w:t xml:space="preserve"> Department of Computer Science and Engineering (Core), Vellore Institute of Technology, Chennai, 600127, India.</w:t>
      </w:r>
    </w:p>
    <w:p>
      <w:pPr>
        <w:pStyle w:val="address"/>
      </w:pPr>
      <w:r>
        <w:rPr>
          <w:vertAlign w:val="superscript"/>
        </w:rPr>
        <w:t xml:space="preserve">3</w:t>
      </w:r>
      <w:r>
        <w:t xml:space="preserve"> Department of Computer Science and Engineering (Artificial Intelligence and Machine Learning), Vellore Institute of Technology, Chennai, 600127, India.</w:t>
      </w:r>
    </w:p>
    <w:p>
      <w:pPr>
        <w:pStyle w:val="e-mail"/>
        <w:suppressAutoHyphens/>
      </w:pPr>
      <w:r>
        <w:t xml:space="preserve">harini.sriram2023@vitstudent.ac.in, anjaneya.sahu2023@vitstudent.ac.in,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Normal"/>
      </w:pPr>
      <w:r>
        <w:t xml:space="preserve">Large language models answer all four fluently, but without provenance: a reviewer cannot check the answer, and a wrong one is indistinguishable in tone from a right one. We took the opposite approach. Every number here decomposes into named components, and every contradiction and gap carries the document, section, page and sentence that produced it. A language model appears only at the end, to phrase findings already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1a"/>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1a"/>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1a"/>
      </w:pPr>
      <w:r>
        <w:t xml:space="preserve">Bibliographic coupling [10] and co-citation [11] predate all of the above by decades and remain useful: two papers citing the same prior work are related even when they share no vocabulary, which is exactly the signal embedding similarity misses. We keep it as one of the five dimensions, at a lower weight.</w:t>
      </w:r>
    </w:p>
    <w:p>
      <w:pPr>
        <w:pStyle w:val="heading1"/>
      </w:pPr>
      <w:r>
        <w:t xml:space="preserve">Method</w:t>
      </w:r>
    </w:p>
    <w:p>
      <w:pPr>
        <w:pStyle w:val="p1a"/>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4389120" cy="1854435"/>
            <wp:effectExtent l="0" t="0" r="0" b="0"/>
            <wp:docPr id="43788"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4389120" cy="1854435"/>
                    </a:xfrm>
                    <a:prstGeom prst="rect">
                      <a:avLst/>
                    </a:prstGeom>
                  </pic:spPr>
                </pic:pic>
              </a:graphicData>
            </a:graphic>
          </wp:inline>
        </w:drawing>
      </w:r>
    </w:p>
    <w:p>
      <w:pPr>
        <w:pStyle w:val="figurecaption"/>
      </w:pPr>
      <w:r>
        <w:t xml:space="preserve">Fig.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Normal"/>
      </w:pPr>
      <w:r>
        <w:t xml:space="preserve">No document is discarded. If heading detection finds nothing, the paper is divided into three-page chunks marked as unstructured and continues through every later stage. The route taken is recorded on the document,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cue-phrase patterns for objectives, limitations and stated gaps, and a metric mention beside a number for a quantitative result. This needs no training data and no API key, a design requirement rather than a convenience, since the system must run on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Documents, entities and bridge concepts are held in a directed multigraph built with NetworkX [18]. Candidate pairs are restricted to documents sharing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Normal"/>
      </w:pPr>
      <w:r>
        <w:t xml:space="preserve">Findings are presented in a browser interface, shown in Figure 2, which is how a reader actually works with them: the graph can be explored, a selected paper dims everything outside its neighbourhood, and every pair score can be opened to see the five dimensions it was built from.</w:t>
      </w:r>
    </w:p>
    <w:p>
      <w:pPr>
        <w:jc w:val="center"/>
      </w:pPr>
      <w:r>
        <w:drawing>
          <wp:inline distT="0" distB="0" distL="0" distR="0">
            <wp:extent cx="4389120" cy="3010829"/>
            <wp:effectExtent l="0" t="0" r="0" b="0"/>
            <wp:docPr id="80239" name="fig2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space.png"/>
                    <pic:cNvPicPr/>
                  </pic:nvPicPr>
                  <pic:blipFill>
                    <a:blip r:embed="rIdFig2"/>
                    <a:stretch>
                      <a:fillRect/>
                    </a:stretch>
                  </pic:blipFill>
                  <pic:spPr>
                    <a:xfrm>
                      <a:off x="0" y="0"/>
                      <a:ext cx="4389120" cy="3010829"/>
                    </a:xfrm>
                    <a:prstGeom prst="rect">
                      <a:avLst/>
                    </a:prstGeom>
                  </pic:spPr>
                </pic:pic>
              </a:graphicData>
            </a:graphic>
          </wp:inline>
        </w:drawing>
      </w:r>
    </w:p>
    <w:p>
      <w:pPr>
        <w:pStyle w:val="figurecaption"/>
      </w:pPr>
      <w:r>
        <w:t xml:space="preserve">Fig. 2. The analysis workspace. Above, the headline counts, the knowledge graph with one paper selected - selection dims everything outside its neighbourhood - and the inspector. Below, the composite score for every pair of papers, which the reader can sort and inspect cell by cell.</w:t>
      </w:r>
    </w:p>
    <w:p>
      <w:pPr>
        <w:pStyle w:val="heading1"/>
      </w:pPr>
      <w:r>
        <w:t xml:space="preserve">Evaluation Corpus</w:t>
      </w:r>
    </w:p>
    <w:p>
      <w:pPr>
        <w:pStyle w:val="p1a"/>
      </w:pPr>
      <w:r>
        <w:t xml:space="preserve">A randomly drawn corpus cannot evaluate this system. Contradiction detection fires only when two papers report the same metric on the same dataset, and a relationship score can be judged only if the corpus holds both pairs that ought to rank highly and pairs that ought not. Thirty random papers supply almost no shared benchmarks and no negative control, against which a scorer calling every pair related would appear to do well.</w:t>
      </w:r>
    </w:p>
    <w:p>
      <w:pPr>
        <w:pStyle w:val="Normal"/>
      </w:pPr>
      <w:r>
        <w:t xml:space="preserve">We therefore built the corpus as four deliberate clusters of real arXiv papers, shown in Table 2. Cluster A is built around residual and convolutional architectures [14], cluster B around the Transformer [12] and the masked language models that followed it [13], and cluster D around retrieval and knowledge-graph work [16, 17]. Cluster membership is the ground truth: same-cluster papers address the same problem on overlapping benchmarks and should score as related, while cluster A against cluster D shares virtually nothing and serves as the negative control. Clusters A and C overlap on dataset but differ on method, testing whether the score separates "same benchmark" from "same approach". These papers cite one another densely and several report differing values for identical baselines.</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Figure 3 shows the view in which this is inspected per paper.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4389120" cy="1551326"/>
            <wp:effectExtent l="0" t="0" r="0" b="0"/>
            <wp:docPr id="9070" name="fig3_docu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ocuments.png"/>
                    <pic:cNvPicPr/>
                  </pic:nvPicPr>
                  <pic:blipFill>
                    <a:blip r:embed="rIdFig3"/>
                    <a:stretch>
                      <a:fillRect/>
                    </a:stretch>
                  </pic:blipFill>
                  <pic:spPr>
                    <a:xfrm>
                      <a:off x="0" y="0"/>
                      <a:ext cx="4389120" cy="1551326"/>
                    </a:xfrm>
                    <a:prstGeom prst="rect">
                      <a:avLst/>
                    </a:prstGeom>
                  </pic:spPr>
                </pic:pic>
              </a:graphicData>
            </a:graphic>
          </wp:inline>
        </w:drawing>
      </w:r>
    </w:p>
    <w:p>
      <w:pPr>
        <w:pStyle w:val="figurecaption"/>
      </w:pPr>
      <w:r>
        <w:t xml:space="preserve">Fig. 3. The per-document view, where segmentation becomes visible: for each paper the assigned category and its confidence, the page count, the sections actually recovered, and the number of references parsed.</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 and Figure 4 shows the full score matrix ordered by cluster, in which the within-cluster blocks and the pale cluster A against cluster D region are both visible directly.</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jc w:val="center"/>
      </w:pPr>
      <w:r>
        <w:drawing>
          <wp:inline distT="0" distB="0" distL="0" distR="0">
            <wp:extent cx="2743200" cy="2453377"/>
            <wp:effectExtent l="0" t="0" r="0" b="0"/>
            <wp:docPr id="2231"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4"/>
                    <a:stretch>
                      <a:fillRect/>
                    </a:stretch>
                  </pic:blipFill>
                  <pic:spPr>
                    <a:xfrm>
                      <a:off x="0" y="0"/>
                      <a:ext cx="2743200" cy="2453377"/>
                    </a:xfrm>
                    <a:prstGeom prst="rect">
                      <a:avLst/>
                    </a:prstGeom>
                  </pic:spPr>
                </pic:pic>
              </a:graphicData>
            </a:graphic>
          </wp:inline>
        </w:drawing>
      </w:r>
    </w:p>
    <w:p>
      <w:pPr>
        <w:pStyle w:val="figurecaption"/>
      </w:pPr>
      <w:r>
        <w:t xml:space="preserve">Fig. 4.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1a"/>
      </w:pPr>
      <w:r>
        <w:t xml:space="preserve">Mean within-cluster score was 0.463 against 0.331 across clusters, a separation of 0.132. The separation matters more than the precision figures, because it indicates that the score is discriminative rather than merely correctly ordered at the top.</w:t>
      </w:r>
    </w:p>
    <w:p>
      <w:pPr>
        <w:pStyle w:val="Normal"/>
      </w:pPr>
      <w:r>
        <w:t xml:space="preserve">The two errors in the top ten are instructive rather than embarrassing. Both pair a self-supervised vision paper from cluster C with a convolutional architecture paper from cluster A, and both are arguably correct: MoCo [15] and ResNet [14]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Normal"/>
      </w:pPr>
      <w:r>
        <w:t xml:space="preserve">Figure 5 shows a gap as reported, with the trail that makes it checkable.</w:t>
      </w:r>
    </w:p>
    <w:p>
      <w:pPr>
        <w:jc w:val="center"/>
      </w:pPr>
      <w:r>
        <w:drawing>
          <wp:inline distT="0" distB="0" distL="0" distR="0">
            <wp:extent cx="4389120" cy="716591"/>
            <wp:effectExtent l="0" t="0" r="0" b="0"/>
            <wp:docPr id="12539" name="fig5_evid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vidence.png"/>
                    <pic:cNvPicPr/>
                  </pic:nvPicPr>
                  <pic:blipFill>
                    <a:blip r:embed="rIdFig5"/>
                    <a:stretch>
                      <a:fillRect/>
                    </a:stretch>
                  </pic:blipFill>
                  <pic:spPr>
                    <a:xfrm>
                      <a:off x="0" y="0"/>
                      <a:ext cx="4389120" cy="716591"/>
                    </a:xfrm>
                    <a:prstGeom prst="rect">
                      <a:avLst/>
                    </a:prstGeom>
                  </pic:spPr>
                </pic:pic>
              </a:graphicData>
            </a:graphic>
          </wp:inline>
        </w:drawing>
      </w:r>
    </w:p>
    <w:p>
      <w:pPr>
        <w:pStyle w:val="figurecaption"/>
      </w:pPr>
      <w:r>
        <w:t xml:space="preserve">Fig. 5. A reported gap with its evidence trail: the finding, the paper supporting it, the verbatim sentence, and the provenance - document, section, page - that makes it checkable against the source.</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takes about 33 seconds on a four-core CPU with no GPU and no network, once the embedding model is resident; embedding is roughly half of that. The inference-based detector raises it sharply, and its calls had to be batched with a capped batch size: one model call per claim pair exhausted CPU memory.</w:t>
      </w:r>
    </w:p>
    <w:p>
      <w:pPr>
        <w:pStyle w:val="heading1"/>
      </w:pPr>
      <w:r>
        <w:t xml:space="preserve">Limitations</w:t>
      </w:r>
    </w:p>
    <w:p>
      <w:pPr>
        <w:pStyle w:val="p1a"/>
      </w:pPr>
      <w:r>
        <w:t xml:space="preserve">The weights are asserted rather than learned. Learning them needs a labelled relatedness dataset for this corpus, which does not exist; we regard the scheme's interpretability as partial compensation, not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PDFs yield no text; these are reported as ingestion errors rather than skipped, but no OCR is attempted.</w:t>
      </w:r>
    </w:p>
    <w:p>
      <w:pPr>
        <w:pStyle w:val="Normal"/>
      </w:pPr>
      <w:r>
        <w:t xml:space="preserve">Pair scoring is quadratic. That is irrelevant at thirty papers and tractable at a few hundred, but tens of thousands would need approximate nearest-neighbour retrieval to prune candidates first.</w:t>
      </w:r>
    </w:p>
    <w:p>
      <w:pPr>
        <w:pStyle w:val="Normal"/>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1a"/>
      </w:pPr>
      <w:r>
        <w:t xml:space="preserve">We have described a system that reads a folder of papers and reports how they relate, where they disagree and what they omit, with every claim traceable to a sentence on a page. Segmentation by relative font size handled all thirty documents and recovered 90% of expected sections; the five-dimensional score reached 80% precision@10 against a 23% baseline while remaining decomposable. Contradiction detection produced no false positives, and also no confirmed findings on real papers.</w:t>
      </w:r>
    </w:p>
    <w:p>
      <w:pPr>
        <w:pStyle w:val="Normal"/>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 Id="rIdFig1" Type="http://schemas.openxmlformats.org/officeDocument/2006/relationships/image" Target="media/fig1_pipeline.png"/><Relationship Id="rIdFig2" Type="http://schemas.openxmlformats.org/officeDocument/2006/relationships/image" Target="media/fig2_workspace.png"/><Relationship Id="rIdFig3" Type="http://schemas.openxmlformats.org/officeDocument/2006/relationships/image" Target="media/fig3_documents.png"/><Relationship Id="rIdFig4" Type="http://schemas.openxmlformats.org/officeDocument/2006/relationships/image" Target="media/fig2_heatmap.png"/><Relationship Id="rIdFig5" Type="http://schemas.openxmlformats.org/officeDocument/2006/relationships/image" Target="media/fig5_evidence.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