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888C" w14:textId="7F8B1FF8" w:rsidR="001A71FF" w:rsidRPr="001A71FF" w:rsidRDefault="001A71FF" w:rsidP="001A71FF">
      <w:pPr>
        <w:spacing w:before="100" w:beforeAutospacing="1" w:after="100" w:afterAutospacing="1" w:line="36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52"/>
          <w:szCs w:val="52"/>
          <w14:ligatures w14:val="none"/>
        </w:rPr>
      </w:pPr>
      <w:r w:rsidRPr="001A71FF">
        <w:rPr>
          <w:rFonts w:ascii="Calibri" w:eastAsia="Times New Roman" w:hAnsi="Calibri" w:cs="Calibri"/>
          <w:b/>
          <w:bCs/>
          <w:kern w:val="36"/>
          <w:sz w:val="52"/>
          <w:szCs w:val="52"/>
          <w14:ligatures w14:val="none"/>
        </w:rPr>
        <w:t>MULTIMODAL LLM FOR REPORT GENERATION IN HEALTHCARE</w:t>
      </w:r>
      <w:r w:rsidR="00831BC4">
        <w:rPr>
          <w:rFonts w:ascii="Calibri" w:eastAsia="Times New Roman" w:hAnsi="Calibri" w:cs="Calibri"/>
          <w:noProof/>
          <w:kern w:val="0"/>
        </w:rPr>
        <w:pict w14:anchorId="1756740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62C5753" w14:textId="7FAA6A68" w:rsidR="00B60629" w:rsidRPr="00B60629" w:rsidRDefault="00B60629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B60629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Abstract</w:t>
      </w:r>
    </w:p>
    <w:p w14:paraId="20B06A04" w14:textId="77777777" w:rsidR="00B60629" w:rsidRPr="00B60629" w:rsidRDefault="00B60629" w:rsidP="00D8310B">
      <w:p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This study focuses on building a Multimodal Large Language Model (MLLM) to automate clinical report generation by combining medical images, clinical notes, and structured healthcare data. Traditional unimodal approaches often lead to fragmented insights</w:t>
      </w:r>
      <w:r>
        <w:rPr>
          <w:rFonts w:ascii="Calibri" w:eastAsia="Times New Roman" w:hAnsi="Calibri" w:cs="Calibri"/>
          <w:kern w:val="0"/>
          <w14:ligatures w14:val="none"/>
        </w:rPr>
        <w:t>,</w:t>
      </w:r>
      <w:r w:rsidRPr="00B60629">
        <w:rPr>
          <w:rFonts w:ascii="Calibri" w:eastAsia="Times New Roman" w:hAnsi="Calibri" w:cs="Calibri"/>
          <w:kern w:val="0"/>
          <w14:ligatures w14:val="none"/>
        </w:rPr>
        <w:t xml:space="preserve"> thus, </w:t>
      </w:r>
      <w:r>
        <w:rPr>
          <w:rFonts w:ascii="Calibri" w:eastAsia="Times New Roman" w:hAnsi="Calibri" w:cs="Calibri"/>
          <w:kern w:val="0"/>
          <w14:ligatures w14:val="none"/>
        </w:rPr>
        <w:t>we need a</w:t>
      </w:r>
      <w:r w:rsidRPr="00B60629">
        <w:rPr>
          <w:rFonts w:ascii="Calibri" w:eastAsia="Times New Roman" w:hAnsi="Calibri" w:cs="Calibri"/>
          <w:kern w:val="0"/>
          <w14:ligatures w14:val="none"/>
        </w:rPr>
        <w:t xml:space="preserve"> models that can interpret </w:t>
      </w:r>
      <w:r>
        <w:rPr>
          <w:rFonts w:ascii="Calibri" w:eastAsia="Times New Roman" w:hAnsi="Calibri" w:cs="Calibri"/>
          <w:kern w:val="0"/>
          <w14:ligatures w14:val="none"/>
        </w:rPr>
        <w:t>many types of</w:t>
      </w:r>
      <w:r w:rsidRPr="00B60629">
        <w:rPr>
          <w:rFonts w:ascii="Calibri" w:eastAsia="Times New Roman" w:hAnsi="Calibri" w:cs="Calibri"/>
          <w:kern w:val="0"/>
          <w14:ligatures w14:val="none"/>
        </w:rPr>
        <w:t xml:space="preserve"> healthcare data </w:t>
      </w:r>
      <w:r>
        <w:rPr>
          <w:rFonts w:ascii="Calibri" w:eastAsia="Times New Roman" w:hAnsi="Calibri" w:cs="Calibri"/>
          <w:kern w:val="0"/>
          <w14:ligatures w14:val="none"/>
        </w:rPr>
        <w:t xml:space="preserve">combined </w:t>
      </w:r>
      <w:r w:rsidRPr="00B60629">
        <w:rPr>
          <w:rFonts w:ascii="Calibri" w:eastAsia="Times New Roman" w:hAnsi="Calibri" w:cs="Calibri"/>
          <w:kern w:val="0"/>
          <w14:ligatures w14:val="none"/>
        </w:rPr>
        <w:t>to enhance diagnostic accuracy and reduce</w:t>
      </w:r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B60629">
        <w:rPr>
          <w:rFonts w:ascii="Calibri" w:eastAsia="Times New Roman" w:hAnsi="Calibri" w:cs="Calibri"/>
          <w:kern w:val="0"/>
          <w14:ligatures w14:val="none"/>
        </w:rPr>
        <w:t>the physician’s workload.</w:t>
      </w:r>
    </w:p>
    <w:p w14:paraId="2ADFE389" w14:textId="77777777" w:rsidR="00B60629" w:rsidRPr="00B60629" w:rsidRDefault="00B60629" w:rsidP="00D8310B">
      <w:p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Earlier</w:t>
      </w:r>
      <w:r w:rsidRPr="00B60629">
        <w:rPr>
          <w:rFonts w:ascii="Calibri" w:eastAsia="Times New Roman" w:hAnsi="Calibri" w:cs="Calibri"/>
          <w:kern w:val="0"/>
          <w14:ligatures w14:val="none"/>
        </w:rPr>
        <w:t xml:space="preserve"> models like CLIP and BLIP lack precise healthcare adaptations. This research proposes using a Vision Transformer for image features and a transformer LLM for clinical text, fused via cross-attention and enhanced using retrieval-augmented generation.</w:t>
      </w:r>
    </w:p>
    <w:p w14:paraId="6A28CE91" w14:textId="77777777" w:rsidR="00B60629" w:rsidRPr="00B60629" w:rsidRDefault="00B60629" w:rsidP="00D8310B">
      <w:p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 xml:space="preserve">Fine-tuning will leverage datasets such as MIMIC-CXR and IU-Xray. Evaluation will use BLEU, ROUGE, </w:t>
      </w:r>
      <w:r>
        <w:rPr>
          <w:rFonts w:ascii="Calibri" w:eastAsia="Times New Roman" w:hAnsi="Calibri" w:cs="Calibri"/>
          <w:kern w:val="0"/>
          <w14:ligatures w14:val="none"/>
        </w:rPr>
        <w:t>and Meteor</w:t>
      </w:r>
      <w:r w:rsidRPr="00B60629">
        <w:rPr>
          <w:rFonts w:ascii="Calibri" w:eastAsia="Times New Roman" w:hAnsi="Calibri" w:cs="Calibri"/>
          <w:kern w:val="0"/>
          <w14:ligatures w14:val="none"/>
        </w:rPr>
        <w:t xml:space="preserve"> metrics. The outcome aims for accurate, context-rich clinical reports and reduced clinician burden.</w:t>
      </w:r>
    </w:p>
    <w:p w14:paraId="16A0A768" w14:textId="68C1350A" w:rsidR="00B60629" w:rsidRPr="00B60629" w:rsidRDefault="00831B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0F8CC1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430E1C" w14:textId="3BAFB81A" w:rsidR="00B60629" w:rsidRPr="00B60629" w:rsidRDefault="00B60629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B60629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References</w:t>
      </w:r>
    </w:p>
    <w:p w14:paraId="1F5EB8DC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1. Park, K., Sayres, R., Sellergren, A., Pollard, T., Jamil, F., Kohlberger, T., Lau, C. and Kiraly, A.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Application of Med-PaLM 2 in the refinement of MIMIC-CXR labels.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(Multimodal LLM for chest X-ray dataset.)</w:t>
      </w:r>
    </w:p>
    <w:p w14:paraId="0FE6813A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2. Van, M.H., Verma, P. and Wu, X., 2024.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On large visual language models for medical imaging analysis: An empirical study. In: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2024 IEEE/ACM Conference on Connected Health: Applications, Systems and Engineering Technologies (CHASE)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, pp.172–176. IEEE.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(Study on VLMs applied to medical images.)</w:t>
      </w:r>
    </w:p>
    <w:p w14:paraId="18F8557B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3. Mohsan, M.M., Akram, M.U., Rasool, G., Alghamdi, N.S., Baqai, M.A.A. and Abbas, M., 2022.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Vision transformer and language model based radiology report generation.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IEEE Access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, 11, pp.1814–1824.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(Vision Transformer + LLMs for radiology reports.)</w:t>
      </w:r>
    </w:p>
    <w:p w14:paraId="09F40722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4. Ho, T.C., Kharrat, F., Abid, A., Karray, F. and Koubaa, A., 2024.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Remoni: An autonomous system integrating wearables and multimodal large language models for enhanced remote health monitoring. In: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2024 IEEE International Symposium on Medical Measurements and Applications (MeMeA)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, pp.1–6. IEEE.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(Multimodal LLMs integrating wearable data and medical images.)</w:t>
      </w:r>
    </w:p>
    <w:p w14:paraId="71C266B6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5. Sermanet, P., Eigen, D., Zhang, X., Mathieu, M., Fergus, R. and LeCun, Y., 2013.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OverFeat: Integrated recognition, localization and detection using convolutional networks.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arXiv preprint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 arXiv:1312.6229.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(Important for multimodal VLM foundations.)</w:t>
      </w:r>
    </w:p>
    <w:p w14:paraId="49EB3945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6. Liu, Z., Lin, Y., Cao, Y., Hu, H., Wei, Y., Zhang, Z., Lin, S. and Guo, B., 2021.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Swin transformer: Hierarchical vision transformer using shifted windows. In: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Proceedings of the IEEE/CVF International Conference on Computer Vision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, pp.10012–10022.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(Modern backbone for multimodal vision-language models.)</w:t>
      </w:r>
    </w:p>
    <w:p w14:paraId="6000EE4C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7. Van Veen, D., Van Uden, C., Blankemeier, L., Delbrouck, J.B., Aali, A., Bluethgen, C., Pareek, A., Polacin, M., Reis, E.P., Seehofnerová, A., et al., 2024.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Adapted large language models can outperform medical experts in clinical text summarization.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Nature Medicine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, 30(4), pp.1134–1142.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(Highly relevant to medical LLMs working on clinical multimodal tasks.)</w:t>
      </w:r>
    </w:p>
    <w:p w14:paraId="1EC2B879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8. Labrak, Y., Bazoge, A., Morin, E., Gourraud, P.A., Rouvier, M. and Dufour, R., 2024.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BioMistral: A collection of open-source pretrained large language models for medical domains.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arXiv preprint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 arXiv:2402.10373.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(Multimodal LLM foundation models for medical use.)</w:t>
      </w:r>
    </w:p>
    <w:p w14:paraId="2F2BABC9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9. Zhang, H., Chen, J., Jiang, F., Yu, F., Chen, Z., Li, J., Chen, G., Wu, X., Zhang, Z., Xiao, Q., et al., 2023.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HuatuoGPT, towards taming language model to be a doctor.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arXiv preprint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 arXiv:2305.15075.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(Training LLMs toward doctor-level reasoning, applied to multimodal data.)</w:t>
      </w:r>
    </w:p>
    <w:p w14:paraId="396A0FD8" w14:textId="77777777" w:rsidR="00D8310B" w:rsidRPr="00D8310B" w:rsidRDefault="00D8310B" w:rsidP="00D8310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D8310B">
        <w:rPr>
          <w:rFonts w:ascii="Calibri" w:eastAsia="Times New Roman" w:hAnsi="Calibri" w:cs="Calibri"/>
          <w:b/>
          <w:bCs/>
          <w:kern w:val="0"/>
          <w14:ligatures w14:val="none"/>
        </w:rPr>
        <w:t>10. Zakka, C., Shad, R., Chaurasia, A., Dalal, A.R., Kim, J.L., Moor, M., Fong, R., Phillips, C., Alexander, K., Ashley, E., et al., 2024.</w:t>
      </w:r>
      <w:r w:rsidRPr="00D8310B">
        <w:rPr>
          <w:rFonts w:ascii="Calibri" w:eastAsia="Times New Roman" w:hAnsi="Calibri" w:cs="Calibri"/>
          <w:kern w:val="0"/>
          <w14:ligatures w14:val="none"/>
        </w:rPr>
        <w:br/>
        <w:t xml:space="preserve">Almanac—Retrieval-augmented language models for clinical medicine.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NEJM AI</w:t>
      </w:r>
      <w:r w:rsidRPr="00D8310B">
        <w:rPr>
          <w:rFonts w:ascii="Calibri" w:eastAsia="Times New Roman" w:hAnsi="Calibri" w:cs="Calibri"/>
          <w:kern w:val="0"/>
          <w14:ligatures w14:val="none"/>
        </w:rPr>
        <w:t xml:space="preserve">, 1(2), p.AIoa2300068. </w:t>
      </w:r>
      <w:r w:rsidRPr="00D8310B">
        <w:rPr>
          <w:rFonts w:ascii="Calibri" w:eastAsia="Times New Roman" w:hAnsi="Calibri" w:cs="Calibri"/>
          <w:i/>
          <w:iCs/>
          <w:kern w:val="0"/>
          <w14:ligatures w14:val="none"/>
        </w:rPr>
        <w:t>(RAG + LLM systems for clinical multimodal tasks.)</w:t>
      </w:r>
    </w:p>
    <w:p w14:paraId="2D314A04" w14:textId="1B802D83" w:rsidR="00B60629" w:rsidRPr="00D8310B" w:rsidRDefault="00831B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noProof/>
        </w:rPr>
        <w:pict w14:anchorId="25E1D3C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34A4F6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0108835E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45159509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64EF0EA0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1E28D7B0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072259B0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201B6FB6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56F15032" w14:textId="4BD75D19" w:rsidR="00B60629" w:rsidRPr="00B60629" w:rsidRDefault="00B60629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B60629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lastRenderedPageBreak/>
        <w:t>High-Level Block Diagram (Flow Description)</w:t>
      </w:r>
    </w:p>
    <w:p w14:paraId="0D2C5C7A" w14:textId="77777777" w:rsidR="004B25C4" w:rsidRDefault="004B25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4B25C4">
        <w:rPr>
          <w:rFonts w:ascii="Calibri" w:eastAsia="Times New Roman" w:hAnsi="Calibri" w:cs="Calibri"/>
          <w:b/>
          <w:bCs/>
          <w:noProof/>
          <w:kern w:val="0"/>
          <w14:ligatures w14:val="none"/>
        </w:rPr>
        <w:drawing>
          <wp:inline distT="0" distB="0" distL="0" distR="0" wp14:anchorId="69359CF1" wp14:editId="4D5E6F32">
            <wp:extent cx="5943600" cy="4784090"/>
            <wp:effectExtent l="0" t="0" r="0" b="3810"/>
            <wp:docPr id="106534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3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662A" w14:textId="77777777" w:rsidR="004B25C4" w:rsidRDefault="004B25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6BDAD235" w14:textId="77777777" w:rsidR="004B25C4" w:rsidRDefault="004B25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74B82783" w14:textId="77777777" w:rsidR="004B25C4" w:rsidRDefault="004B25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</w:p>
    <w:p w14:paraId="25E426EB" w14:textId="44BF29EC" w:rsidR="00B60629" w:rsidRPr="00B60629" w:rsidRDefault="00831B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6386B42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4FC70E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72300043" w14:textId="77777777" w:rsidR="00D4505C" w:rsidRDefault="00D4505C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</w:p>
    <w:p w14:paraId="3CB5DC5D" w14:textId="7F942A84" w:rsidR="00B60629" w:rsidRDefault="00B60629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B60629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lastRenderedPageBreak/>
        <w:t>Abstract</w:t>
      </w:r>
    </w:p>
    <w:p w14:paraId="2B775468" w14:textId="7D1B4C2C" w:rsidR="00D8310B" w:rsidRPr="00B60629" w:rsidRDefault="00D8310B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>
        <w:t>This work presents a Multimodal Large Language Model (MLLM) designed to automate clinical report generation by combining medical images, clinical notes, and structured health data. Traditional single-modal approaches often result in incomplete insights; thus, integrating multiple data types is critical for improving diagnostic precision and easing clinician workload. The model architecture incorporates a Vision Transformer for extracting image features and a transformer-based LLM for processing clinical text, connected through cross-attention and enhanced by retrieval-augmented generation techniques. Training will be conducted on datasets like MIMIC-CXR and IU-Xray, with performance assessed using BLEU, ROUGE, and Meteor scores. The goal is to generate accurate, contextually rich clinical reports while minimizing the burden on healthcare providers.</w:t>
      </w:r>
    </w:p>
    <w:p w14:paraId="737E4BE9" w14:textId="77777777" w:rsidR="00B60629" w:rsidRPr="00B60629" w:rsidRDefault="00831BC4" w:rsidP="00D8310B">
      <w:pPr>
        <w:spacing w:after="0" w:line="36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41BA898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F33134B" w14:textId="77777777" w:rsidR="00B60629" w:rsidRPr="00B60629" w:rsidRDefault="00B60629" w:rsidP="00D8310B">
      <w:pPr>
        <w:spacing w:before="100" w:beforeAutospacing="1" w:after="100" w:afterAutospacing="1" w:line="360" w:lineRule="auto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</w:pPr>
      <w:r w:rsidRPr="00B60629">
        <w:rPr>
          <w:rFonts w:ascii="Calibri" w:eastAsia="Times New Roman" w:hAnsi="Calibri" w:cs="Calibri"/>
          <w:b/>
          <w:bCs/>
          <w:kern w:val="36"/>
          <w:sz w:val="48"/>
          <w:szCs w:val="48"/>
          <w14:ligatures w14:val="none"/>
        </w:rPr>
        <w:t>SCI/Scopus Indexed Journals List</w:t>
      </w:r>
    </w:p>
    <w:p w14:paraId="75780294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IEEE Transactions on Medical Imaging</w:t>
      </w:r>
    </w:p>
    <w:p w14:paraId="1807DBE8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Artificial Intelligence in Medicine</w:t>
      </w:r>
    </w:p>
    <w:p w14:paraId="008C1BBE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Medical Image Analysis</w:t>
      </w:r>
    </w:p>
    <w:p w14:paraId="1A10EDF1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Journal of Biomedical Informatics</w:t>
      </w:r>
    </w:p>
    <w:p w14:paraId="1684E695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Computer Methods and Programs in Biomedicine</w:t>
      </w:r>
    </w:p>
    <w:p w14:paraId="038EB1AB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Nature Communications (Healthcare AI Section)</w:t>
      </w:r>
    </w:p>
    <w:p w14:paraId="1442AC8D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Frontiers in Artificial Intelligence - Healthcare Section</w:t>
      </w:r>
    </w:p>
    <w:p w14:paraId="5CE25AA0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Computers in Biology and Medicine</w:t>
      </w:r>
    </w:p>
    <w:p w14:paraId="72BB9390" w14:textId="77777777" w:rsidR="00B60629" w:rsidRPr="00B60629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Scientific Reports (Healthcare Research)</w:t>
      </w:r>
    </w:p>
    <w:p w14:paraId="20C2A218" w14:textId="4E21A94A" w:rsidR="00AE0FAC" w:rsidRPr="00D8310B" w:rsidRDefault="00B60629" w:rsidP="00D8310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14:ligatures w14:val="none"/>
        </w:rPr>
      </w:pPr>
      <w:r w:rsidRPr="00B60629">
        <w:rPr>
          <w:rFonts w:ascii="Calibri" w:eastAsia="Times New Roman" w:hAnsi="Calibri" w:cs="Calibri"/>
          <w:kern w:val="0"/>
          <w14:ligatures w14:val="none"/>
        </w:rPr>
        <w:t>Sensors (AI Applications in Healthcare Special Issue)</w:t>
      </w:r>
    </w:p>
    <w:sectPr w:rsidR="00AE0FAC" w:rsidRPr="00D8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3B11"/>
    <w:multiLevelType w:val="multilevel"/>
    <w:tmpl w:val="75CA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D6EB7"/>
    <w:multiLevelType w:val="multilevel"/>
    <w:tmpl w:val="468C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83EA8"/>
    <w:multiLevelType w:val="hybridMultilevel"/>
    <w:tmpl w:val="F07A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76DB6"/>
    <w:multiLevelType w:val="hybridMultilevel"/>
    <w:tmpl w:val="C2A6F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77EB"/>
    <w:multiLevelType w:val="multilevel"/>
    <w:tmpl w:val="7124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441663">
    <w:abstractNumId w:val="4"/>
  </w:num>
  <w:num w:numId="2" w16cid:durableId="1270896645">
    <w:abstractNumId w:val="1"/>
  </w:num>
  <w:num w:numId="3" w16cid:durableId="556478460">
    <w:abstractNumId w:val="0"/>
  </w:num>
  <w:num w:numId="4" w16cid:durableId="1966351665">
    <w:abstractNumId w:val="2"/>
  </w:num>
  <w:num w:numId="5" w16cid:durableId="877006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29"/>
    <w:rsid w:val="000817B2"/>
    <w:rsid w:val="001A71FF"/>
    <w:rsid w:val="00271524"/>
    <w:rsid w:val="004B25C4"/>
    <w:rsid w:val="007403BC"/>
    <w:rsid w:val="00831BC4"/>
    <w:rsid w:val="00AE0FAC"/>
    <w:rsid w:val="00B60629"/>
    <w:rsid w:val="00B73121"/>
    <w:rsid w:val="00D4505C"/>
    <w:rsid w:val="00D8310B"/>
    <w:rsid w:val="00E1372F"/>
    <w:rsid w:val="00F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0417"/>
  <w15:chartTrackingRefBased/>
  <w15:docId w15:val="{75AC53E9-D4B6-324E-AABD-2FE89E84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60629"/>
    <w:rPr>
      <w:b/>
      <w:bCs/>
    </w:rPr>
  </w:style>
  <w:style w:type="character" w:styleId="Emphasis">
    <w:name w:val="Emphasis"/>
    <w:basedOn w:val="DefaultParagraphFont"/>
    <w:uiPriority w:val="20"/>
    <w:qFormat/>
    <w:rsid w:val="00B60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AJ</dc:creator>
  <cp:keywords/>
  <dc:description/>
  <cp:lastModifiedBy>Harini AJ</cp:lastModifiedBy>
  <cp:revision>3</cp:revision>
  <dcterms:created xsi:type="dcterms:W3CDTF">2025-04-28T04:49:00Z</dcterms:created>
  <dcterms:modified xsi:type="dcterms:W3CDTF">2025-04-28T08:03:00Z</dcterms:modified>
</cp:coreProperties>
</file>