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2. Hybrid RAG Retrieval System</w:t>
      </w:r>
    </w:p>
    <w:p>
      <w:pPr>
        <w:pStyle w:val="Heading1"/>
      </w:pPr>
      <w:r>
        <w:t>High-Level Design (HLD)</w:t>
      </w:r>
    </w:p>
    <w:p>
      <w:r>
        <w:t>The Hybrid RAG Retrieval System ensures zero-trust grounding by fetching relevant chunks from the database. It combines semantic search (dense vectors) with exact keyword fallback to ensure no specific terminology is missed during context retrieval.</w:t>
      </w:r>
    </w:p>
    <w:p>
      <w:pPr>
        <w:pStyle w:val="Heading2"/>
      </w:pPr>
      <w:r>
        <w:t>Architecture Diagram (Flow)</w:t>
      </w:r>
    </w:p>
    <w:p>
      <w:r>
        <w:rPr>
          <w:rFonts w:ascii="Courier New" w:hAnsi="Courier New"/>
          <w:sz w:val="18"/>
        </w:rPr>
        <w:br/>
        <w:t xml:space="preserve">Expert Answer </w:t>
        <w:br/>
        <w:t xml:space="preserve">  --&gt; OpenAI Embeddings (text-embedding-3-small)</w:t>
        <w:br/>
        <w:t xml:space="preserve">    --&gt; Supabase RPC `match_knowledge_chunks` (Cosine Similarity)</w:t>
        <w:br/>
        <w:t xml:space="preserve">      --&gt; If results empty:</w:t>
        <w:br/>
        <w:t xml:space="preserve">          --&gt; Fallback: Supabase `ilike` (Keyword Search)</w:t>
        <w:br/>
        <w:t xml:space="preserve">        --&gt; Return Context Text &amp; Chunk Metadata</w:t>
        <w:br/>
        <w:t xml:space="preserve">    </w:t>
      </w:r>
    </w:p>
    <w:p>
      <w:pPr>
        <w:pStyle w:val="Heading1"/>
      </w:pPr>
      <w:r>
        <w:t>Low-Level Design (LLD)</w:t>
      </w:r>
    </w:p>
    <w:p>
      <w:pPr>
        <w:pStyle w:val="Heading2"/>
      </w:pPr>
      <w:r>
        <w:t>1. Vector Search (Primary)</w:t>
      </w:r>
    </w:p>
    <w:p>
      <w:pPr>
        <w:pStyle w:val="ListBullet"/>
      </w:pPr>
      <w:r>
        <w:t>Uses pgvector HNSW index for fast nearest-neighbor search.</w:t>
      </w:r>
    </w:p>
    <w:p>
      <w:pPr>
        <w:pStyle w:val="ListBullet"/>
      </w:pPr>
      <w:r>
        <w:t>RPC Function: match_knowledge_chunks takes query_embedding, match_threshold (0.3), and match_count (4).</w:t>
      </w:r>
    </w:p>
    <w:p>
      <w:pPr>
        <w:pStyle w:val="Heading2"/>
      </w:pPr>
      <w:r>
        <w:t>2. Keyword Fallback (Secondary)</w:t>
      </w:r>
    </w:p>
    <w:p>
      <w:pPr>
        <w:pStyle w:val="ListBullet"/>
      </w:pPr>
      <w:r>
        <w:t>If the vector search yields 0 results, it falls back to a SQL ILIKE search on the first 15 characters of the query.</w:t>
      </w:r>
    </w:p>
    <w:p>
      <w:pPr>
        <w:pStyle w:val="Heading2"/>
      </w:pPr>
      <w:r>
        <w:t>3. Context Assembly</w:t>
      </w:r>
    </w:p>
    <w:p>
      <w:pPr>
        <w:pStyle w:val="ListBullet"/>
      </w:pPr>
      <w:r>
        <w:t>Joins chunk content with parent source title and location markers to provide fully cited context to the LLM.</w:t>
      </w:r>
    </w:p>
    <w:p>
      <w:pPr>
        <w:pStyle w:val="Heading1"/>
      </w:pPr>
      <w:r>
        <w:t>Code References</w:t>
      </w:r>
    </w:p>
    <w:p>
      <w:r>
        <w:t>backend/app.py</w:t>
      </w:r>
    </w:p>
    <w:p>
      <w:r>
        <w:rPr>
          <w:rFonts w:ascii="Courier New" w:hAnsi="Courier New"/>
          <w:sz w:val="18"/>
        </w:rPr>
        <w:t>def hybrid_rag_fetch(query: str, top_k: int = 4) -&gt; dict: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