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Journalist Platform</w:t>
        <w:br/>
        <w:t>Architecture Specification:</w:t>
        <w:br/>
        <w:t>2. Hybrid RAG Retrieval System</w:t>
      </w:r>
    </w:p>
    <w:p>
      <w:r>
        <w:br w:type="page"/>
      </w:r>
    </w:p>
    <w:p>
      <w:pPr>
        <w:pStyle w:val="Heading1"/>
      </w:pPr>
      <w:r>
        <w:t>1. Executive Summary</w:t>
      </w:r>
    </w:p>
    <w:p>
      <w:r>
        <w:t>The Hybrid RAG Retrieval System acts as the cognitive memory recall for the AI Journalist. Because the domain involves highly specific terminology (e.g., Enterprise Architecture frameworks, specific SaaS tools), standard dense vector retrieval can sometimes fail to find exact keyword matches. This system implements a hybrid approach, executing a dense vector similarity search first, and seamlessly falling back to a sparse keyword search if semantic matching fails.</w:t>
      </w:r>
    </w:p>
    <w:p>
      <w:pPr>
        <w:pStyle w:val="Heading1"/>
      </w:pPr>
      <w:r>
        <w:t>2. High-Level Architecture (HLA)</w:t>
      </w:r>
    </w:p>
    <w:p>
      <w:r>
        <w:t>The system receives the expert's live audio/text answer, embeds it into a 1536-dimensional space, and queries the Supabase vector database via a custom RPC (Remote Procedure Call). The HLA ensures that context returned to the LLM is always strictly cited with metadata.</w:t>
      </w:r>
    </w:p>
    <w:p>
      <w:pPr>
        <w:pStyle w:val="Heading2"/>
      </w:pPr>
      <w:r>
        <w:t>2.1 Data Flow Diagram</w:t>
      </w:r>
    </w:p>
    <w:p>
      <w:r>
        <w:rPr>
          <w:rFonts w:ascii="Courier New" w:hAnsi="Courier New"/>
          <w:sz w:val="18"/>
        </w:rPr>
        <w:br/>
        <w:t>[Expert Live Answer]</w:t>
        <w:br/>
        <w:t xml:space="preserve">       |</w:t>
        <w:br/>
        <w:t>[OpenAI Embedding Generator] -&gt; 1536-dim Vector</w:t>
        <w:br/>
        <w:t xml:space="preserve">       |</w:t>
        <w:br/>
        <w:t>[Supabase RPC: match_knowledge_chunks]</w:t>
        <w:br/>
        <w:t xml:space="preserve">   |--&gt; Vector Similarity (Cosine Distance)</w:t>
        <w:br/>
        <w:t xml:space="preserve">   |--&gt; Returns Top 4 matches</w:t>
        <w:br/>
        <w:t xml:space="preserve">       |</w:t>
        <w:br/>
        <w:t xml:space="preserve">   IF (Results == 0):</w:t>
        <w:br/>
        <w:t xml:space="preserve">       |--&gt; [Fallback: Full-Text ILIKE Search]</w:t>
        <w:br/>
        <w:t xml:space="preserve">            Searches first 15 chars of query against 'content'</w:t>
        <w:br/>
        <w:t xml:space="preserve">       |</w:t>
        <w:br/>
        <w:t>[Context Assembly]</w:t>
        <w:br/>
        <w:t xml:space="preserve">  -&gt; Joins Chunk Content + Source Title + Location Marker</w:t>
        <w:br/>
        <w:t xml:space="preserve">       |</w:t>
        <w:br/>
        <w:t>[Evaluation/Generation LLM Prompts]</w:t>
        <w:br/>
        <w:t xml:space="preserve">    </w:t>
      </w:r>
    </w:p>
    <w:p>
      <w:pPr>
        <w:pStyle w:val="Heading1"/>
      </w:pPr>
      <w:r>
        <w:t>3. Low-Level Architecture (LLA)</w:t>
      </w:r>
    </w:p>
    <w:p>
      <w:pPr>
        <w:pStyle w:val="Heading2"/>
      </w:pPr>
      <w:r>
        <w:t>3.1 The RPC Vector Search (Primary)</w:t>
      </w:r>
    </w:p>
    <w:p>
      <w:r>
        <w:t>The primary retrieval mechanism relies on a custom PostgreSQL function (`match_knowledge_chunks`) deployed in Supabase. It accepts `query_embedding`, `match_threshold` (set to 0.3 to filter out low-confidence noise), and `match_count` (set to 4 to prevent context window overflow). It utilizes the HNSW index on the `knowledge_chunks` table for sub-millisecond distance calculations.</w:t>
      </w:r>
    </w:p>
    <w:p>
      <w:pPr>
        <w:pStyle w:val="Heading2"/>
      </w:pPr>
      <w:r>
        <w:t>3.2 The Keyword Fallback (Secondary)</w:t>
      </w:r>
    </w:p>
    <w:p>
      <w:r>
        <w:t>If the RPC returns an empty array (meaning the expert's input was too short, highly idiosyncratic, or lacked semantic density), the backend automatically triggers a fallback. It takes the first 15 characters of the query and runs a case-insensitive `ILIKE` search (`"%{query[:15]}%"`) against the chunk content. This guarantees that explicit mentions of frameworks or names are retrieved even if their vector representations are distant.</w:t>
      </w:r>
    </w:p>
    <w:p>
      <w:pPr>
        <w:pStyle w:val="Heading2"/>
      </w:pPr>
      <w:r>
        <w:t>3.3 Context Formatting</w:t>
      </w:r>
    </w:p>
    <w:p>
      <w:r>
        <w:t>The raw database rows are mapped into two structures: `context_text` (a massive string of joined chunk contents) and `chunks_used` (a metadata array containing the chunk ID, Source Title, and Location Marker). This dual-structure allows the backend to feed the text to the LLM while simultaneously sending the citation metadata to the frontend Glass-Box UI.</w:t>
      </w:r>
    </w:p>
    <w:p>
      <w:pPr>
        <w:pStyle w:val="Heading1"/>
      </w:pPr>
      <w:r>
        <w:t>4. Performance Considerations</w:t>
      </w:r>
    </w:p>
    <w:p>
      <w:pPr>
        <w:pStyle w:val="ListBullet"/>
      </w:pPr>
      <w:r>
        <w:t>Latency: The hybrid sequence runs serially but is highly optimized. The HNSW index ensures the vector search completes in &lt;50ms. The fallback is only triggered &lt;5% of the time.</w:t>
      </w:r>
    </w:p>
    <w:p>
      <w:pPr>
        <w:pStyle w:val="ListBullet"/>
      </w:pPr>
      <w:r>
        <w:t>Token Economy: Limiting `TOP_K` to 4 ensures that the retrieved context maxes out around ~3,200 characters, leaving ample room in the GPT-4o-mini context window for the script backlog and system prompts.</w:t>
      </w:r>
    </w:p>
    <w:p>
      <w:pPr>
        <w:pStyle w:val="Heading1"/>
      </w:pPr>
      <w:r>
        <w:t>5. Code References</w:t>
      </w:r>
    </w:p>
    <w:p>
      <w:r>
        <w:rPr>
          <w:rFonts w:ascii="Courier New" w:hAnsi="Courier New"/>
          <w:sz w:val="18"/>
        </w:rPr>
        <w:br/>
        <w:t>File: backend/app.py</w:t>
        <w:br/>
        <w:t>Functions:</w:t>
        <w:br/>
        <w:t>- hybrid_rag_fetch(query: str, top_k: int = 4) -&gt; dict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