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Journalist Platform</w:t>
        <w:br/>
        <w:t>Architecture Specification:</w:t>
        <w:br/>
        <w:t>8. Decision Transparency Layer</w:t>
      </w:r>
    </w:p>
    <w:p>
      <w:r>
        <w:br w:type="page"/>
      </w:r>
    </w:p>
    <w:p>
      <w:pPr>
        <w:pStyle w:val="Heading1"/>
      </w:pPr>
      <w:r>
        <w:t>1. Executive Summary</w:t>
      </w:r>
    </w:p>
    <w:p>
      <w:r>
        <w:t>The Decision Transparency Layer (or Glass-Box UI) transforms the AI Journalist from an opaque 'black box' into a fully auditable system. Under every AI-generated message in the frontend, users can click to reveal the exact mathematical and logical reasoning the AI used to formulate that response, including its internal monologue, perceived tangents, and RAG citations.</w:t>
      </w:r>
    </w:p>
    <w:p>
      <w:pPr>
        <w:pStyle w:val="Heading1"/>
      </w:pPr>
      <w:r>
        <w:t>2. High-Level Architecture (HLA)</w:t>
      </w:r>
    </w:p>
    <w:p>
      <w:r>
        <w:t>The system relies on the backend persisting and transmitting the raw JSON output of the Evaluation Phase LLM call directly to the React frontend. The frontend maintains state to dynamically expand and render this metadata.</w:t>
      </w:r>
    </w:p>
    <w:p>
      <w:pPr>
        <w:pStyle w:val="Heading2"/>
      </w:pPr>
      <w:r>
        <w:t>2.1 Data Flow Diagram</w:t>
      </w:r>
    </w:p>
    <w:p>
      <w:r>
        <w:rPr>
          <w:rFonts w:ascii="Courier New" w:hAnsi="Courier New"/>
          <w:sz w:val="18"/>
        </w:rPr>
        <w:br/>
        <w:t>[Backend: app.py]</w:t>
        <w:br/>
        <w:t xml:space="preserve">  -&gt; Evaluates Answer -&gt; Generates JSON Decision Object</w:t>
        <w:br/>
        <w:t xml:space="preserve">  -&gt; Saves to `conversation_messages` (metadata column)</w:t>
        <w:br/>
        <w:t xml:space="preserve">  -&gt; Returns Payload: { question, script_progress, decision, chunks_used }</w:t>
        <w:br/>
        <w:t xml:space="preserve">       |</w:t>
        <w:br/>
        <w:t>[Frontend: App.tsx]</w:t>
        <w:br/>
        <w:t xml:space="preserve">  -&gt; Appends Payload to `messages` React State Array</w:t>
        <w:br/>
        <w:t xml:space="preserve">       |</w:t>
        <w:br/>
        <w:t>[React Render Cycle]</w:t>
        <w:br/>
        <w:t xml:space="preserve">  -&gt; Renders AI Message Bubble</w:t>
        <w:br/>
        <w:t xml:space="preserve">  -&gt; Renders &lt;button className="decision-toggle"&gt;</w:t>
        <w:br/>
        <w:t xml:space="preserve">       |</w:t>
        <w:br/>
        <w:t>[User Clicks Toggle]</w:t>
        <w:br/>
        <w:t xml:space="preserve">  -&gt; Renders Internal Monologue (text-indigo-400)</w:t>
        <w:br/>
        <w:t xml:space="preserve">  -&gt; Renders Source Citations (text-emerald-500)</w:t>
        <w:br/>
        <w:t xml:space="preserve">    </w:t>
      </w:r>
    </w:p>
    <w:p>
      <w:pPr>
        <w:pStyle w:val="Heading1"/>
      </w:pPr>
      <w:r>
        <w:t>3. Low-Level Architecture (LLA)</w:t>
      </w:r>
    </w:p>
    <w:p>
      <w:pPr>
        <w:pStyle w:val="Heading2"/>
      </w:pPr>
      <w:r>
        <w:t>3.1 Backend Metadata Structure</w:t>
      </w:r>
    </w:p>
    <w:p>
      <w:r>
        <w:t>The `decision` object is strictly typed in the backend via the `SCRIPT_AWARE_EVALUATION_PROMPT`. It guarantees the presence of fields like `next_action` (e.g., "drill_down", "follow_tangent"), `scripted_question_resolved` (boolean), and `internal_monologue` (a 1-sentence reasoning summary).</w:t>
      </w:r>
    </w:p>
    <w:p>
      <w:pPr>
        <w:pStyle w:val="Heading2"/>
      </w:pPr>
      <w:r>
        <w:t>3.2 Frontend Implementation</w:t>
      </w:r>
    </w:p>
    <w:p>
      <w:r>
        <w:t>The React application uses a state variable `openDecisionId` to track which message's metadata is currently expanded, ensuring accordion-style behavior (only one open at a time). The rendering logic maps over `msg.chunks` to display the specific database vectors that grounded the response, providing complete transparency into the RAG mechanism.</w:t>
      </w:r>
    </w:p>
    <w:p>
      <w:pPr>
        <w:pStyle w:val="Heading1"/>
      </w:pPr>
      <w:r>
        <w:t>4. Code References</w:t>
      </w:r>
    </w:p>
    <w:p>
      <w:r>
        <w:rPr>
          <w:rFonts w:ascii="Courier New" w:hAnsi="Courier New"/>
          <w:sz w:val="18"/>
        </w:rPr>
        <w:br/>
        <w:t>File: frontend/src/App.tsx</w:t>
        <w:br/>
        <w:t>Interface:</w:t>
        <w:br/>
        <w:t>- interface Decision { action, internal_monologue, ... }</w:t>
        <w:br/>
        <w:t>Component Render Logic:</w:t>
        <w:br/>
        <w:t>- {msg.role === 'ai' &amp;&amp; msg.decision &amp;&amp; ( ... &lt;div className="decision-section"&gt; ... )}</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