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1a1a1a"/>
        </w:rPr>
      </w:pPr>
      <w:r w:rsidDel="00000000" w:rsidR="00000000" w:rsidRPr="00000000">
        <w:rPr>
          <w:rFonts w:ascii="Arial" w:cs="Arial" w:eastAsia="Arial" w:hAnsi="Arial"/>
          <w:color w:val="1a1a1a"/>
          <w:rtl w:val="0"/>
        </w:rPr>
        <w:t xml:space="preserve">High-Level Architecture: AI Journalist Platform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This document outlines the high-level architecture and system flow for the AI Journalist platform, detailing the Data Ingestion Pipeline, the Retrieval-Augmented Generation (RAG) framework, and the Event-Driven Interview Loop.</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c3e50"/>
        </w:rPr>
      </w:pPr>
      <w:r w:rsidDel="00000000" w:rsidR="00000000" w:rsidRPr="00000000">
        <w:rPr>
          <w:rFonts w:ascii="Arial" w:cs="Arial" w:eastAsia="Arial" w:hAnsi="Arial"/>
          <w:color w:val="2c3e50"/>
          <w:rtl w:val="0"/>
        </w:rPr>
        <w:t xml:space="preserve">1. System Components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The architecture is divided into four primary modules designed to ensure low-latency interactions and high-fidelity factual grounding.</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Data Ingestion Engine:</w:t>
      </w:r>
      <w:r w:rsidDel="00000000" w:rsidR="00000000" w:rsidRPr="00000000">
        <w:rPr>
          <w:rFonts w:ascii="Arial" w:cs="Arial" w:eastAsia="Arial" w:hAnsi="Arial"/>
          <w:rtl w:val="0"/>
        </w:rPr>
        <w:t xml:space="preserve"> Responsible for extracting, cleaning, and indexing unstructured data (e.g., YouTube transcripts, podcast audio) into a structured knowledge base.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Context Retrieval Engine:</w:t>
      </w:r>
      <w:r w:rsidDel="00000000" w:rsidR="00000000" w:rsidRPr="00000000">
        <w:rPr>
          <w:rFonts w:ascii="Arial" w:cs="Arial" w:eastAsia="Arial" w:hAnsi="Arial"/>
          <w:rtl w:val="0"/>
        </w:rPr>
        <w:t xml:space="preserve"> A standalone retrieval pipeline utilizing pure Python and raw SQL to bypass ORM overhead, ensuring rapid contextual fetches based on expert answers.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Orchestration &amp; LLM Layer:</w:t>
      </w:r>
      <w:r w:rsidDel="00000000" w:rsidR="00000000" w:rsidRPr="00000000">
        <w:rPr>
          <w:rFonts w:ascii="Arial" w:cs="Arial" w:eastAsia="Arial" w:hAnsi="Arial"/>
          <w:rtl w:val="0"/>
        </w:rPr>
        <w:t xml:space="preserve"> The core reasoning engine where the expert's response and the retrieved context are synthesized into structured prompts for the LLM API.</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Client / Interface Layer:</w:t>
      </w:r>
      <w:r w:rsidDel="00000000" w:rsidR="00000000" w:rsidRPr="00000000">
        <w:rPr>
          <w:rFonts w:ascii="Arial" w:cs="Arial" w:eastAsia="Arial" w:hAnsi="Arial"/>
          <w:rtl w:val="0"/>
        </w:rPr>
        <w:t xml:space="preserve"> The frontend application capturing expert audio, running Speech-to-Text (STT) conversion, and displaying the AI Journalist's generated questions.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c3e50"/>
        </w:rPr>
      </w:pPr>
      <w:r w:rsidDel="00000000" w:rsidR="00000000" w:rsidRPr="00000000">
        <w:rPr>
          <w:rFonts w:ascii="Arial" w:cs="Arial" w:eastAsia="Arial" w:hAnsi="Arial"/>
          <w:color w:val="2c3e50"/>
          <w:rtl w:val="0"/>
        </w:rPr>
        <w:t xml:space="preserve">2. Core Data Flow (The Interview Loop)</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The following sequence illustrates the complete lifecycle of a single conversational turn in the automated interview process.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Initialization:</w:t>
      </w:r>
      <w:r w:rsidDel="00000000" w:rsidR="00000000" w:rsidRPr="00000000">
        <w:rPr>
          <w:rFonts w:ascii="Arial" w:cs="Arial" w:eastAsia="Arial" w:hAnsi="Arial"/>
          <w:rtl w:val="0"/>
        </w:rPr>
        <w:t xml:space="preserve"> The Orchestration layer triggers the Base Prompt, instructing the LLM to adopt the AI Journalist persona and output the first broad question.</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Input Capture:</w:t>
      </w:r>
      <w:r w:rsidDel="00000000" w:rsidR="00000000" w:rsidRPr="00000000">
        <w:rPr>
          <w:rFonts w:ascii="Arial" w:cs="Arial" w:eastAsia="Arial" w:hAnsi="Arial"/>
          <w:rtl w:val="0"/>
        </w:rPr>
        <w:t xml:space="preserve"> The human expert answers via voice. The STT service converts the audio stream into text.</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Query Formulation:</w:t>
      </w:r>
      <w:r w:rsidDel="00000000" w:rsidR="00000000" w:rsidRPr="00000000">
        <w:rPr>
          <w:rFonts w:ascii="Arial" w:cs="Arial" w:eastAsia="Arial" w:hAnsi="Arial"/>
          <w:rtl w:val="0"/>
        </w:rPr>
        <w:t xml:space="preserve"> The text answer is processed to extract key entities and themes (e.g., "1-year-old", "picky eating").</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Context Fetch:</w:t>
      </w:r>
      <w:r w:rsidDel="00000000" w:rsidR="00000000" w:rsidRPr="00000000">
        <w:rPr>
          <w:rFonts w:ascii="Arial" w:cs="Arial" w:eastAsia="Arial" w:hAnsi="Arial"/>
          <w:rtl w:val="0"/>
        </w:rPr>
        <w:t xml:space="preserve"> The formulated query is executed against the vector/text database. The system retrieves the highest-ranking snippet (e.g., physiological data on infant growth).</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Prompt Synthesis:</w:t>
      </w:r>
      <w:r w:rsidDel="00000000" w:rsidR="00000000" w:rsidRPr="00000000">
        <w:rPr>
          <w:rFonts w:ascii="Arial" w:cs="Arial" w:eastAsia="Arial" w:hAnsi="Arial"/>
          <w:rtl w:val="0"/>
        </w:rPr>
        <w:t xml:space="preserve"> The Orchestration layer merges the transcribed answer and the retrieved snippet into a unified contextual prompt.</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Generation:</w:t>
      </w:r>
      <w:r w:rsidDel="00000000" w:rsidR="00000000" w:rsidRPr="00000000">
        <w:rPr>
          <w:rFonts w:ascii="Arial" w:cs="Arial" w:eastAsia="Arial" w:hAnsi="Arial"/>
          <w:rtl w:val="0"/>
        </w:rPr>
        <w:t xml:space="preserve"> The LLM generates the next targeted, thought-leadership question based strictly on the synthesized prompt, and passes it to the UI.</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c3e50"/>
        </w:rPr>
      </w:pPr>
      <w:r w:rsidDel="00000000" w:rsidR="00000000" w:rsidRPr="00000000">
        <w:rPr>
          <w:rFonts w:ascii="Arial" w:cs="Arial" w:eastAsia="Arial" w:hAnsi="Arial"/>
          <w:color w:val="2c3e50"/>
          <w:rtl w:val="0"/>
        </w:rPr>
        <w:t xml:space="preserve">3. Proposed Technology Stack</w:t>
      </w:r>
    </w:p>
    <w:tbl>
      <w:tblPr>
        <w:tblStyle w:val="Table1"/>
        <w:tblW w:w="9360.0" w:type="dxa"/>
        <w:jc w:val="left"/>
        <w:tblBorders>
          <w:top w:color="b0c4de" w:space="0" w:sz="6" w:val="single"/>
          <w:left w:color="b0c4de" w:space="0" w:sz="6" w:val="single"/>
          <w:bottom w:color="b0c4de" w:space="0" w:sz="6" w:val="single"/>
          <w:right w:color="b0c4de" w:space="0" w:sz="6" w:val="single"/>
          <w:insideH w:color="b0c4de" w:space="0" w:sz="6" w:val="single"/>
          <w:insideV w:color="b0c4de"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b0c4de" w:space="0" w:sz="6" w:val="single"/>
              <w:left w:color="b0c4de" w:space="0" w:sz="6" w:val="single"/>
              <w:bottom w:color="b0c4de" w:space="0" w:sz="6" w:val="single"/>
              <w:right w:color="b0c4de" w:space="0" w:sz="6" w:val="single"/>
            </w:tcBorders>
            <w:shd w:fill="eaf2f8" w:val="clear"/>
            <w:tcMar>
              <w:top w:w="180.0" w:type="dxa"/>
              <w:left w:w="180.0" w:type="dxa"/>
              <w:bottom w:w="18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Layer</w:t>
            </w:r>
          </w:p>
        </w:tc>
        <w:tc>
          <w:tcPr>
            <w:tcBorders>
              <w:top w:color="b0c4de" w:space="0" w:sz="6" w:val="single"/>
              <w:left w:color="b0c4de" w:space="0" w:sz="6" w:val="single"/>
              <w:bottom w:color="b0c4de" w:space="0" w:sz="6" w:val="single"/>
              <w:right w:color="b0c4de" w:space="0" w:sz="6" w:val="single"/>
            </w:tcBorders>
            <w:shd w:fill="eaf2f8" w:val="clear"/>
            <w:tcMar>
              <w:top w:w="180.0" w:type="dxa"/>
              <w:left w:w="180.0" w:type="dxa"/>
              <w:bottom w:w="18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Technologies</w:t>
            </w:r>
          </w:p>
        </w:tc>
        <w:tc>
          <w:tcPr>
            <w:tcBorders>
              <w:top w:color="b0c4de" w:space="0" w:sz="6" w:val="single"/>
              <w:left w:color="b0c4de" w:space="0" w:sz="6" w:val="single"/>
              <w:bottom w:color="b0c4de" w:space="0" w:sz="6" w:val="single"/>
              <w:right w:color="b0c4de" w:space="0" w:sz="6" w:val="single"/>
            </w:tcBorders>
            <w:shd w:fill="eaf2f8" w:val="clear"/>
            <w:tcMar>
              <w:top w:w="180.0" w:type="dxa"/>
              <w:left w:w="180.0" w:type="dxa"/>
              <w:bottom w:w="18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Function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b0c4de" w:space="0" w:sz="6" w:val="single"/>
              <w:left w:color="b0c4de" w:space="0" w:sz="6" w:val="single"/>
              <w:bottom w:color="b0c4de" w:space="0" w:sz="6" w:val="single"/>
              <w:right w:color="b0c4de"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Frontend / UI</w:t>
            </w:r>
          </w:p>
        </w:tc>
        <w:tc>
          <w:tcPr>
            <w:tcBorders>
              <w:top w:color="b0c4de" w:space="0" w:sz="6" w:val="single"/>
              <w:left w:color="b0c4de" w:space="0" w:sz="6" w:val="single"/>
              <w:bottom w:color="b0c4de" w:space="0" w:sz="6" w:val="single"/>
              <w:right w:color="b0c4de"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React.js</w:t>
            </w:r>
          </w:p>
        </w:tc>
        <w:tc>
          <w:tcPr>
            <w:tcBorders>
              <w:top w:color="b0c4de" w:space="0" w:sz="6" w:val="single"/>
              <w:left w:color="b0c4de" w:space="0" w:sz="6" w:val="single"/>
              <w:bottom w:color="b0c4de" w:space="0" w:sz="6" w:val="single"/>
              <w:right w:color="b0c4de"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Manages a 10-rule frictionless UI/UX, chat interface, and client-side audio capture.</w:t>
            </w:r>
          </w:p>
        </w:tc>
      </w:tr>
      <w:tr>
        <w:trPr>
          <w:cantSplit w:val="0"/>
          <w:tblHeader w:val="0"/>
        </w:trPr>
        <w:tc>
          <w:tcPr>
            <w:tcBorders>
              <w:top w:color="b0c4de" w:space="0" w:sz="6" w:val="single"/>
              <w:left w:color="b0c4de" w:space="0" w:sz="6" w:val="single"/>
              <w:bottom w:color="b0c4de" w:space="0" w:sz="6" w:val="single"/>
              <w:right w:color="b0c4de"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Backend API</w:t>
            </w:r>
          </w:p>
        </w:tc>
        <w:tc>
          <w:tcPr>
            <w:tcBorders>
              <w:top w:color="b0c4de" w:space="0" w:sz="6" w:val="single"/>
              <w:left w:color="b0c4de" w:space="0" w:sz="6" w:val="single"/>
              <w:bottom w:color="b0c4de" w:space="0" w:sz="6" w:val="single"/>
              <w:right w:color="b0c4de"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FastAPI (Python)</w:t>
            </w:r>
          </w:p>
        </w:tc>
        <w:tc>
          <w:tcPr>
            <w:tcBorders>
              <w:top w:color="b0c4de" w:space="0" w:sz="6" w:val="single"/>
              <w:left w:color="b0c4de" w:space="0" w:sz="6" w:val="single"/>
              <w:bottom w:color="b0c4de" w:space="0" w:sz="6" w:val="single"/>
              <w:right w:color="b0c4de"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Handles routing, controls the orchestration of the RAG pipeline, and manages API hand-offs.</w:t>
            </w:r>
          </w:p>
        </w:tc>
      </w:tr>
      <w:tr>
        <w:trPr>
          <w:cantSplit w:val="0"/>
          <w:tblHeader w:val="0"/>
        </w:trPr>
        <w:tc>
          <w:tcPr>
            <w:tcBorders>
              <w:top w:color="b0c4de" w:space="0" w:sz="6" w:val="single"/>
              <w:left w:color="b0c4de" w:space="0" w:sz="6" w:val="single"/>
              <w:bottom w:color="b0c4de" w:space="0" w:sz="6" w:val="single"/>
              <w:right w:color="b0c4de"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Database &amp; Storage</w:t>
            </w:r>
          </w:p>
        </w:tc>
        <w:tc>
          <w:tcPr>
            <w:tcBorders>
              <w:top w:color="b0c4de" w:space="0" w:sz="6" w:val="single"/>
              <w:left w:color="b0c4de" w:space="0" w:sz="6" w:val="single"/>
              <w:bottom w:color="b0c4de" w:space="0" w:sz="6" w:val="single"/>
              <w:right w:color="b0c4de"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PostgreSQL / Supabase</w:t>
            </w:r>
          </w:p>
        </w:tc>
        <w:tc>
          <w:tcPr>
            <w:tcBorders>
              <w:top w:color="b0c4de" w:space="0" w:sz="6" w:val="single"/>
              <w:left w:color="b0c4de" w:space="0" w:sz="6" w:val="single"/>
              <w:bottom w:color="b0c4de" w:space="0" w:sz="6" w:val="single"/>
              <w:right w:color="b0c4de"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Stores unstructured knowledge base transcripts and maintains relational data for expert conversation history.</w:t>
            </w:r>
          </w:p>
        </w:tc>
      </w:tr>
      <w:tr>
        <w:trPr>
          <w:cantSplit w:val="0"/>
          <w:tblHeader w:val="0"/>
        </w:trPr>
        <w:tc>
          <w:tcPr>
            <w:tcBorders>
              <w:top w:color="b0c4de" w:space="0" w:sz="6" w:val="single"/>
              <w:left w:color="b0c4de" w:space="0" w:sz="6" w:val="single"/>
              <w:bottom w:color="b0c4de" w:space="0" w:sz="6" w:val="single"/>
              <w:right w:color="b0c4de"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AI / LLM Engine</w:t>
            </w:r>
          </w:p>
        </w:tc>
        <w:tc>
          <w:tcPr>
            <w:tcBorders>
              <w:top w:color="b0c4de" w:space="0" w:sz="6" w:val="single"/>
              <w:left w:color="b0c4de" w:space="0" w:sz="6" w:val="single"/>
              <w:bottom w:color="b0c4de" w:space="0" w:sz="6" w:val="single"/>
              <w:right w:color="b0c4de"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LLM APIs (e.g., Gemini)</w:t>
            </w:r>
          </w:p>
        </w:tc>
        <w:tc>
          <w:tcPr>
            <w:tcBorders>
              <w:top w:color="b0c4de" w:space="0" w:sz="6" w:val="single"/>
              <w:left w:color="b0c4de" w:space="0" w:sz="6" w:val="single"/>
              <w:bottom w:color="b0c4de" w:space="0" w:sz="6" w:val="single"/>
              <w:right w:color="b0c4de"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Powers the reasoning, persona emulation, gap analysis, and question generation.</w:t>
            </w:r>
          </w:p>
        </w:tc>
      </w:tr>
      <w:tr>
        <w:trPr>
          <w:cantSplit w:val="0"/>
          <w:tblHeader w:val="0"/>
        </w:trPr>
        <w:tc>
          <w:tcPr>
            <w:tcBorders>
              <w:top w:color="b0c4de" w:space="0" w:sz="6" w:val="single"/>
              <w:left w:color="b0c4de" w:space="0" w:sz="6" w:val="single"/>
              <w:bottom w:color="b0c4de" w:space="0" w:sz="6" w:val="single"/>
              <w:right w:color="b0c4de"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Workflow Automation</w:t>
            </w:r>
          </w:p>
        </w:tc>
        <w:tc>
          <w:tcPr>
            <w:tcBorders>
              <w:top w:color="b0c4de" w:space="0" w:sz="6" w:val="single"/>
              <w:left w:color="b0c4de" w:space="0" w:sz="6" w:val="single"/>
              <w:bottom w:color="b0c4de" w:space="0" w:sz="6" w:val="single"/>
              <w:right w:color="b0c4de"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n8n</w:t>
            </w:r>
          </w:p>
        </w:tc>
        <w:tc>
          <w:tcPr>
            <w:tcBorders>
              <w:top w:color="b0c4de" w:space="0" w:sz="6" w:val="single"/>
              <w:left w:color="b0c4de" w:space="0" w:sz="6" w:val="single"/>
              <w:bottom w:color="b0c4de" w:space="0" w:sz="6" w:val="single"/>
              <w:right w:color="b0c4de"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Connects external triggers, continuously scrapes and formats new YouTube transcripts, and manages ingestion scheduling.</w:t>
            </w:r>
          </w:p>
        </w:tc>
      </w:tr>
    </w:tbl>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c3e50"/>
        </w:rPr>
      </w:pPr>
      <w:r w:rsidDel="00000000" w:rsidR="00000000" w:rsidRPr="00000000">
        <w:rPr>
          <w:rFonts w:ascii="Arial" w:cs="Arial" w:eastAsia="Arial" w:hAnsi="Arial"/>
          <w:color w:val="2c3e50"/>
          <w:rtl w:val="0"/>
        </w:rPr>
        <w:t xml:space="preserve">4. Advanced RAG &amp; Zero-Trust Integration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To elevate the system beyond basic contextual retrieval, the architecture incorporates advanced RAG methodologies such as Hierarchical RAG (HRAG) and Hybrid RAG. This layered approach significantly reduces data noise when parsing extensive and conversational podcast transcripts, extracting only the most clinically relevant facts.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Furthermore, the system enforces a strict Zero-Trust framework during the prompt generation phase. The LLM is heavily grounded in the explicit context provided by the database retrieval. This creates a defensive mechanism that strictly prohibits hallucinations or speculative jumps that fall outside the bounds of the provided expert answer and the retrieved data snippet.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