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1a73e8"/>
        </w:rPr>
      </w:pPr>
      <w:r w:rsidDel="00000000" w:rsidR="00000000" w:rsidRPr="00000000">
        <w:rPr>
          <w:rFonts w:ascii="Google Sans" w:cs="Google Sans" w:eastAsia="Google Sans" w:hAnsi="Google Sans"/>
          <w:color w:val="1a73e8"/>
          <w:rtl w:val="0"/>
        </w:rPr>
        <w:t xml:space="preserve">Low-Level Architecture: AI Journalist Platform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This document provides a comprehensive, low-level technical blueprint for the AI Journalist platform. It details the internal workings of the data ingestion pipelines, the client-server interaction models, the Retrieval-Augmented Generation (RAG) implementation, and the prompt orchestration layer required to execute the expert interview loop seamlessly.</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1. Client-Side Architecture (Frontend)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The frontend application is built using React.js, structured around a strict 10-rule UI/UX framework to ensure mobile-first integrity and frictionless navigation. The interface must handle real-time audio capturing, immediate transcript rendering, and state management for the conversational loop.</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Audio Interface Component:</w:t>
      </w:r>
      <w:r w:rsidDel="00000000" w:rsidR="00000000" w:rsidRPr="00000000">
        <w:rPr>
          <w:rFonts w:ascii="Google Sans" w:cs="Google Sans" w:eastAsia="Google Sans" w:hAnsi="Google Sans"/>
          <w:color w:val="000000"/>
          <w:rtl w:val="0"/>
        </w:rPr>
        <w:t xml:space="preserve"> Integrates Web Audio API to capture the expert's voice, streaming chunks to a localized Speech-to-Text (STT) service or WebSocket endpoint.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Thread Manager Component:</w:t>
      </w:r>
      <w:r w:rsidDel="00000000" w:rsidR="00000000" w:rsidRPr="00000000">
        <w:rPr>
          <w:rFonts w:ascii="Google Sans" w:cs="Google Sans" w:eastAsia="Google Sans" w:hAnsi="Google Sans"/>
          <w:color w:val="000000"/>
          <w:rtl w:val="0"/>
        </w:rPr>
        <w:t xml:space="preserve"> Maintains the conversational state. It locally caches the conversation array containing [{role: 'ai_journalist', content: '...'}, {role: 'expert', content: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Context Injector (Manual Override):</w:t>
      </w:r>
      <w:r w:rsidDel="00000000" w:rsidR="00000000" w:rsidRPr="00000000">
        <w:rPr>
          <w:rFonts w:ascii="Google Sans" w:cs="Google Sans" w:eastAsia="Google Sans" w:hAnsi="Google Sans"/>
          <w:color w:val="000000"/>
          <w:rtl w:val="0"/>
        </w:rPr>
        <w:t xml:space="preserve"> Provides a temporary UI module allowing engineers to manually paste "Add-on Context" during Day 2/Day 3 testing before the automated pipeline is fully enabled.</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2. API Gateway &amp; Backend Services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The backend microservices are built on FastAPI (Python) for asynchronous, high-throughput request handling. The backend acts as the orchestrator between the client, the database, and the LLM APIs.</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color w:val="000000"/>
                <w:shd w:fill="auto" w:val="clear"/>
              </w:rPr>
            </w:pPr>
            <w:r w:rsidDel="00000000" w:rsidR="00000000" w:rsidRPr="00000000">
              <w:rPr>
                <w:rFonts w:ascii="Google Sans" w:cs="Google Sans" w:eastAsia="Google Sans" w:hAnsi="Google Sans"/>
                <w:b w:val="1"/>
                <w:bCs w:val="1"/>
                <w:color w:val="000000"/>
                <w:shd w:fill="auto" w:val="clear"/>
                <w:rtl w:val="0"/>
              </w:rPr>
              <w:t xml:space="preserve">Endpoint</w:t>
            </w:r>
          </w:p>
        </w:tc>
        <w:tc>
          <w:tcPr>
            <w:tcBorders>
              <w:top w:color="dddddd" w:space="0" w:sz="6" w:val="single"/>
              <w:left w:color="dddddd" w:space="0" w:sz="6" w:val="single"/>
              <w:bottom w:color="dddddd" w:space="0" w:sz="6" w:val="single"/>
              <w:right w:color="dddddd"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color w:val="000000"/>
                <w:shd w:fill="auto" w:val="clear"/>
              </w:rPr>
            </w:pPr>
            <w:r w:rsidDel="00000000" w:rsidR="00000000" w:rsidRPr="00000000">
              <w:rPr>
                <w:rFonts w:ascii="Google Sans" w:cs="Google Sans" w:eastAsia="Google Sans" w:hAnsi="Google Sans"/>
                <w:b w:val="1"/>
                <w:bCs w:val="1"/>
                <w:color w:val="000000"/>
                <w:shd w:fill="auto" w:val="clear"/>
                <w:rtl w:val="0"/>
              </w:rPr>
              <w:t xml:space="preserve">Method</w:t>
            </w:r>
          </w:p>
        </w:tc>
        <w:tc>
          <w:tcPr>
            <w:tcBorders>
              <w:top w:color="dddddd" w:space="0" w:sz="6" w:val="single"/>
              <w:left w:color="dddddd" w:space="0" w:sz="6" w:val="single"/>
              <w:bottom w:color="dddddd" w:space="0" w:sz="6" w:val="single"/>
              <w:right w:color="dddddd" w:space="0" w:sz="6" w:val="single"/>
            </w:tcBorders>
            <w:shd w:fill="e8f0fe"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b w:val="1"/>
                <w:bCs w:val="1"/>
                <w:color w:val="000000"/>
                <w:shd w:fill="auto" w:val="clear"/>
              </w:rPr>
            </w:pPr>
            <w:r w:rsidDel="00000000" w:rsidR="00000000" w:rsidRPr="00000000">
              <w:rPr>
                <w:rFonts w:ascii="Google Sans" w:cs="Google Sans" w:eastAsia="Google Sans" w:hAnsi="Google Sans"/>
                <w:b w:val="1"/>
                <w:bCs w:val="1"/>
                <w:color w:val="000000"/>
                <w:shd w:fill="auto" w:val="clear"/>
                <w:rtl w:val="0"/>
              </w:rPr>
              <w:t xml:space="preserve">Functionality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/api/v1/interview/start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POST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Initializes the interview session, loads the base prompt, and returns the first generated question.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/api/v1/interview/next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POST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Receives the expert's STT answer, triggers the RAG retrieval pipeline, and returns the next LLM-generated question.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/api/v1/knowledge/ingest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POST</w:t>
            </w:r>
          </w:p>
        </w:tc>
        <w:tc>
          <w:tcPr>
            <w:tcBorders>
              <w:top w:color="dddddd" w:space="0" w:sz="6" w:val="single"/>
              <w:left w:color="dddddd" w:space="0" w:sz="6" w:val="single"/>
              <w:bottom w:color="dddddd" w:space="0" w:sz="6" w:val="single"/>
              <w:right w:color="dddddd"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0" w:before="180"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Webhook endpoint for n8n to push cleaned YouTube transcript chunks into the database.</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3. Data Layer &amp; Knowledge Hub Infrastructure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The storage layer utilizes Supabase (PostgreSQL). To optimize query latency during live interviews, the data retrieval pipeline bypasses traditional ORM frameworks, utilizing raw SQL queries wrapped in pure Python functions. This standalone ingestion and retrieval pipeline ensures microsecond access to transcript embeddings.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300" w:lineRule="auto"/>
        <w:rPr>
          <w:rFonts w:ascii="Google Sans" w:cs="Google Sans" w:eastAsia="Google Sans" w:hAnsi="Google Sans"/>
          <w:color w:val="3c4043"/>
        </w:rPr>
      </w:pPr>
      <w:r w:rsidDel="00000000" w:rsidR="00000000" w:rsidRPr="00000000">
        <w:rPr>
          <w:rFonts w:ascii="Google Sans" w:cs="Google Sans" w:eastAsia="Google Sans" w:hAnsi="Google Sans"/>
          <w:color w:val="3c4043"/>
          <w:rtl w:val="0"/>
        </w:rPr>
        <w:t xml:space="preserve">3.1 Automated Ingestion via n8n</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Trigger:</w:t>
      </w:r>
      <w:r w:rsidDel="00000000" w:rsidR="00000000" w:rsidRPr="00000000">
        <w:rPr>
          <w:rFonts w:ascii="Google Sans" w:cs="Google Sans" w:eastAsia="Google Sans" w:hAnsi="Google Sans"/>
          <w:color w:val="000000"/>
          <w:rtl w:val="0"/>
        </w:rPr>
        <w:t xml:space="preserve"> Scheduled CRON job or manual webhook via n8n.</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Extraction:</w:t>
      </w:r>
      <w:r w:rsidDel="00000000" w:rsidR="00000000" w:rsidRPr="00000000">
        <w:rPr>
          <w:rFonts w:ascii="Google Sans" w:cs="Google Sans" w:eastAsia="Google Sans" w:hAnsi="Google Sans"/>
          <w:color w:val="000000"/>
          <w:rtl w:val="0"/>
        </w:rPr>
        <w:t xml:space="preserve"> Scrapes target YouTube podcast playlists using designated APIs.</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Transformation:</w:t>
      </w:r>
      <w:r w:rsidDel="00000000" w:rsidR="00000000" w:rsidRPr="00000000">
        <w:rPr>
          <w:rFonts w:ascii="Google Sans" w:cs="Google Sans" w:eastAsia="Google Sans" w:hAnsi="Google Sans"/>
          <w:color w:val="000000"/>
          <w:rtl w:val="0"/>
        </w:rPr>
        <w:t xml:space="preserve"> Parses VTT/SRT transcript files, strips timestamps, and chunks text into semantically complete paragraphs.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Embedding:</w:t>
      </w:r>
      <w:r w:rsidDel="00000000" w:rsidR="00000000" w:rsidRPr="00000000">
        <w:rPr>
          <w:rFonts w:ascii="Google Sans" w:cs="Google Sans" w:eastAsia="Google Sans" w:hAnsi="Google Sans"/>
          <w:color w:val="000000"/>
          <w:rtl w:val="0"/>
        </w:rPr>
        <w:t xml:space="preserve"> Passes chunks through an embedding model and inserts the vectors directly into the Supabase knowledge_chunks table via the /api/v1/knowledge/ingest endpoint.</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4. Advanced RAG Implementation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To handle complex subject matter like early childhood care efficiently, the system implements a sophisticated retrieval approach to filter out conversational noise from the podcast data.</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Hybrid RAG:</w:t>
      </w:r>
      <w:r w:rsidDel="00000000" w:rsidR="00000000" w:rsidRPr="00000000">
        <w:rPr>
          <w:rFonts w:ascii="Google Sans" w:cs="Google Sans" w:eastAsia="Google Sans" w:hAnsi="Google Sans"/>
          <w:color w:val="000000"/>
          <w:rtl w:val="0"/>
        </w:rPr>
        <w:t xml:space="preserve"> Combines dense vector search (semantic similarity) with sparse keyword search (BM25 lexical search). This ensures that if an expert specifically mentions "12-month caloric intake," exact term matches are weighted alongside conceptual matches.</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Hierarchical RAG (HRAG):</w:t>
      </w:r>
      <w:r w:rsidDel="00000000" w:rsidR="00000000" w:rsidRPr="00000000">
        <w:rPr>
          <w:rFonts w:ascii="Google Sans" w:cs="Google Sans" w:eastAsia="Google Sans" w:hAnsi="Google Sans"/>
          <w:color w:val="000000"/>
          <w:rtl w:val="0"/>
        </w:rPr>
        <w:t xml:space="preserve"> Data is stored in parent-child relationships. A "parent" summary node (e.g., "General 1-year-old dietary shifts") points to highly detailed "child" transcript chunks. The system queries the parent summaries first to determine relevance, then retrieves the granular child chunks to form the final "Add-on Context."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before="300" w:line="300" w:lineRule="auto"/>
        <w:rPr>
          <w:rFonts w:ascii="Google Sans" w:cs="Google Sans" w:eastAsia="Google Sans" w:hAnsi="Google Sans"/>
          <w:color w:val="202124"/>
        </w:rPr>
      </w:pPr>
      <w:r w:rsidDel="00000000" w:rsidR="00000000" w:rsidRPr="00000000">
        <w:rPr>
          <w:rFonts w:ascii="Google Sans" w:cs="Google Sans" w:eastAsia="Google Sans" w:hAnsi="Google Sans"/>
          <w:color w:val="202124"/>
          <w:rtl w:val="0"/>
        </w:rPr>
        <w:t xml:space="preserve">5. LLM Orchestration &amp; Zero-Trust Architecture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Prompt engineering is governed by a strict four-layer Zero-Trust defense system to eliminate AI hallucination and ensure the AI Journalist remains within the bounds of the retrieved facts.</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Identity Verification Layer:</w:t>
      </w:r>
      <w:r w:rsidDel="00000000" w:rsidR="00000000" w:rsidRPr="00000000">
        <w:rPr>
          <w:rFonts w:ascii="Google Sans" w:cs="Google Sans" w:eastAsia="Google Sans" w:hAnsi="Google Sans"/>
          <w:color w:val="000000"/>
          <w:rtl w:val="0"/>
        </w:rPr>
        <w:t xml:space="preserve"> Forces the LLM into the specific constraints of the "Expert Journalist" persona for every single turn.</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Contextual Boundary Layer:</w:t>
      </w:r>
      <w:r w:rsidDel="00000000" w:rsidR="00000000" w:rsidRPr="00000000">
        <w:rPr>
          <w:rFonts w:ascii="Google Sans" w:cs="Google Sans" w:eastAsia="Google Sans" w:hAnsi="Google Sans"/>
          <w:color w:val="000000"/>
          <w:rtl w:val="0"/>
        </w:rPr>
        <w:t xml:space="preserve"> The LLM is instructed to treat the provided Hybrid RAG snippet as immutable ground truth.</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Logical Synthesis Layer:</w:t>
      </w:r>
      <w:r w:rsidDel="00000000" w:rsidR="00000000" w:rsidRPr="00000000">
        <w:rPr>
          <w:rFonts w:ascii="Google Sans" w:cs="Google Sans" w:eastAsia="Google Sans" w:hAnsi="Google Sans"/>
          <w:color w:val="000000"/>
          <w:rtl w:val="0"/>
        </w:rPr>
        <w:t xml:space="preserve"> Forces the LLM to identify the "delta" between the expert's answer and the retrieved context.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Google Sans" w:cs="Google Sans" w:eastAsia="Google Sans" w:hAnsi="Google Sans"/>
          <w:b w:val="1"/>
          <w:bCs w:val="1"/>
          <w:color w:val="000000"/>
          <w:rtl w:val="0"/>
        </w:rPr>
        <w:t xml:space="preserve">Output Constraint Layer:</w:t>
      </w:r>
      <w:r w:rsidDel="00000000" w:rsidR="00000000" w:rsidRPr="00000000">
        <w:rPr>
          <w:rFonts w:ascii="Google Sans" w:cs="Google Sans" w:eastAsia="Google Sans" w:hAnsi="Google Sans"/>
          <w:color w:val="000000"/>
          <w:rtl w:val="0"/>
        </w:rPr>
        <w:t xml:space="preserve"> Dictates that the output must be exactly one question, with no pre-amble, hedging, or generic acknowledgments.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225" w:line="300" w:lineRule="auto"/>
        <w:rPr>
          <w:rFonts w:ascii="Google Sans" w:cs="Google Sans" w:eastAsia="Google Sans" w:hAnsi="Google Sans"/>
          <w:color w:val="3c4043"/>
        </w:rPr>
      </w:pPr>
      <w:r w:rsidDel="00000000" w:rsidR="00000000" w:rsidRPr="00000000">
        <w:rPr>
          <w:rFonts w:ascii="Google Sans" w:cs="Google Sans" w:eastAsia="Google Sans" w:hAnsi="Google Sans"/>
          <w:color w:val="3c4043"/>
          <w:rtl w:val="0"/>
        </w:rPr>
        <w:t xml:space="preserve">5.1 Core Orchestration Function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525" w:before="225" w:line="360" w:lineRule="auto"/>
        <w:ind w:left="225" w:right="225" w:firstLine="0"/>
        <w:rPr>
          <w:rFonts w:ascii="Arial" w:cs="Arial" w:eastAsia="Arial" w:hAnsi="Arial"/>
          <w:color w:val="333333"/>
          <w:sz w:val="20"/>
          <w:szCs w:val="20"/>
          <w:shd w:fill="f8f9fa" w:val="clear"/>
        </w:rPr>
      </w:pPr>
      <w:r w:rsidDel="00000000" w:rsidR="00000000" w:rsidRPr="00000000">
        <w:rPr>
          <w:rFonts w:ascii="Arial" w:cs="Arial" w:eastAsia="Arial" w:hAnsi="Arial"/>
          <w:color w:val="333333"/>
          <w:sz w:val="20"/>
          <w:szCs w:val="20"/>
          <w:shd w:fill="f8f9fa" w:val="clear"/>
          <w:rtl w:val="0"/>
        </w:rPr>
        <w:t xml:space="preserve">def generate_next_question(expert_answer: str, user_session_id: str) -&gt; str:</w:t>
        <w:br w:type="textWrapping"/>
        <w:t xml:space="preserve">    # 1. Execute raw SQL via Pure Python to fetch Hybrid RAG context</w:t>
        <w:br w:type="textWrapping"/>
        <w:t xml:space="preserve">    db_context = hybrid_rag_fetch(query=expert_answer, top_k=1)</w:t>
        <w:br w:type="textWrapping"/>
        <w:t xml:space="preserve">    </w:t>
        <w:br w:type="textWrapping"/>
        <w:t xml:space="preserve">    # 2. Assemble Zero-Trust Prompt</w:t>
        <w:br w:type="textWrapping"/>
        <w:t xml:space="preserve">    system_prompt = f"""</w:t>
        <w:br w:type="textWrapping"/>
        <w:t xml:space="preserve">    You are an AI Journalist. Adhere strictly to the facts below.</w:t>
        <w:br w:type="textWrapping"/>
        <w:t xml:space="preserve">    EXPERT ANSWER: {expert_answer}</w:t>
        <w:br w:type="textWrapping"/>
        <w:t xml:space="preserve">    ADD-ON CONTEXT: {db_context}</w:t>
        <w:br w:type="textWrapping"/>
        <w:t xml:space="preserve">    </w:t>
        <w:br w:type="textWrapping"/>
        <w:t xml:space="preserve">    TASK: Synthesize the EXPERT ANSWER and the ADD-ON CONTEXT. </w:t>
        <w:br w:type="textWrapping"/>
        <w:t xml:space="preserve">    Identify the conceptual gap and ask ONE highly targeted, technical </w:t>
        <w:br w:type="textWrapping"/>
        <w:t xml:space="preserve">    follow-up question to advance the thought-leadership narrative.</w:t>
        <w:br w:type="textWrapping"/>
        <w:t xml:space="preserve">    """</w:t>
        <w:br w:type="textWrapping"/>
        <w:t xml:space="preserve">    </w:t>
        <w:br w:type="textWrapping"/>
        <w:t xml:space="preserve">    # 3. Call LLM API</w:t>
        <w:br w:type="textWrapping"/>
        <w:t xml:space="preserve">    response = llm_client.generate(prompt=system_prompt, temperature=0.3)</w:t>
        <w:br w:type="textWrapping"/>
        <w:t xml:space="preserve">    return response.text</w:t>
        <w:br w:type="textWrapping"/>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00" w:lineRule="auto"/>
        <w:rPr>
          <w:rFonts w:ascii="Google Sans" w:cs="Google Sans" w:eastAsia="Google Sans" w:hAnsi="Google Sans"/>
          <w:color w:val="000000"/>
        </w:rPr>
      </w:pPr>
      <w:r w:rsidDel="00000000" w:rsidR="00000000" w:rsidRPr="00000000">
        <w:rPr>
          <w:rFonts w:ascii="Google Sans" w:cs="Google Sans" w:eastAsia="Google Sans" w:hAnsi="Google Sans"/>
          <w:color w:val="000000"/>
          <w:rtl w:val="0"/>
        </w:rPr>
        <w:t xml:space="preserve">By enforcing this deterministic loop, the architecture guarantees a resilient, deeply informative interview process capable of transforming raw database knowledge into dynamic, engaging expert conversations.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