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02A33"/>
          <w:sz w:val="40"/>
        </w:rPr>
        <w:t>OTTOBON</w:t>
      </w:r>
    </w:p>
    <w:p>
      <w:pPr>
        <w:jc w:val="center"/>
      </w:pPr>
      <w:r>
        <w:rPr>
          <w:b/>
          <w:color w:val="E84633"/>
          <w:sz w:val="56"/>
        </w:rPr>
        <w:t>Course Platform Business Overview</w:t>
      </w:r>
    </w:p>
    <w:p>
      <w:pPr>
        <w:jc w:val="center"/>
      </w:pPr>
      <w:r>
        <w:rPr>
          <w:i/>
          <w:color w:val="102A33"/>
          <w:sz w:val="26"/>
        </w:rPr>
        <w:t>Structured AI-native learning for practical upskilling</w:t>
      </w:r>
    </w:p>
    <w:tbl>
      <w:tblPr>
        <w:tblW w:type="auto" w:w="0"/>
        <w:jc w:val="center"/>
        <w:tblLayout w:type="autofit"/>
        <w:tblLook w:firstColumn="1" w:firstRow="1" w:lastColumn="0" w:lastRow="0" w:noHBand="0" w:noVBand="1" w:val="04A0"/>
        <w:tblBorders>
          <w:top w:val="single" w:sz="4" w:space="0" w:color="F2D5C5"/>
          <w:left w:val="single" w:sz="4" w:space="0" w:color="F2D5C5"/>
          <w:bottom w:val="single" w:sz="4" w:space="0" w:color="F2D5C5"/>
          <w:right w:val="single" w:sz="4" w:space="0" w:color="F2D5C5"/>
          <w:insideH w:val="single" w:sz="4" w:space="0" w:color="F2D5C5"/>
          <w:insideV w:val="single" w:sz="4" w:space="0" w:color="F2D5C5"/>
        </w:tblBorders>
      </w:tblPr>
      <w:tblGrid>
        <w:gridCol w:w="10166"/>
      </w:tblGrid>
      <w:tr>
        <w:tc>
          <w:tcPr>
            <w:tcW w:type="dxa" w:w="10166"/>
            <w:shd w:fill="FDEAD8"/>
          </w:tcPr>
          <w:p>
            <w:pPr>
              <w:spacing w:after="80"/>
            </w:pPr>
            <w:r>
              <w:rPr>
                <w:b/>
                <w:color w:val="E84633"/>
                <w:sz w:val="22"/>
              </w:rPr>
              <w:t>Document Intent</w:t>
            </w:r>
          </w:p>
          <w:p>
            <w:pPr>
              <w:spacing w:after="0" w:line="252" w:lineRule="auto"/>
            </w:pPr>
            <w:r>
              <w:t>This document explains the Course Platform as a business/product offering within Ottobon Academy. It covers the problem being solved, target users, core capabilities, methodology, technology architecture, differentiators, workflows, and future roadmap.</w:t>
            </w:r>
          </w:p>
        </w:tc>
      </w:tr>
    </w:tbl>
    <w:p>
      <w:pPr>
        <w:spacing w:after="40"/>
      </w:pP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2592"/>
            <w:shd w:fill="E84633"/>
            <w:vAlign w:val="center"/>
          </w:tcPr>
          <w:p>
            <w:pPr>
              <w:spacing w:after="0"/>
            </w:pPr>
            <w:r/>
            <w:r>
              <w:rPr>
                <w:b/>
                <w:color w:val="FFFFFF"/>
                <w:sz w:val="17"/>
              </w:rPr>
              <w:t>Field</w:t>
            </w:r>
          </w:p>
        </w:tc>
        <w:tc>
          <w:tcPr>
            <w:tcW w:type="dxa" w:w="8352"/>
            <w:shd w:fill="E84633"/>
            <w:vAlign w:val="center"/>
          </w:tcPr>
          <w:p>
            <w:pPr>
              <w:spacing w:after="0"/>
            </w:pPr>
            <w:r/>
            <w:r>
              <w:rPr>
                <w:b/>
                <w:color w:val="FFFFFF"/>
                <w:sz w:val="17"/>
              </w:rPr>
              <w:t>Description</w:t>
            </w:r>
          </w:p>
        </w:tc>
      </w:tr>
      <w:tr>
        <w:tc>
          <w:tcPr>
            <w:tcW w:type="dxa" w:w="2592"/>
            <w:vAlign w:val="top"/>
          </w:tcPr>
          <w:p>
            <w:pPr>
              <w:spacing w:after="0"/>
            </w:pPr>
            <w:r>
              <w:rPr>
                <w:b/>
                <w:color w:val="102A33"/>
              </w:rPr>
            </w:r>
            <w:r>
              <w:rPr>
                <w:b/>
                <w:color w:val="102A33"/>
                <w:sz w:val="16"/>
              </w:rPr>
              <w:t>Offering Name</w:t>
            </w:r>
          </w:p>
        </w:tc>
        <w:tc>
          <w:tcPr>
            <w:tcW w:type="dxa" w:w="8352"/>
            <w:vAlign w:val="top"/>
          </w:tcPr>
          <w:p>
            <w:pPr>
              <w:spacing w:after="0"/>
            </w:pPr>
            <w:r/>
            <w:r>
              <w:rPr>
                <w:b w:val="0"/>
                <w:sz w:val="16"/>
              </w:rPr>
              <w:t>Ottobon Learning Platform / Course Platform</w:t>
            </w:r>
          </w:p>
        </w:tc>
      </w:tr>
      <w:tr>
        <w:tc>
          <w:tcPr>
            <w:tcW w:type="dxa" w:w="2592"/>
            <w:vAlign w:val="top"/>
          </w:tcPr>
          <w:p>
            <w:pPr>
              <w:spacing w:after="0"/>
            </w:pPr>
            <w:r>
              <w:rPr>
                <w:b/>
                <w:color w:val="102A33"/>
              </w:rPr>
            </w:r>
            <w:r>
              <w:rPr>
                <w:b/>
                <w:color w:val="102A33"/>
                <w:sz w:val="16"/>
              </w:rPr>
              <w:t>Parent Entity</w:t>
            </w:r>
          </w:p>
        </w:tc>
        <w:tc>
          <w:tcPr>
            <w:tcW w:type="dxa" w:w="8352"/>
            <w:vAlign w:val="top"/>
          </w:tcPr>
          <w:p>
            <w:pPr>
              <w:spacing w:after="0"/>
            </w:pPr>
            <w:r/>
            <w:r>
              <w:rPr>
                <w:b w:val="0"/>
                <w:sz w:val="16"/>
              </w:rPr>
              <w:t>Ottobon Academy</w:t>
            </w:r>
          </w:p>
        </w:tc>
      </w:tr>
      <w:tr>
        <w:tc>
          <w:tcPr>
            <w:tcW w:type="dxa" w:w="2592"/>
            <w:vAlign w:val="top"/>
          </w:tcPr>
          <w:p>
            <w:pPr>
              <w:spacing w:after="0"/>
            </w:pPr>
            <w:r>
              <w:rPr>
                <w:b/>
                <w:color w:val="102A33"/>
              </w:rPr>
            </w:r>
            <w:r>
              <w:rPr>
                <w:b/>
                <w:color w:val="102A33"/>
                <w:sz w:val="16"/>
              </w:rPr>
              <w:t>Primary Outcome</w:t>
            </w:r>
          </w:p>
        </w:tc>
        <w:tc>
          <w:tcPr>
            <w:tcW w:type="dxa" w:w="8352"/>
            <w:vAlign w:val="top"/>
          </w:tcPr>
          <w:p>
            <w:pPr>
              <w:spacing w:after="0"/>
            </w:pPr>
            <w:r/>
            <w:r>
              <w:rPr>
                <w:b w:val="0"/>
                <w:sz w:val="16"/>
              </w:rPr>
              <w:t>Move learners from passive learning to practical skill-building</w:t>
            </w:r>
          </w:p>
        </w:tc>
      </w:tr>
      <w:tr>
        <w:tc>
          <w:tcPr>
            <w:tcW w:type="dxa" w:w="2592"/>
            <w:vAlign w:val="top"/>
          </w:tcPr>
          <w:p>
            <w:pPr>
              <w:spacing w:after="0"/>
            </w:pPr>
            <w:r>
              <w:rPr>
                <w:b/>
                <w:color w:val="102A33"/>
              </w:rPr>
            </w:r>
            <w:r>
              <w:rPr>
                <w:b/>
                <w:color w:val="102A33"/>
                <w:sz w:val="16"/>
              </w:rPr>
              <w:t>Core Framework</w:t>
            </w:r>
          </w:p>
        </w:tc>
        <w:tc>
          <w:tcPr>
            <w:tcW w:type="dxa" w:w="8352"/>
            <w:vAlign w:val="top"/>
          </w:tcPr>
          <w:p>
            <w:pPr>
              <w:spacing w:after="0"/>
            </w:pPr>
            <w:r/>
            <w:r>
              <w:rPr>
                <w:b w:val="0"/>
                <w:sz w:val="16"/>
              </w:rPr>
              <w:t>Learn / Listen -&gt; Comprehend -&gt; Articulate -&gt; Apply</w:t>
            </w:r>
          </w:p>
        </w:tc>
      </w:tr>
      <w:tr>
        <w:tc>
          <w:tcPr>
            <w:tcW w:type="dxa" w:w="2592"/>
            <w:vAlign w:val="top"/>
          </w:tcPr>
          <w:p>
            <w:pPr>
              <w:spacing w:after="0"/>
            </w:pPr>
            <w:r>
              <w:rPr>
                <w:b/>
                <w:color w:val="102A33"/>
              </w:rPr>
            </w:r>
            <w:r>
              <w:rPr>
                <w:b/>
                <w:color w:val="102A33"/>
                <w:sz w:val="16"/>
              </w:rPr>
              <w:t>Primary Audience</w:t>
            </w:r>
          </w:p>
        </w:tc>
        <w:tc>
          <w:tcPr>
            <w:tcW w:type="dxa" w:w="8352"/>
            <w:vAlign w:val="top"/>
          </w:tcPr>
          <w:p>
            <w:pPr>
              <w:spacing w:after="0"/>
            </w:pPr>
            <w:r/>
            <w:r>
              <w:rPr>
                <w:b w:val="0"/>
                <w:sz w:val="16"/>
              </w:rPr>
              <w:t>Students, career switchers, junior developers, tutors, mentors, and academy operations teams</w:t>
            </w:r>
          </w:p>
        </w:tc>
      </w:tr>
    </w:tbl>
    <w:p>
      <w:pPr>
        <w:spacing w:after="40"/>
      </w:pPr>
    </w:p>
    <w:p>
      <w:pPr>
        <w:spacing w:before="320"/>
        <w:jc w:val="center"/>
      </w:pPr>
      <w:r>
        <w:rPr>
          <w:b/>
          <w:color w:val="102A33"/>
          <w:sz w:val="32"/>
        </w:rPr>
        <w:t>Don't just watch. Build.</w:t>
      </w:r>
    </w:p>
    <w:p>
      <w:r>
        <w:br w:type="page"/>
      </w:r>
    </w:p>
    <w:p>
      <w:pPr>
        <w:pStyle w:val="Heading1"/>
        <w:keepNext/>
      </w:pPr>
      <w:r>
        <w:t>Contents</w:t>
      </w:r>
    </w:p>
    <w:p>
      <w:pPr>
        <w:spacing w:after="80"/>
      </w:pPr>
      <w:r>
        <w:t>1. Agent Overview</w:t>
      </w:r>
    </w:p>
    <w:p>
      <w:pPr>
        <w:spacing w:after="80"/>
      </w:pPr>
      <w:r>
        <w:t>2. Purpose &amp; Problem Statement</w:t>
      </w:r>
    </w:p>
    <w:p>
      <w:pPr>
        <w:spacing w:after="80"/>
      </w:pPr>
      <w:r>
        <w:t>3. Target Users / Stakeholders</w:t>
      </w:r>
    </w:p>
    <w:p>
      <w:pPr>
        <w:spacing w:after="80"/>
      </w:pPr>
      <w:r>
        <w:t>4. Core Functionalities</w:t>
      </w:r>
    </w:p>
    <w:p>
      <w:pPr>
        <w:spacing w:after="80"/>
      </w:pPr>
      <w:r>
        <w:t>5. Tools, Tech Stack &amp; Architecture</w:t>
      </w:r>
    </w:p>
    <w:p>
      <w:pPr>
        <w:spacing w:after="80"/>
      </w:pPr>
      <w:r>
        <w:t>6. Key Workflows</w:t>
      </w:r>
    </w:p>
    <w:p>
      <w:pPr>
        <w:spacing w:after="80"/>
      </w:pPr>
      <w:r>
        <w:t>7. Market Differentiation &amp; Uniqueness</w:t>
      </w:r>
    </w:p>
    <w:p>
      <w:pPr>
        <w:spacing w:after="80"/>
      </w:pPr>
      <w:r>
        <w:t>8. Future Enhancements / Roadmap</w:t>
      </w:r>
    </w:p>
    <w:p>
      <w:pPr>
        <w:spacing w:after="80"/>
      </w:pPr>
      <w:r>
        <w:t>9. Final Summary</w:t>
      </w:r>
    </w:p>
    <w:p>
      <w:pPr>
        <w:pStyle w:val="Heading1"/>
        <w:keepNext/>
      </w:pPr>
      <w:r>
        <w:t>1. Agent Overview</w:t>
      </w:r>
    </w:p>
    <w:p>
      <w:pPr>
        <w:spacing w:after="160" w:line="259" w:lineRule="auto"/>
      </w:pPr>
      <w:r>
        <w:t>The Ottobon Course Platform is the learning product inside the Ottobon Academy ecosystem. It is designed as a structured, AI-native learning environment that helps students move from consuming content to building practical capability. The platform is not positioned as a generic video course portal; it is a guided upskilling system that combines structured course delivery, personalized content, assessment checkpoints, AI-assisted doubt clarification, assignments, cohort engagement, and progress visibility.</w:t>
      </w:r>
    </w:p>
    <w:p>
      <w:pPr>
        <w:spacing w:after="160" w:line="259" w:lineRule="auto"/>
      </w:pPr>
      <w:r>
        <w:t>The central product idea is that learners do not need more random content. They need a complete learning environment that helps them understand, validate, apply, and improve. The Course Platform creates that environment by turning the learning journey into a repeatable framework: Learn / Listen -&gt; Comprehend -&gt; Articulate -&gt; Apply.</w:t>
      </w:r>
    </w:p>
    <w:tbl>
      <w:tblPr>
        <w:tblW w:type="auto" w:w="0"/>
        <w:jc w:val="center"/>
        <w:tblLayout w:type="autofit"/>
        <w:tblLook w:firstColumn="1" w:firstRow="1" w:lastColumn="0" w:lastRow="0" w:noHBand="0" w:noVBand="1" w:val="04A0"/>
        <w:tblBorders>
          <w:top w:val="single" w:sz="4" w:space="0" w:color="F2D5C5"/>
          <w:left w:val="single" w:sz="4" w:space="0" w:color="F2D5C5"/>
          <w:bottom w:val="single" w:sz="4" w:space="0" w:color="F2D5C5"/>
          <w:right w:val="single" w:sz="4" w:space="0" w:color="F2D5C5"/>
          <w:insideH w:val="single" w:sz="4" w:space="0" w:color="F2D5C5"/>
          <w:insideV w:val="single" w:sz="4" w:space="0" w:color="F2D5C5"/>
        </w:tblBorders>
      </w:tblPr>
      <w:tblGrid>
        <w:gridCol w:w="10166"/>
      </w:tblGrid>
      <w:tr>
        <w:tc>
          <w:tcPr>
            <w:tcW w:type="dxa" w:w="10166"/>
            <w:shd w:fill="F7FBFC"/>
          </w:tcPr>
          <w:p>
            <w:pPr>
              <w:spacing w:after="80"/>
            </w:pPr>
            <w:r>
              <w:rPr>
                <w:b/>
                <w:color w:val="E84633"/>
                <w:sz w:val="22"/>
              </w:rPr>
              <w:t>Business Positioning</w:t>
            </w:r>
          </w:p>
          <w:p>
            <w:pPr>
              <w:spacing w:after="0" w:line="252" w:lineRule="auto"/>
            </w:pPr>
            <w:r>
              <w:t>The Course Platform is Ottobon Academy's student-facing learning engine. It converts the academy's methodology into an interactive product experience where learners can follow a structured path, receive AI-assisted guidance, validate understanding, and apply knowledge through practical tasks.</w:t>
            </w:r>
          </w:p>
        </w:tc>
      </w:tr>
    </w:tbl>
    <w:p>
      <w:pPr>
        <w:spacing w:after="40"/>
      </w:pPr>
    </w:p>
    <w:p>
      <w:pPr>
        <w:pStyle w:val="Heading2"/>
        <w:keepNext/>
      </w:pPr>
      <w:r>
        <w:t>1.1 Offering Role inside Ottobon Academy</w:t>
      </w:r>
    </w:p>
    <w:p>
      <w:pPr>
        <w:spacing w:after="160" w:line="259" w:lineRule="auto"/>
      </w:pPr>
      <w:r>
        <w:t>Ottobon Academy can be understood as the larger career-learning ecosystem. The Course Platform is the starting point where learners begin structured upskilling. Other academy offerings may support expert access or job readiness, but the Course Platform is where foundational learning, practice, assessment, and progress are created.</w:t>
      </w:r>
    </w:p>
    <w:p>
      <w:pPr>
        <w:pStyle w:val="ListBullet"/>
        <w:spacing w:after="60"/>
      </w:pPr>
      <w:r>
        <w:rPr>
          <w:b/>
        </w:rPr>
        <w:t xml:space="preserve">Academy role: </w:t>
      </w:r>
      <w:r>
        <w:t>Parent brand and ecosystem that introduces learners to Ottobon's broader mission.</w:t>
      </w:r>
    </w:p>
    <w:p>
      <w:pPr>
        <w:pStyle w:val="ListBullet"/>
        <w:spacing w:after="60"/>
      </w:pPr>
      <w:r>
        <w:rPr>
          <w:b/>
        </w:rPr>
        <w:t xml:space="preserve">Course Platform role: </w:t>
      </w:r>
      <w:r>
        <w:t>Dedicated learning environment where structured upskilling happens.</w:t>
      </w:r>
    </w:p>
    <w:p>
      <w:pPr>
        <w:pStyle w:val="ListBullet"/>
        <w:spacing w:after="60"/>
      </w:pPr>
      <w:r>
        <w:rPr>
          <w:b/>
        </w:rPr>
        <w:t xml:space="preserve">Learner promise: </w:t>
      </w:r>
      <w:r>
        <w:t>Stop only watching content; start understanding, practicing, applying, and building.</w:t>
      </w:r>
    </w:p>
    <w:p>
      <w:pPr>
        <w:pStyle w:val="Heading1"/>
        <w:keepNext/>
      </w:pPr>
      <w:r>
        <w:t>2. Purpose &amp; Problem Statement</w:t>
      </w:r>
    </w:p>
    <w:p>
      <w:pPr>
        <w:pStyle w:val="Heading2"/>
        <w:keepNext/>
      </w:pPr>
      <w:r>
        <w:t>2.1 Problem Statement</w:t>
      </w:r>
    </w:p>
    <w:p>
      <w:pPr>
        <w:spacing w:after="160" w:line="259" w:lineRule="auto"/>
      </w:pPr>
      <w:r>
        <w:t>Modern learners have access to unlimited content: tutorials, videos, blogs, online courses, documentation, and AI tools. Despite this, many learners still struggle to build real projects or apply concepts independently. The problem is not content scarcity; the problem is the absence of structure, guidance, validation, feedback, and practical execution.</w:t>
      </w:r>
    </w:p>
    <w:p>
      <w:pPr>
        <w:spacing w:after="160" w:line="259" w:lineRule="auto"/>
      </w:pPr>
      <w:r>
        <w:t>Traditional learning platforms often stop at explanation. Learners watch a lesson, move to the next module, and may not know whether they truly understood the concept. When they face confusion, support may be delayed or unavailable. When they finish a course, they may still lack the confidence to build independently.</w:t>
      </w:r>
    </w:p>
    <w:p>
      <w:pPr>
        <w:pStyle w:val="Heading2"/>
        <w:keepNext/>
      </w:pPr>
      <w:r>
        <w:t>2.2 Why this matters</w:t>
      </w:r>
    </w:p>
    <w:p>
      <w:pPr>
        <w:pStyle w:val="ListBullet"/>
        <w:spacing w:after="60"/>
      </w:pPr>
      <w:r>
        <w:t>Learners experience tutorial fatigue: they watch many videos but still cannot build independently.</w:t>
      </w:r>
    </w:p>
    <w:p>
      <w:pPr>
        <w:pStyle w:val="ListBullet"/>
        <w:spacing w:after="60"/>
      </w:pPr>
      <w:r>
        <w:t>Passive content consumption creates false confidence without proof of understanding.</w:t>
      </w:r>
    </w:p>
    <w:p>
      <w:pPr>
        <w:pStyle w:val="ListBullet"/>
        <w:spacing w:after="60"/>
      </w:pPr>
      <w:r>
        <w:t>Many learners need personalized explanation and contextual doubt clarification.</w:t>
      </w:r>
    </w:p>
    <w:p>
      <w:pPr>
        <w:pStyle w:val="ListBullet"/>
        <w:spacing w:after="60"/>
      </w:pPr>
      <w:r>
        <w:t>Real skill-building requires practice, validation, feedback, and iterative improvement.</w:t>
      </w:r>
    </w:p>
    <w:p>
      <w:pPr>
        <w:pStyle w:val="ListBullet"/>
        <w:spacing w:after="60"/>
      </w:pPr>
      <w:r>
        <w:t>Students and early professionals need visible progress and outcomes, not just lesson completion.</w:t>
      </w:r>
    </w:p>
    <w:p>
      <w:pPr>
        <w:pStyle w:val="Heading2"/>
        <w:keepNext/>
      </w:pPr>
      <w:r>
        <w:t>2.3 Purpose of the Course Platform</w:t>
      </w:r>
    </w:p>
    <w:p>
      <w:pPr>
        <w:spacing w:after="160" w:line="259" w:lineRule="auto"/>
      </w:pPr>
      <w:r>
        <w:t>The purpose of the Course Platform is to provide a structured learning environment where learners progress through a methodology-driven journey: first learning the concept, then comprehending it through personalized support, then articulating or validating understanding, and finally applying it in practical work.</w:t>
      </w:r>
    </w:p>
    <w:tbl>
      <w:tblPr>
        <w:tblW w:type="auto" w:w="0"/>
        <w:jc w:val="center"/>
        <w:tblLayout w:type="autofit"/>
        <w:tblLook w:firstColumn="1" w:firstRow="1" w:lastColumn="0" w:lastRow="0" w:noHBand="0" w:noVBand="1" w:val="04A0"/>
        <w:tblBorders>
          <w:top w:val="single" w:sz="4" w:space="0" w:color="F2D5C5"/>
          <w:left w:val="single" w:sz="4" w:space="0" w:color="F2D5C5"/>
          <w:bottom w:val="single" w:sz="4" w:space="0" w:color="F2D5C5"/>
          <w:right w:val="single" w:sz="4" w:space="0" w:color="F2D5C5"/>
          <w:insideH w:val="single" w:sz="4" w:space="0" w:color="F2D5C5"/>
          <w:insideV w:val="single" w:sz="4" w:space="0" w:color="F2D5C5"/>
        </w:tblBorders>
      </w:tblPr>
      <w:tblGrid>
        <w:gridCol w:w="10166"/>
      </w:tblGrid>
      <w:tr>
        <w:tc>
          <w:tcPr>
            <w:tcW w:type="dxa" w:w="10166"/>
            <w:shd w:fill="FFF5EA"/>
          </w:tcPr>
          <w:p>
            <w:pPr>
              <w:spacing w:after="80"/>
            </w:pPr>
            <w:r>
              <w:rPr>
                <w:b/>
                <w:color w:val="E84633"/>
                <w:sz w:val="22"/>
              </w:rPr>
              <w:t>Core Purpose</w:t>
            </w:r>
          </w:p>
          <w:p>
            <w:pPr>
              <w:spacing w:after="0" w:line="252" w:lineRule="auto"/>
            </w:pPr>
            <w:r>
              <w:t>Help learners move from passive watching to practical upskilling by combining structured learning, AI support, personalization, assessments, assignments, cohort engagement, and progress tracking.</w:t>
            </w:r>
          </w:p>
        </w:tc>
      </w:tr>
    </w:tbl>
    <w:p>
      <w:pPr>
        <w:spacing w:after="40"/>
      </w:pPr>
    </w:p>
    <w:p>
      <w:pPr>
        <w:pStyle w:val="Heading1"/>
        <w:keepNext/>
      </w:pPr>
      <w:r>
        <w:t>3. Target Users / Stakeholders</w:t>
      </w:r>
    </w:p>
    <w:p>
      <w:pPr>
        <w:spacing w:after="160" w:line="259" w:lineRule="auto"/>
      </w:pPr>
      <w:r>
        <w:t>The platform serves multiple stakeholders across the learning ecosystem. Each stakeholder benefits from a different layer of the platform.</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3389"/>
        <w:gridCol w:w="3389"/>
        <w:gridCol w:w="3389"/>
      </w:tblGrid>
      <w:tr>
        <w:trPr>
          <w:trHeight w:val="360" w:hRule="atLeast"/>
        </w:trPr>
        <w:tc>
          <w:tcPr>
            <w:tcW w:type="dxa" w:w="2160"/>
            <w:shd w:fill="102A33"/>
            <w:vAlign w:val="center"/>
          </w:tcPr>
          <w:p>
            <w:pPr>
              <w:spacing w:after="0"/>
            </w:pPr>
            <w:r/>
            <w:r>
              <w:rPr>
                <w:b/>
                <w:color w:val="FFFFFF"/>
                <w:sz w:val="17"/>
              </w:rPr>
              <w:t>Stakeholder</w:t>
            </w:r>
          </w:p>
        </w:tc>
        <w:tc>
          <w:tcPr>
            <w:tcW w:type="dxa" w:w="4032"/>
            <w:shd w:fill="102A33"/>
            <w:vAlign w:val="center"/>
          </w:tcPr>
          <w:p>
            <w:pPr>
              <w:spacing w:after="0"/>
            </w:pPr>
            <w:r/>
            <w:r>
              <w:rPr>
                <w:b/>
                <w:color w:val="FFFFFF"/>
                <w:sz w:val="17"/>
              </w:rPr>
              <w:t>Who They Are</w:t>
            </w:r>
          </w:p>
        </w:tc>
        <w:tc>
          <w:tcPr>
            <w:tcW w:type="dxa" w:w="4752"/>
            <w:shd w:fill="102A33"/>
            <w:vAlign w:val="center"/>
          </w:tcPr>
          <w:p>
            <w:pPr>
              <w:spacing w:after="0"/>
            </w:pPr>
            <w:r/>
            <w:r>
              <w:rPr>
                <w:b/>
                <w:color w:val="FFFFFF"/>
                <w:sz w:val="17"/>
              </w:rPr>
              <w:t>Primary Need</w:t>
            </w:r>
          </w:p>
        </w:tc>
      </w:tr>
      <w:tr>
        <w:tc>
          <w:tcPr>
            <w:tcW w:type="dxa" w:w="2160"/>
            <w:vAlign w:val="top"/>
          </w:tcPr>
          <w:p>
            <w:pPr>
              <w:spacing w:after="0"/>
            </w:pPr>
            <w:r>
              <w:rPr>
                <w:b/>
                <w:color w:val="102A33"/>
              </w:rPr>
            </w:r>
            <w:r>
              <w:rPr>
                <w:b/>
                <w:color w:val="102A33"/>
                <w:sz w:val="16"/>
              </w:rPr>
              <w:t>Students / Beginners</w:t>
            </w:r>
          </w:p>
        </w:tc>
        <w:tc>
          <w:tcPr>
            <w:tcW w:type="dxa" w:w="4032"/>
            <w:vAlign w:val="top"/>
          </w:tcPr>
          <w:p>
            <w:pPr>
              <w:spacing w:after="0"/>
            </w:pPr>
            <w:r/>
            <w:r>
              <w:rPr>
                <w:b w:val="0"/>
                <w:sz w:val="16"/>
              </w:rPr>
              <w:t>Learners starting software development, AI-native development, or other structured skill paths.</w:t>
            </w:r>
          </w:p>
        </w:tc>
        <w:tc>
          <w:tcPr>
            <w:tcW w:type="dxa" w:w="4752"/>
            <w:vAlign w:val="top"/>
          </w:tcPr>
          <w:p>
            <w:pPr>
              <w:spacing w:after="0"/>
            </w:pPr>
            <w:r/>
            <w:r>
              <w:rPr>
                <w:b w:val="0"/>
                <w:sz w:val="16"/>
              </w:rPr>
              <w:t>Need clarity, confidence, guided learning, doubt support, assessments, and practical tasks.</w:t>
            </w:r>
          </w:p>
        </w:tc>
      </w:tr>
      <w:tr>
        <w:tc>
          <w:tcPr>
            <w:tcW w:type="dxa" w:w="2160"/>
            <w:vAlign w:val="top"/>
          </w:tcPr>
          <w:p>
            <w:pPr>
              <w:spacing w:after="0"/>
            </w:pPr>
            <w:r>
              <w:rPr>
                <w:b/>
                <w:color w:val="102A33"/>
              </w:rPr>
            </w:r>
            <w:r>
              <w:rPr>
                <w:b/>
                <w:color w:val="102A33"/>
                <w:sz w:val="16"/>
              </w:rPr>
              <w:t>Career Switchers</w:t>
            </w:r>
          </w:p>
        </w:tc>
        <w:tc>
          <w:tcPr>
            <w:tcW w:type="dxa" w:w="4032"/>
            <w:vAlign w:val="top"/>
          </w:tcPr>
          <w:p>
            <w:pPr>
              <w:spacing w:after="0"/>
            </w:pPr>
            <w:r/>
            <w:r>
              <w:rPr>
                <w:b w:val="0"/>
                <w:sz w:val="16"/>
              </w:rPr>
              <w:t>Professionals trying to enter technology careers or upgrade into AI-enabled roles.</w:t>
            </w:r>
          </w:p>
        </w:tc>
        <w:tc>
          <w:tcPr>
            <w:tcW w:type="dxa" w:w="4752"/>
            <w:vAlign w:val="top"/>
          </w:tcPr>
          <w:p>
            <w:pPr>
              <w:spacing w:after="0"/>
            </w:pPr>
            <w:r/>
            <w:r>
              <w:rPr>
                <w:b w:val="0"/>
                <w:sz w:val="16"/>
              </w:rPr>
              <w:t>Need structured upskilling, portfolio-building, and confidence to apply skills.</w:t>
            </w:r>
          </w:p>
        </w:tc>
      </w:tr>
      <w:tr>
        <w:tc>
          <w:tcPr>
            <w:tcW w:type="dxa" w:w="2160"/>
            <w:vAlign w:val="top"/>
          </w:tcPr>
          <w:p>
            <w:pPr>
              <w:spacing w:after="0"/>
            </w:pPr>
            <w:r>
              <w:rPr>
                <w:b/>
                <w:color w:val="102A33"/>
              </w:rPr>
            </w:r>
            <w:r>
              <w:rPr>
                <w:b/>
                <w:color w:val="102A33"/>
                <w:sz w:val="16"/>
              </w:rPr>
              <w:t>Junior Developers</w:t>
            </w:r>
          </w:p>
        </w:tc>
        <w:tc>
          <w:tcPr>
            <w:tcW w:type="dxa" w:w="4032"/>
            <w:vAlign w:val="top"/>
          </w:tcPr>
          <w:p>
            <w:pPr>
              <w:spacing w:after="0"/>
            </w:pPr>
            <w:r/>
            <w:r>
              <w:rPr>
                <w:b w:val="0"/>
                <w:sz w:val="16"/>
              </w:rPr>
              <w:t>Early-career developers who need stronger fundamentals, project execution, and modern workflow exposure.</w:t>
            </w:r>
          </w:p>
        </w:tc>
        <w:tc>
          <w:tcPr>
            <w:tcW w:type="dxa" w:w="4752"/>
            <w:vAlign w:val="top"/>
          </w:tcPr>
          <w:p>
            <w:pPr>
              <w:spacing w:after="0"/>
            </w:pPr>
            <w:r/>
            <w:r>
              <w:rPr>
                <w:b w:val="0"/>
                <w:sz w:val="16"/>
              </w:rPr>
              <w:t>Need applied learning, architecture thinking, assignments, and feedback.</w:t>
            </w:r>
          </w:p>
        </w:tc>
      </w:tr>
      <w:tr>
        <w:tc>
          <w:tcPr>
            <w:tcW w:type="dxa" w:w="2160"/>
            <w:vAlign w:val="top"/>
          </w:tcPr>
          <w:p>
            <w:pPr>
              <w:spacing w:after="0"/>
            </w:pPr>
            <w:r>
              <w:rPr>
                <w:b/>
                <w:color w:val="102A33"/>
              </w:rPr>
            </w:r>
            <w:r>
              <w:rPr>
                <w:b/>
                <w:color w:val="102A33"/>
                <w:sz w:val="16"/>
              </w:rPr>
              <w:t>Tutors / Mentors</w:t>
            </w:r>
          </w:p>
        </w:tc>
        <w:tc>
          <w:tcPr>
            <w:tcW w:type="dxa" w:w="4032"/>
            <w:vAlign w:val="top"/>
          </w:tcPr>
          <w:p>
            <w:pPr>
              <w:spacing w:after="0"/>
            </w:pPr>
            <w:r/>
            <w:r>
              <w:rPr>
                <w:b w:val="0"/>
                <w:sz w:val="16"/>
              </w:rPr>
              <w:t>Educators or industry professionals guiding cohorts and reviewing learner progress.</w:t>
            </w:r>
          </w:p>
        </w:tc>
        <w:tc>
          <w:tcPr>
            <w:tcW w:type="dxa" w:w="4752"/>
            <w:vAlign w:val="top"/>
          </w:tcPr>
          <w:p>
            <w:pPr>
              <w:spacing w:after="0"/>
            </w:pPr>
            <w:r/>
            <w:r>
              <w:rPr>
                <w:b w:val="0"/>
                <w:sz w:val="16"/>
              </w:rPr>
              <w:t>Need visibility into student progress, submissions, engagement, and understanding gaps.</w:t>
            </w:r>
          </w:p>
        </w:tc>
      </w:tr>
      <w:tr>
        <w:tc>
          <w:tcPr>
            <w:tcW w:type="dxa" w:w="2160"/>
            <w:vAlign w:val="top"/>
          </w:tcPr>
          <w:p>
            <w:pPr>
              <w:spacing w:after="0"/>
            </w:pPr>
            <w:r>
              <w:rPr>
                <w:b/>
                <w:color w:val="102A33"/>
              </w:rPr>
            </w:r>
            <w:r>
              <w:rPr>
                <w:b/>
                <w:color w:val="102A33"/>
                <w:sz w:val="16"/>
              </w:rPr>
              <w:t>Academy Operations</w:t>
            </w:r>
          </w:p>
        </w:tc>
        <w:tc>
          <w:tcPr>
            <w:tcW w:type="dxa" w:w="4032"/>
            <w:vAlign w:val="top"/>
          </w:tcPr>
          <w:p>
            <w:pPr>
              <w:spacing w:after="0"/>
            </w:pPr>
            <w:r/>
            <w:r>
              <w:rPr>
                <w:b w:val="0"/>
                <w:sz w:val="16"/>
              </w:rPr>
              <w:t>Internal teams managing courses, cohorts, enrollments, content, learner support, and outcomes.</w:t>
            </w:r>
          </w:p>
        </w:tc>
        <w:tc>
          <w:tcPr>
            <w:tcW w:type="dxa" w:w="4752"/>
            <w:vAlign w:val="top"/>
          </w:tcPr>
          <w:p>
            <w:pPr>
              <w:spacing w:after="0"/>
            </w:pPr>
            <w:r/>
            <w:r>
              <w:rPr>
                <w:b w:val="0"/>
                <w:sz w:val="16"/>
              </w:rPr>
              <w:t>Need scalable workflows for onboarding, course delivery, progress tracking, and reporting.</w:t>
            </w:r>
          </w:p>
        </w:tc>
      </w:tr>
      <w:tr>
        <w:tc>
          <w:tcPr>
            <w:tcW w:type="dxa" w:w="2160"/>
            <w:vAlign w:val="top"/>
          </w:tcPr>
          <w:p>
            <w:pPr>
              <w:spacing w:after="0"/>
            </w:pPr>
            <w:r>
              <w:rPr>
                <w:b/>
                <w:color w:val="102A33"/>
              </w:rPr>
            </w:r>
            <w:r>
              <w:rPr>
                <w:b/>
                <w:color w:val="102A33"/>
                <w:sz w:val="16"/>
              </w:rPr>
              <w:t>Prospective Learners from Academy Site</w:t>
            </w:r>
          </w:p>
        </w:tc>
        <w:tc>
          <w:tcPr>
            <w:tcW w:type="dxa" w:w="4032"/>
            <w:vAlign w:val="top"/>
          </w:tcPr>
          <w:p>
            <w:pPr>
              <w:spacing w:after="0"/>
            </w:pPr>
            <w:r/>
            <w:r>
              <w:rPr>
                <w:b w:val="0"/>
                <w:sz w:val="16"/>
              </w:rPr>
              <w:t>Visitors arriving from the Ottobon Academy website or marketing campaigns.</w:t>
            </w:r>
          </w:p>
        </w:tc>
        <w:tc>
          <w:tcPr>
            <w:tcW w:type="dxa" w:w="4752"/>
            <w:vAlign w:val="top"/>
          </w:tcPr>
          <w:p>
            <w:pPr>
              <w:spacing w:after="0"/>
            </w:pPr>
            <w:r/>
            <w:r>
              <w:rPr>
                <w:b w:val="0"/>
                <w:sz w:val="16"/>
              </w:rPr>
              <w:t>Need a clear message explaining why this platform is different and why they should start learning here.</w:t>
            </w:r>
          </w:p>
        </w:tc>
      </w:tr>
    </w:tbl>
    <w:p>
      <w:pPr>
        <w:spacing w:after="40"/>
      </w:pPr>
    </w:p>
    <w:p>
      <w:pPr>
        <w:pStyle w:val="Heading1"/>
        <w:keepNext/>
      </w:pPr>
      <w:r>
        <w:t>4. Core Functionalities</w:t>
      </w:r>
    </w:p>
    <w:p>
      <w:pPr>
        <w:spacing w:after="160" w:line="259" w:lineRule="auto"/>
      </w:pPr>
      <w:r>
        <w:t>The Course Platform combines content delivery, personalization, assessment, AI guidance, assignments, community/cohort elements, and progress visibility into one learning experience.</w:t>
      </w:r>
    </w:p>
    <w:p>
      <w:pPr>
        <w:pStyle w:val="Heading2"/>
        <w:keepNext/>
      </w:pPr>
      <w:r>
        <w:t>4.1 Program Offerings</w:t>
      </w:r>
    </w:p>
    <w:p>
      <w:pPr>
        <w:pStyle w:val="ListBullet"/>
        <w:spacing w:after="60"/>
      </w:pPr>
      <w:r>
        <w:rPr>
          <w:b/>
        </w:rPr>
        <w:t xml:space="preserve">Cohort Programs: </w:t>
      </w:r>
      <w:r>
        <w:t>Structured group-based learning where students progress together, participate in live sessions, interact with tutors/mentors, and access recordings when sessions are missed.</w:t>
      </w:r>
    </w:p>
    <w:p>
      <w:pPr>
        <w:pStyle w:val="ListBullet"/>
        <w:spacing w:after="60"/>
      </w:pPr>
      <w:r>
        <w:rPr>
          <w:b/>
        </w:rPr>
        <w:t xml:space="preserve">On-Demand Courses: </w:t>
      </w:r>
      <w:r>
        <w:t>Self-paced programs where learners can access lessons, assessments, AI tutor support, and progress tracking at their own schedule.</w:t>
      </w:r>
    </w:p>
    <w:p>
      <w:pPr>
        <w:pStyle w:val="ListBullet"/>
        <w:spacing w:after="60"/>
      </w:pPr>
      <w:r>
        <w:rPr>
          <w:b/>
        </w:rPr>
        <w:t xml:space="preserve">Live Workshops: </w:t>
      </w:r>
      <w:r>
        <w:t>Short, focused learning experiences designed to teach a specific skill, tool, or topic quickly through guided sessions.</w:t>
      </w:r>
    </w:p>
    <w:p>
      <w:pPr>
        <w:pStyle w:val="Heading2"/>
        <w:keepNext/>
      </w:pPr>
      <w:r>
        <w:t>4.2 Course Player Experience</w:t>
      </w:r>
    </w:p>
    <w:p>
      <w:pPr>
        <w:spacing w:after="160" w:line="259" w:lineRule="auto"/>
      </w:pPr>
      <w:r>
        <w:t>The Course Player is the core learning interface. It gives learners a structured module and topic navigation experience, study content, learning assets, assessments, AI Tutor access, assignments, and progress visibility.</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3024"/>
            <w:shd w:fill="102A33"/>
            <w:vAlign w:val="center"/>
          </w:tcPr>
          <w:p>
            <w:pPr>
              <w:spacing w:after="0"/>
            </w:pPr>
            <w:r/>
            <w:r>
              <w:rPr>
                <w:b/>
                <w:color w:val="FFFFFF"/>
                <w:sz w:val="17"/>
              </w:rPr>
              <w:t>Functionality</w:t>
            </w:r>
          </w:p>
        </w:tc>
        <w:tc>
          <w:tcPr>
            <w:tcW w:type="dxa" w:w="7920"/>
            <w:shd w:fill="102A33"/>
            <w:vAlign w:val="center"/>
          </w:tcPr>
          <w:p>
            <w:pPr>
              <w:spacing w:after="0"/>
            </w:pPr>
            <w:r/>
            <w:r>
              <w:rPr>
                <w:b/>
                <w:color w:val="FFFFFF"/>
                <w:sz w:val="17"/>
              </w:rPr>
              <w:t>Purpose</w:t>
            </w:r>
          </w:p>
        </w:tc>
      </w:tr>
      <w:tr>
        <w:tc>
          <w:tcPr>
            <w:tcW w:type="dxa" w:w="3024"/>
            <w:vAlign w:val="top"/>
          </w:tcPr>
          <w:p>
            <w:pPr>
              <w:spacing w:after="0"/>
            </w:pPr>
            <w:r>
              <w:rPr>
                <w:b/>
                <w:color w:val="102A33"/>
              </w:rPr>
            </w:r>
            <w:r>
              <w:rPr>
                <w:b/>
                <w:color w:val="102A33"/>
                <w:sz w:val="16"/>
              </w:rPr>
              <w:t>Study Material</w:t>
            </w:r>
          </w:p>
        </w:tc>
        <w:tc>
          <w:tcPr>
            <w:tcW w:type="dxa" w:w="7920"/>
            <w:vAlign w:val="top"/>
          </w:tcPr>
          <w:p>
            <w:pPr>
              <w:spacing w:after="0"/>
            </w:pPr>
            <w:r/>
            <w:r>
              <w:rPr>
                <w:b w:val="0"/>
                <w:sz w:val="16"/>
              </w:rPr>
              <w:t>Introduces the topic with a clear hook, concept explanation, and structured reading experience.</w:t>
            </w:r>
          </w:p>
        </w:tc>
      </w:tr>
      <w:tr>
        <w:tc>
          <w:tcPr>
            <w:tcW w:type="dxa" w:w="3024"/>
            <w:vAlign w:val="top"/>
          </w:tcPr>
          <w:p>
            <w:pPr>
              <w:spacing w:after="0"/>
            </w:pPr>
            <w:r>
              <w:rPr>
                <w:b/>
                <w:color w:val="102A33"/>
              </w:rPr>
            </w:r>
            <w:r>
              <w:rPr>
                <w:b/>
                <w:color w:val="102A33"/>
                <w:sz w:val="16"/>
              </w:rPr>
              <w:t>Success Video</w:t>
            </w:r>
          </w:p>
        </w:tc>
        <w:tc>
          <w:tcPr>
            <w:tcW w:type="dxa" w:w="7920"/>
            <w:vAlign w:val="top"/>
          </w:tcPr>
          <w:p>
            <w:pPr>
              <w:spacing w:after="0"/>
            </w:pPr>
            <w:r/>
            <w:r>
              <w:rPr>
                <w:b w:val="0"/>
                <w:sz w:val="16"/>
              </w:rPr>
              <w:t>Shows what success looks like when the concept is applied, helping learners connect theory to outcome.</w:t>
            </w:r>
          </w:p>
        </w:tc>
      </w:tr>
      <w:tr>
        <w:tc>
          <w:tcPr>
            <w:tcW w:type="dxa" w:w="3024"/>
            <w:vAlign w:val="top"/>
          </w:tcPr>
          <w:p>
            <w:pPr>
              <w:spacing w:after="0"/>
            </w:pPr>
            <w:r>
              <w:rPr>
                <w:b/>
                <w:color w:val="102A33"/>
              </w:rPr>
            </w:r>
            <w:r>
              <w:rPr>
                <w:b/>
                <w:color w:val="102A33"/>
                <w:sz w:val="16"/>
              </w:rPr>
              <w:t>Personalized Content / Analogy</w:t>
            </w:r>
          </w:p>
        </w:tc>
        <w:tc>
          <w:tcPr>
            <w:tcW w:type="dxa" w:w="7920"/>
            <w:vAlign w:val="top"/>
          </w:tcPr>
          <w:p>
            <w:pPr>
              <w:spacing w:after="0"/>
            </w:pPr>
            <w:r/>
            <w:r>
              <w:rPr>
                <w:b w:val="0"/>
                <w:sz w:val="16"/>
              </w:rPr>
              <w:t>Adapts the explanation based on learner persona so the concept becomes easier to understand.</w:t>
            </w:r>
          </w:p>
        </w:tc>
      </w:tr>
      <w:tr>
        <w:tc>
          <w:tcPr>
            <w:tcW w:type="dxa" w:w="3024"/>
            <w:vAlign w:val="top"/>
          </w:tcPr>
          <w:p>
            <w:pPr>
              <w:spacing w:after="0"/>
            </w:pPr>
            <w:r>
              <w:rPr>
                <w:b/>
                <w:color w:val="102A33"/>
              </w:rPr>
            </w:r>
            <w:r>
              <w:rPr>
                <w:b/>
                <w:color w:val="102A33"/>
                <w:sz w:val="16"/>
              </w:rPr>
              <w:t>Topic Assessment / Knowledge Check</w:t>
            </w:r>
          </w:p>
        </w:tc>
        <w:tc>
          <w:tcPr>
            <w:tcW w:type="dxa" w:w="7920"/>
            <w:vAlign w:val="top"/>
          </w:tcPr>
          <w:p>
            <w:pPr>
              <w:spacing w:after="0"/>
            </w:pPr>
            <w:r/>
            <w:r>
              <w:rPr>
                <w:b w:val="0"/>
                <w:sz w:val="16"/>
              </w:rPr>
              <w:t>Validates understanding immediately after learning so learners do not move ahead with false confidence.</w:t>
            </w:r>
          </w:p>
        </w:tc>
      </w:tr>
      <w:tr>
        <w:tc>
          <w:tcPr>
            <w:tcW w:type="dxa" w:w="3024"/>
            <w:vAlign w:val="top"/>
          </w:tcPr>
          <w:p>
            <w:pPr>
              <w:spacing w:after="0"/>
            </w:pPr>
            <w:r>
              <w:rPr>
                <w:b/>
                <w:color w:val="102A33"/>
              </w:rPr>
            </w:r>
            <w:r>
              <w:rPr>
                <w:b/>
                <w:color w:val="102A33"/>
                <w:sz w:val="16"/>
              </w:rPr>
              <w:t>AI Tutor</w:t>
            </w:r>
          </w:p>
        </w:tc>
        <w:tc>
          <w:tcPr>
            <w:tcW w:type="dxa" w:w="7920"/>
            <w:vAlign w:val="top"/>
          </w:tcPr>
          <w:p>
            <w:pPr>
              <w:spacing w:after="0"/>
            </w:pPr>
            <w:r/>
            <w:r>
              <w:rPr>
                <w:b w:val="0"/>
                <w:sz w:val="16"/>
              </w:rPr>
              <w:t>Provides contextual course-related doubt clarification when learners are stuck.</w:t>
            </w:r>
          </w:p>
        </w:tc>
      </w:tr>
      <w:tr>
        <w:tc>
          <w:tcPr>
            <w:tcW w:type="dxa" w:w="3024"/>
            <w:vAlign w:val="top"/>
          </w:tcPr>
          <w:p>
            <w:pPr>
              <w:spacing w:after="0"/>
            </w:pPr>
            <w:r>
              <w:rPr>
                <w:b/>
                <w:color w:val="102A33"/>
              </w:rPr>
            </w:r>
            <w:r>
              <w:rPr>
                <w:b/>
                <w:color w:val="102A33"/>
                <w:sz w:val="16"/>
              </w:rPr>
              <w:t>Assignments</w:t>
            </w:r>
          </w:p>
        </w:tc>
        <w:tc>
          <w:tcPr>
            <w:tcW w:type="dxa" w:w="7920"/>
            <w:vAlign w:val="top"/>
          </w:tcPr>
          <w:p>
            <w:pPr>
              <w:spacing w:after="0"/>
            </w:pPr>
            <w:r/>
            <w:r>
              <w:rPr>
                <w:b w:val="0"/>
                <w:sz w:val="16"/>
              </w:rPr>
              <w:t>Converts theoretical understanding into practical application with submission, review, feedback, and approval workflows.</w:t>
            </w:r>
          </w:p>
        </w:tc>
      </w:tr>
      <w:tr>
        <w:tc>
          <w:tcPr>
            <w:tcW w:type="dxa" w:w="3024"/>
            <w:vAlign w:val="top"/>
          </w:tcPr>
          <w:p>
            <w:pPr>
              <w:spacing w:after="0"/>
            </w:pPr>
            <w:r>
              <w:rPr>
                <w:b/>
                <w:color w:val="102A33"/>
              </w:rPr>
            </w:r>
            <w:r>
              <w:rPr>
                <w:b/>
                <w:color w:val="102A33"/>
                <w:sz w:val="16"/>
              </w:rPr>
              <w:t>Progress Tracking</w:t>
            </w:r>
          </w:p>
        </w:tc>
        <w:tc>
          <w:tcPr>
            <w:tcW w:type="dxa" w:w="7920"/>
            <w:vAlign w:val="top"/>
          </w:tcPr>
          <w:p>
            <w:pPr>
              <w:spacing w:after="0"/>
            </w:pPr>
            <w:r/>
            <w:r>
              <w:rPr>
                <w:b w:val="0"/>
                <w:sz w:val="16"/>
              </w:rPr>
              <w:t>Shows module/course completion status and keeps learners aware of their journey.</w:t>
            </w:r>
          </w:p>
        </w:tc>
      </w:tr>
      <w:tr>
        <w:tc>
          <w:tcPr>
            <w:tcW w:type="dxa" w:w="3024"/>
            <w:vAlign w:val="top"/>
          </w:tcPr>
          <w:p>
            <w:pPr>
              <w:spacing w:after="0"/>
            </w:pPr>
            <w:r>
              <w:rPr>
                <w:b/>
                <w:color w:val="102A33"/>
              </w:rPr>
            </w:r>
            <w:r>
              <w:rPr>
                <w:b/>
                <w:color w:val="102A33"/>
                <w:sz w:val="16"/>
              </w:rPr>
              <w:t>Cohort Project Access</w:t>
            </w:r>
          </w:p>
        </w:tc>
        <w:tc>
          <w:tcPr>
            <w:tcW w:type="dxa" w:w="7920"/>
            <w:vAlign w:val="top"/>
          </w:tcPr>
          <w:p>
            <w:pPr>
              <w:spacing w:after="0"/>
            </w:pPr>
            <w:r/>
            <w:r>
              <w:rPr>
                <w:b w:val="0"/>
                <w:sz w:val="16"/>
              </w:rPr>
              <w:t>Supports project-based learning where cohort learners can apply concepts in real execution contexts.</w:t>
            </w:r>
          </w:p>
        </w:tc>
      </w:tr>
    </w:tbl>
    <w:p>
      <w:pPr>
        <w:spacing w:after="40"/>
      </w:pPr>
    </w:p>
    <w:p>
      <w:pPr>
        <w:pStyle w:val="Heading2"/>
        <w:keepNext/>
      </w:pPr>
      <w:r>
        <w:t>4.3 Community, Collaboration &amp; Motivation</w:t>
      </w:r>
    </w:p>
    <w:p>
      <w:pPr>
        <w:spacing w:after="160" w:line="259" w:lineRule="auto"/>
      </w:pPr>
      <w:r>
        <w:t>The platform is also designed to reduce isolation in learning. Messaging, discussion, cohort participation, and community-based engagement help learners ask questions, share ideas, and remain accountable. Ranking or scoreboard-based features can add motivation by allowing learners to see progress relative to peers, where appropriate.</w:t>
      </w:r>
    </w:p>
    <w:p>
      <w:pPr>
        <w:pStyle w:val="Heading1"/>
        <w:keepNext/>
      </w:pPr>
      <w:r>
        <w:t>5. Tools, Tech Stack &amp; Architecture</w:t>
      </w:r>
    </w:p>
    <w:p>
      <w:pPr>
        <w:spacing w:after="160" w:line="259" w:lineRule="auto"/>
      </w:pPr>
      <w:r>
        <w:t>The exact implementation details should always be validated against the latest repository and deployment configuration. Based on the current platform understanding, the architecture can be described as a modern web application with a frontend learning experience, backend API services, relational data storage, AI/RAG support, and tutor/analytics visibility layers.</w:t>
      </w:r>
    </w:p>
    <w:p>
      <w:pPr>
        <w:pStyle w:val="Heading2"/>
        <w:keepNext/>
      </w:pPr>
      <w:r>
        <w:t>5.1 High-Level Architecture</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2880"/>
            <w:shd w:fill="102A33"/>
            <w:vAlign w:val="center"/>
          </w:tcPr>
          <w:p>
            <w:pPr>
              <w:spacing w:after="0"/>
            </w:pPr>
            <w:r/>
            <w:r>
              <w:rPr>
                <w:b/>
                <w:color w:val="FFFFFF"/>
                <w:sz w:val="17"/>
              </w:rPr>
              <w:t>Architecture Layer</w:t>
            </w:r>
          </w:p>
        </w:tc>
        <w:tc>
          <w:tcPr>
            <w:tcW w:type="dxa" w:w="8064"/>
            <w:shd w:fill="102A33"/>
            <w:vAlign w:val="center"/>
          </w:tcPr>
          <w:p>
            <w:pPr>
              <w:spacing w:after="0"/>
            </w:pPr>
            <w:r/>
            <w:r>
              <w:rPr>
                <w:b/>
                <w:color w:val="FFFFFF"/>
                <w:sz w:val="17"/>
              </w:rPr>
              <w:t>Responsibility</w:t>
            </w:r>
          </w:p>
        </w:tc>
      </w:tr>
      <w:tr>
        <w:tc>
          <w:tcPr>
            <w:tcW w:type="dxa" w:w="2880"/>
            <w:vAlign w:val="top"/>
          </w:tcPr>
          <w:p>
            <w:pPr>
              <w:spacing w:after="0"/>
            </w:pPr>
            <w:r>
              <w:rPr>
                <w:b/>
                <w:color w:val="102A33"/>
              </w:rPr>
            </w:r>
            <w:r>
              <w:rPr>
                <w:b/>
                <w:color w:val="102A33"/>
                <w:sz w:val="16"/>
              </w:rPr>
              <w:t>Frontend Application</w:t>
            </w:r>
          </w:p>
        </w:tc>
        <w:tc>
          <w:tcPr>
            <w:tcW w:type="dxa" w:w="8064"/>
            <w:vAlign w:val="top"/>
          </w:tcPr>
          <w:p>
            <w:pPr>
              <w:spacing w:after="0"/>
            </w:pPr>
            <w:r/>
            <w:r>
              <w:rPr>
                <w:b w:val="0"/>
                <w:sz w:val="16"/>
              </w:rPr>
              <w:t>Student-facing learning interface including landing/catalog pages, course detail pages, course player, assessments, AI Tutor panel, assignment pages, and progress UI.</w:t>
            </w:r>
          </w:p>
        </w:tc>
      </w:tr>
      <w:tr>
        <w:tc>
          <w:tcPr>
            <w:tcW w:type="dxa" w:w="2880"/>
            <w:vAlign w:val="top"/>
          </w:tcPr>
          <w:p>
            <w:pPr>
              <w:spacing w:after="0"/>
            </w:pPr>
            <w:r>
              <w:rPr>
                <w:b/>
                <w:color w:val="102A33"/>
              </w:rPr>
            </w:r>
            <w:r>
              <w:rPr>
                <w:b/>
                <w:color w:val="102A33"/>
                <w:sz w:val="16"/>
              </w:rPr>
              <w:t>Backend API Layer</w:t>
            </w:r>
          </w:p>
        </w:tc>
        <w:tc>
          <w:tcPr>
            <w:tcW w:type="dxa" w:w="8064"/>
            <w:vAlign w:val="top"/>
          </w:tcPr>
          <w:p>
            <w:pPr>
              <w:spacing w:after="0"/>
            </w:pPr>
            <w:r/>
            <w:r>
              <w:rPr>
                <w:b w:val="0"/>
                <w:sz w:val="16"/>
              </w:rPr>
              <w:t>Handles authentication/session logic, enrollments, course access, content retrieval, quiz/assessment logic, AI Tutor requests, assignments, telemetry, and tutor dashboard APIs.</w:t>
            </w:r>
          </w:p>
        </w:tc>
      </w:tr>
      <w:tr>
        <w:tc>
          <w:tcPr>
            <w:tcW w:type="dxa" w:w="2880"/>
            <w:vAlign w:val="top"/>
          </w:tcPr>
          <w:p>
            <w:pPr>
              <w:spacing w:after="0"/>
            </w:pPr>
            <w:r>
              <w:rPr>
                <w:b/>
                <w:color w:val="102A33"/>
              </w:rPr>
            </w:r>
            <w:r>
              <w:rPr>
                <w:b/>
                <w:color w:val="102A33"/>
                <w:sz w:val="16"/>
              </w:rPr>
              <w:t>Database Layer</w:t>
            </w:r>
          </w:p>
        </w:tc>
        <w:tc>
          <w:tcPr>
            <w:tcW w:type="dxa" w:w="8064"/>
            <w:vAlign w:val="top"/>
          </w:tcPr>
          <w:p>
            <w:pPr>
              <w:spacing w:after="0"/>
            </w:pPr>
            <w:r/>
            <w:r>
              <w:rPr>
                <w:b w:val="0"/>
                <w:sz w:val="16"/>
              </w:rPr>
              <w:t>Stores users, roles, courses, modules, topics, enrollments, progress, quizzes, attempts, assignments, submissions, certificates, tutor/course mappings, and telemetry records.</w:t>
            </w:r>
          </w:p>
        </w:tc>
      </w:tr>
      <w:tr>
        <w:tc>
          <w:tcPr>
            <w:tcW w:type="dxa" w:w="2880"/>
            <w:vAlign w:val="top"/>
          </w:tcPr>
          <w:p>
            <w:pPr>
              <w:spacing w:after="0"/>
            </w:pPr>
            <w:r>
              <w:rPr>
                <w:b/>
                <w:color w:val="102A33"/>
              </w:rPr>
            </w:r>
            <w:r>
              <w:rPr>
                <w:b/>
                <w:color w:val="102A33"/>
                <w:sz w:val="16"/>
              </w:rPr>
              <w:t>Content Pipeline</w:t>
            </w:r>
          </w:p>
        </w:tc>
        <w:tc>
          <w:tcPr>
            <w:tcW w:type="dxa" w:w="8064"/>
            <w:vAlign w:val="top"/>
          </w:tcPr>
          <w:p>
            <w:pPr>
              <w:spacing w:after="0"/>
            </w:pPr>
            <w:r/>
            <w:r>
              <w:rPr>
                <w:b w:val="0"/>
                <w:sz w:val="16"/>
              </w:rPr>
              <w:t>Manages structured topic content, learning assets, personalized content variants, video/slides/images/text blocks, and course material resolution.</w:t>
            </w:r>
          </w:p>
        </w:tc>
      </w:tr>
      <w:tr>
        <w:tc>
          <w:tcPr>
            <w:tcW w:type="dxa" w:w="2880"/>
            <w:vAlign w:val="top"/>
          </w:tcPr>
          <w:p>
            <w:pPr>
              <w:spacing w:after="0"/>
            </w:pPr>
            <w:r>
              <w:rPr>
                <w:b/>
                <w:color w:val="102A33"/>
              </w:rPr>
            </w:r>
            <w:r>
              <w:rPr>
                <w:b/>
                <w:color w:val="102A33"/>
                <w:sz w:val="16"/>
              </w:rPr>
              <w:t>AI / RAG Layer</w:t>
            </w:r>
          </w:p>
        </w:tc>
        <w:tc>
          <w:tcPr>
            <w:tcW w:type="dxa" w:w="8064"/>
            <w:vAlign w:val="top"/>
          </w:tcPr>
          <w:p>
            <w:pPr>
              <w:spacing w:after="0"/>
            </w:pPr>
            <w:r/>
            <w:r>
              <w:rPr>
                <w:b w:val="0"/>
                <w:sz w:val="16"/>
              </w:rPr>
              <w:t>Retrieves approved course knowledge and supports contextual AI Tutor responses, quota handling, memory/context, and safe answer boundaries.</w:t>
            </w:r>
          </w:p>
        </w:tc>
      </w:tr>
      <w:tr>
        <w:tc>
          <w:tcPr>
            <w:tcW w:type="dxa" w:w="2880"/>
            <w:vAlign w:val="top"/>
          </w:tcPr>
          <w:p>
            <w:pPr>
              <w:spacing w:after="0"/>
            </w:pPr>
            <w:r>
              <w:rPr>
                <w:b/>
                <w:color w:val="102A33"/>
              </w:rPr>
            </w:r>
            <w:r>
              <w:rPr>
                <w:b/>
                <w:color w:val="102A33"/>
                <w:sz w:val="16"/>
              </w:rPr>
              <w:t>Tutor Dashboard Layer</w:t>
            </w:r>
          </w:p>
        </w:tc>
        <w:tc>
          <w:tcPr>
            <w:tcW w:type="dxa" w:w="8064"/>
            <w:vAlign w:val="top"/>
          </w:tcPr>
          <w:p>
            <w:pPr>
              <w:spacing w:after="0"/>
            </w:pPr>
            <w:r/>
            <w:r>
              <w:rPr>
                <w:b w:val="0"/>
                <w:sz w:val="16"/>
              </w:rPr>
              <w:t>Provides tutors/mentors with visibility into learner progress, engagement, submissions, assessment outcomes, and intervention points.</w:t>
            </w:r>
          </w:p>
        </w:tc>
      </w:tr>
      <w:tr>
        <w:tc>
          <w:tcPr>
            <w:tcW w:type="dxa" w:w="2880"/>
            <w:vAlign w:val="top"/>
          </w:tcPr>
          <w:p>
            <w:pPr>
              <w:spacing w:after="0"/>
            </w:pPr>
            <w:r>
              <w:rPr>
                <w:b/>
                <w:color w:val="102A33"/>
              </w:rPr>
            </w:r>
            <w:r>
              <w:rPr>
                <w:b/>
                <w:color w:val="102A33"/>
                <w:sz w:val="16"/>
              </w:rPr>
              <w:t>Telemetry &amp; Monitoring</w:t>
            </w:r>
          </w:p>
        </w:tc>
        <w:tc>
          <w:tcPr>
            <w:tcW w:type="dxa" w:w="8064"/>
            <w:vAlign w:val="top"/>
          </w:tcPr>
          <w:p>
            <w:pPr>
              <w:spacing w:after="0"/>
            </w:pPr>
            <w:r/>
            <w:r>
              <w:rPr>
                <w:b w:val="0"/>
                <w:sz w:val="16"/>
              </w:rPr>
              <w:t>Captures learner events and transforms activity signals into progress/engagement insights.</w:t>
            </w:r>
          </w:p>
        </w:tc>
      </w:tr>
    </w:tbl>
    <w:p>
      <w:pPr>
        <w:spacing w:after="40"/>
      </w:pPr>
    </w:p>
    <w:p>
      <w:pPr>
        <w:pStyle w:val="Heading2"/>
        <w:keepNext/>
      </w:pPr>
      <w:r>
        <w:t>5.2 Suggested Technology Description for Business Documents</w:t>
      </w:r>
    </w:p>
    <w:p>
      <w:pPr>
        <w:pStyle w:val="ListBullet"/>
        <w:spacing w:after="60"/>
      </w:pPr>
      <w:r>
        <w:t>Modern web frontend for learners, tutors, and administrators.</w:t>
      </w:r>
    </w:p>
    <w:p>
      <w:pPr>
        <w:pStyle w:val="ListBullet"/>
        <w:spacing w:after="60"/>
      </w:pPr>
      <w:r>
        <w:t>API-driven backend service layer for secure business logic and workflow orchestration.</w:t>
      </w:r>
    </w:p>
    <w:p>
      <w:pPr>
        <w:pStyle w:val="ListBullet"/>
        <w:spacing w:after="60"/>
      </w:pPr>
      <w:r>
        <w:t>Relational database for structured learning, enrollment, progress, assessment, and submission data.</w:t>
      </w:r>
    </w:p>
    <w:p>
      <w:pPr>
        <w:pStyle w:val="ListBullet"/>
        <w:spacing w:after="60"/>
      </w:pPr>
      <w:r>
        <w:t>AI/RAG service layer for course-grounded AI Tutor support.</w:t>
      </w:r>
    </w:p>
    <w:p>
      <w:pPr>
        <w:pStyle w:val="ListBullet"/>
        <w:spacing w:after="60"/>
      </w:pPr>
      <w:r>
        <w:t>Telemetry pipeline for learning analytics and tutor monitoring.</w:t>
      </w:r>
    </w:p>
    <w:p>
      <w:pPr>
        <w:pStyle w:val="ListBullet"/>
        <w:spacing w:after="60"/>
      </w:pPr>
      <w:r>
        <w:t>Role-based access controls for learners, tutors, admins, and internal operations.</w:t>
      </w:r>
    </w:p>
    <w:tbl>
      <w:tblPr>
        <w:tblW w:type="auto" w:w="0"/>
        <w:jc w:val="center"/>
        <w:tblLayout w:type="autofit"/>
        <w:tblLook w:firstColumn="1" w:firstRow="1" w:lastColumn="0" w:lastRow="0" w:noHBand="0" w:noVBand="1" w:val="04A0"/>
        <w:tblBorders>
          <w:top w:val="single" w:sz="4" w:space="0" w:color="F2D5C5"/>
          <w:left w:val="single" w:sz="4" w:space="0" w:color="F2D5C5"/>
          <w:bottom w:val="single" w:sz="4" w:space="0" w:color="F2D5C5"/>
          <w:right w:val="single" w:sz="4" w:space="0" w:color="F2D5C5"/>
          <w:insideH w:val="single" w:sz="4" w:space="0" w:color="F2D5C5"/>
          <w:insideV w:val="single" w:sz="4" w:space="0" w:color="F2D5C5"/>
        </w:tblBorders>
      </w:tblPr>
      <w:tblGrid>
        <w:gridCol w:w="10166"/>
      </w:tblGrid>
      <w:tr>
        <w:tc>
          <w:tcPr>
            <w:tcW w:type="dxa" w:w="10166"/>
            <w:shd w:fill="F7FBFC"/>
          </w:tcPr>
          <w:p>
            <w:pPr>
              <w:spacing w:after="80"/>
            </w:pPr>
            <w:r>
              <w:rPr>
                <w:b/>
                <w:color w:val="E84633"/>
                <w:sz w:val="22"/>
              </w:rPr>
              <w:t>Important Note</w:t>
            </w:r>
          </w:p>
          <w:p>
            <w:pPr>
              <w:spacing w:after="0" w:line="252" w:lineRule="auto"/>
            </w:pPr>
            <w:r>
              <w:t>Avoid presenting implementation-specific tool names in external business material unless confirmed by the current production repository. For external messaging, describe the architecture by capability: frontend learning experience, API backend, database, AI/RAG support, telemetry, and tutor dashboard.</w:t>
            </w:r>
          </w:p>
        </w:tc>
      </w:tr>
    </w:tbl>
    <w:p>
      <w:pPr>
        <w:spacing w:after="40"/>
      </w:pPr>
    </w:p>
    <w:p>
      <w:pPr>
        <w:pStyle w:val="Heading1"/>
        <w:keepNext/>
      </w:pPr>
      <w:r>
        <w:t>6. Key Workflows</w:t>
      </w:r>
    </w:p>
    <w:p>
      <w:pPr>
        <w:spacing w:after="160" w:line="259" w:lineRule="auto"/>
      </w:pPr>
      <w:r>
        <w:t>The Course Platform is built around workflows that connect learners, tutors, content, AI support, assessment, and progress.</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3168"/>
            <w:shd w:fill="102A33"/>
            <w:vAlign w:val="center"/>
          </w:tcPr>
          <w:p>
            <w:pPr>
              <w:spacing w:after="0"/>
            </w:pPr>
            <w:r/>
            <w:r>
              <w:rPr>
                <w:b/>
                <w:color w:val="FFFFFF"/>
                <w:sz w:val="17"/>
              </w:rPr>
              <w:t>Workflow</w:t>
            </w:r>
          </w:p>
        </w:tc>
        <w:tc>
          <w:tcPr>
            <w:tcW w:type="dxa" w:w="7776"/>
            <w:shd w:fill="102A33"/>
            <w:vAlign w:val="center"/>
          </w:tcPr>
          <w:p>
            <w:pPr>
              <w:spacing w:after="0"/>
            </w:pPr>
            <w:r/>
            <w:r>
              <w:rPr>
                <w:b/>
                <w:color w:val="FFFFFF"/>
                <w:sz w:val="17"/>
              </w:rPr>
              <w:t>Description</w:t>
            </w:r>
          </w:p>
        </w:tc>
      </w:tr>
      <w:tr>
        <w:tc>
          <w:tcPr>
            <w:tcW w:type="dxa" w:w="3168"/>
            <w:vAlign w:val="top"/>
          </w:tcPr>
          <w:p>
            <w:pPr>
              <w:spacing w:after="0"/>
            </w:pPr>
            <w:r>
              <w:rPr>
                <w:b/>
                <w:color w:val="102A33"/>
              </w:rPr>
            </w:r>
            <w:r>
              <w:rPr>
                <w:b/>
                <w:color w:val="102A33"/>
                <w:sz w:val="16"/>
              </w:rPr>
              <w:t>Learner Discovery</w:t>
            </w:r>
          </w:p>
        </w:tc>
        <w:tc>
          <w:tcPr>
            <w:tcW w:type="dxa" w:w="7776"/>
            <w:vAlign w:val="top"/>
          </w:tcPr>
          <w:p>
            <w:pPr>
              <w:spacing w:after="0"/>
            </w:pPr>
            <w:r/>
            <w:r>
              <w:rPr>
                <w:b w:val="0"/>
                <w:sz w:val="16"/>
              </w:rPr>
              <w:t>Visitor explores Academy or Learning Platform pages, understands programs, views courses/workshops/cohorts, and chooses a suitable path.</w:t>
            </w:r>
          </w:p>
        </w:tc>
      </w:tr>
      <w:tr>
        <w:tc>
          <w:tcPr>
            <w:tcW w:type="dxa" w:w="3168"/>
            <w:vAlign w:val="top"/>
          </w:tcPr>
          <w:p>
            <w:pPr>
              <w:spacing w:after="0"/>
            </w:pPr>
            <w:r>
              <w:rPr>
                <w:b/>
                <w:color w:val="102A33"/>
              </w:rPr>
            </w:r>
            <w:r>
              <w:rPr>
                <w:b/>
                <w:color w:val="102A33"/>
                <w:sz w:val="16"/>
              </w:rPr>
              <w:t>Authentication &amp; Session</w:t>
            </w:r>
          </w:p>
        </w:tc>
        <w:tc>
          <w:tcPr>
            <w:tcW w:type="dxa" w:w="7776"/>
            <w:vAlign w:val="top"/>
          </w:tcPr>
          <w:p>
            <w:pPr>
              <w:spacing w:after="0"/>
            </w:pPr>
            <w:r/>
            <w:r>
              <w:rPr>
                <w:b w:val="0"/>
                <w:sz w:val="16"/>
              </w:rPr>
              <w:t>Learner logs in or signs up, receives role-appropriate access, and continues into the platform with authenticated session state.</w:t>
            </w:r>
          </w:p>
        </w:tc>
      </w:tr>
      <w:tr>
        <w:tc>
          <w:tcPr>
            <w:tcW w:type="dxa" w:w="3168"/>
            <w:vAlign w:val="top"/>
          </w:tcPr>
          <w:p>
            <w:pPr>
              <w:spacing w:after="0"/>
            </w:pPr>
            <w:r>
              <w:rPr>
                <w:b/>
                <w:color w:val="102A33"/>
              </w:rPr>
            </w:r>
            <w:r>
              <w:rPr>
                <w:b/>
                <w:color w:val="102A33"/>
                <w:sz w:val="16"/>
              </w:rPr>
              <w:t>Enrollment &amp; Access Gating</w:t>
            </w:r>
          </w:p>
        </w:tc>
        <w:tc>
          <w:tcPr>
            <w:tcW w:type="dxa" w:w="7776"/>
            <w:vAlign w:val="top"/>
          </w:tcPr>
          <w:p>
            <w:pPr>
              <w:spacing w:after="0"/>
            </w:pPr>
            <w:r/>
            <w:r>
              <w:rPr>
                <w:b w:val="0"/>
                <w:sz w:val="16"/>
              </w:rPr>
              <w:t>Learner enrolls into a course/program. Access to course content is controlled based on enrollment, cohort rules, availability, or program type.</w:t>
            </w:r>
          </w:p>
        </w:tc>
      </w:tr>
      <w:tr>
        <w:tc>
          <w:tcPr>
            <w:tcW w:type="dxa" w:w="3168"/>
            <w:vAlign w:val="top"/>
          </w:tcPr>
          <w:p>
            <w:pPr>
              <w:spacing w:after="0"/>
            </w:pPr>
            <w:r>
              <w:rPr>
                <w:b/>
                <w:color w:val="102A33"/>
              </w:rPr>
            </w:r>
            <w:r>
              <w:rPr>
                <w:b/>
                <w:color w:val="102A33"/>
                <w:sz w:val="16"/>
              </w:rPr>
              <w:t>Course Player Learning Flow</w:t>
            </w:r>
          </w:p>
        </w:tc>
        <w:tc>
          <w:tcPr>
            <w:tcW w:type="dxa" w:w="7776"/>
            <w:vAlign w:val="top"/>
          </w:tcPr>
          <w:p>
            <w:pPr>
              <w:spacing w:after="0"/>
            </w:pPr>
            <w:r/>
            <w:r>
              <w:rPr>
                <w:b w:val="0"/>
                <w:sz w:val="16"/>
              </w:rPr>
              <w:t>Learner opens a course, navigates modules/topics, reads study material, views learning assets, and progresses through the course structure.</w:t>
            </w:r>
          </w:p>
        </w:tc>
      </w:tr>
      <w:tr>
        <w:tc>
          <w:tcPr>
            <w:tcW w:type="dxa" w:w="3168"/>
            <w:vAlign w:val="top"/>
          </w:tcPr>
          <w:p>
            <w:pPr>
              <w:spacing w:after="0"/>
            </w:pPr>
            <w:r>
              <w:rPr>
                <w:b/>
                <w:color w:val="102A33"/>
              </w:rPr>
            </w:r>
            <w:r>
              <w:rPr>
                <w:b/>
                <w:color w:val="102A33"/>
                <w:sz w:val="16"/>
              </w:rPr>
              <w:t>Personalized Learning</w:t>
            </w:r>
          </w:p>
        </w:tc>
        <w:tc>
          <w:tcPr>
            <w:tcW w:type="dxa" w:w="7776"/>
            <w:vAlign w:val="top"/>
          </w:tcPr>
          <w:p>
            <w:pPr>
              <w:spacing w:after="0"/>
            </w:pPr>
            <w:r/>
            <w:r>
              <w:rPr>
                <w:b w:val="0"/>
                <w:sz w:val="16"/>
              </w:rPr>
              <w:t>Learner receives persona-aware explanations or content variants that make concepts easier to understand based on learning profile.</w:t>
            </w:r>
          </w:p>
        </w:tc>
      </w:tr>
      <w:tr>
        <w:tc>
          <w:tcPr>
            <w:tcW w:type="dxa" w:w="3168"/>
            <w:vAlign w:val="top"/>
          </w:tcPr>
          <w:p>
            <w:pPr>
              <w:spacing w:after="0"/>
            </w:pPr>
            <w:r>
              <w:rPr>
                <w:b/>
                <w:color w:val="102A33"/>
              </w:rPr>
            </w:r>
            <w:r>
              <w:rPr>
                <w:b/>
                <w:color w:val="102A33"/>
                <w:sz w:val="16"/>
              </w:rPr>
              <w:t>Assessment Flow</w:t>
            </w:r>
          </w:p>
        </w:tc>
        <w:tc>
          <w:tcPr>
            <w:tcW w:type="dxa" w:w="7776"/>
            <w:vAlign w:val="top"/>
          </w:tcPr>
          <w:p>
            <w:pPr>
              <w:spacing w:after="0"/>
            </w:pPr>
            <w:r/>
            <w:r>
              <w:rPr>
                <w:b w:val="0"/>
                <w:sz w:val="16"/>
              </w:rPr>
              <w:t>Learner completes topic or module assessments. The system validates understanding and may require passing thresholds before moving forward.</w:t>
            </w:r>
          </w:p>
        </w:tc>
      </w:tr>
      <w:tr>
        <w:tc>
          <w:tcPr>
            <w:tcW w:type="dxa" w:w="3168"/>
            <w:vAlign w:val="top"/>
          </w:tcPr>
          <w:p>
            <w:pPr>
              <w:spacing w:after="0"/>
            </w:pPr>
            <w:r>
              <w:rPr>
                <w:b/>
                <w:color w:val="102A33"/>
              </w:rPr>
            </w:r>
            <w:r>
              <w:rPr>
                <w:b/>
                <w:color w:val="102A33"/>
                <w:sz w:val="16"/>
              </w:rPr>
              <w:t>AI Tutor Support</w:t>
            </w:r>
          </w:p>
        </w:tc>
        <w:tc>
          <w:tcPr>
            <w:tcW w:type="dxa" w:w="7776"/>
            <w:vAlign w:val="top"/>
          </w:tcPr>
          <w:p>
            <w:pPr>
              <w:spacing w:after="0"/>
            </w:pPr>
            <w:r/>
            <w:r>
              <w:rPr>
                <w:b w:val="0"/>
                <w:sz w:val="16"/>
              </w:rPr>
              <w:t>Learner asks course-related questions. AI Tutor answers using approved/course-grounded knowledge and helps the learner re-learn or continue.</w:t>
            </w:r>
          </w:p>
        </w:tc>
      </w:tr>
      <w:tr>
        <w:tc>
          <w:tcPr>
            <w:tcW w:type="dxa" w:w="3168"/>
            <w:vAlign w:val="top"/>
          </w:tcPr>
          <w:p>
            <w:pPr>
              <w:spacing w:after="0"/>
            </w:pPr>
            <w:r>
              <w:rPr>
                <w:b/>
                <w:color w:val="102A33"/>
              </w:rPr>
            </w:r>
            <w:r>
              <w:rPr>
                <w:b/>
                <w:color w:val="102A33"/>
                <w:sz w:val="16"/>
              </w:rPr>
              <w:t>Assignment Submission</w:t>
            </w:r>
          </w:p>
        </w:tc>
        <w:tc>
          <w:tcPr>
            <w:tcW w:type="dxa" w:w="7776"/>
            <w:vAlign w:val="top"/>
          </w:tcPr>
          <w:p>
            <w:pPr>
              <w:spacing w:after="0"/>
            </w:pPr>
            <w:r/>
            <w:r>
              <w:rPr>
                <w:b w:val="0"/>
                <w:sz w:val="16"/>
              </w:rPr>
              <w:t>Learner completes practical tasks, submits work, and receives review, feedback, approval, or rejection from tutor/mentor workflows.</w:t>
            </w:r>
          </w:p>
        </w:tc>
      </w:tr>
      <w:tr>
        <w:tc>
          <w:tcPr>
            <w:tcW w:type="dxa" w:w="3168"/>
            <w:vAlign w:val="top"/>
          </w:tcPr>
          <w:p>
            <w:pPr>
              <w:spacing w:after="0"/>
            </w:pPr>
            <w:r>
              <w:rPr>
                <w:b/>
                <w:color w:val="102A33"/>
              </w:rPr>
            </w:r>
            <w:r>
              <w:rPr>
                <w:b/>
                <w:color w:val="102A33"/>
                <w:sz w:val="16"/>
              </w:rPr>
              <w:t>Cohort Learning &amp; Live Sessions</w:t>
            </w:r>
          </w:p>
        </w:tc>
        <w:tc>
          <w:tcPr>
            <w:tcW w:type="dxa" w:w="7776"/>
            <w:vAlign w:val="top"/>
          </w:tcPr>
          <w:p>
            <w:pPr>
              <w:spacing w:after="0"/>
            </w:pPr>
            <w:r/>
            <w:r>
              <w:rPr>
                <w:b w:val="0"/>
                <w:sz w:val="16"/>
              </w:rPr>
              <w:t>For cohort programs, learners attend live mentor/tutor sessions, interact, seek guidance, and access recordings when sessions are missed.</w:t>
            </w:r>
          </w:p>
        </w:tc>
      </w:tr>
      <w:tr>
        <w:tc>
          <w:tcPr>
            <w:tcW w:type="dxa" w:w="3168"/>
            <w:vAlign w:val="top"/>
          </w:tcPr>
          <w:p>
            <w:pPr>
              <w:spacing w:after="0"/>
            </w:pPr>
            <w:r>
              <w:rPr>
                <w:b/>
                <w:color w:val="102A33"/>
              </w:rPr>
            </w:r>
            <w:r>
              <w:rPr>
                <w:b/>
                <w:color w:val="102A33"/>
                <w:sz w:val="16"/>
              </w:rPr>
              <w:t>Progress &amp; Certificate</w:t>
            </w:r>
          </w:p>
        </w:tc>
        <w:tc>
          <w:tcPr>
            <w:tcW w:type="dxa" w:w="7776"/>
            <w:vAlign w:val="top"/>
          </w:tcPr>
          <w:p>
            <w:pPr>
              <w:spacing w:after="0"/>
            </w:pPr>
            <w:r/>
            <w:r>
              <w:rPr>
                <w:b w:val="0"/>
                <w:sz w:val="16"/>
              </w:rPr>
              <w:t>Learner progress is tracked. After completion requirements are met, certificates or completion signals may be issued.</w:t>
            </w:r>
          </w:p>
        </w:tc>
      </w:tr>
      <w:tr>
        <w:tc>
          <w:tcPr>
            <w:tcW w:type="dxa" w:w="3168"/>
            <w:vAlign w:val="top"/>
          </w:tcPr>
          <w:p>
            <w:pPr>
              <w:spacing w:after="0"/>
            </w:pPr>
            <w:r>
              <w:rPr>
                <w:b/>
                <w:color w:val="102A33"/>
              </w:rPr>
            </w:r>
            <w:r>
              <w:rPr>
                <w:b/>
                <w:color w:val="102A33"/>
                <w:sz w:val="16"/>
              </w:rPr>
              <w:t>Tutor Monitoring</w:t>
            </w:r>
          </w:p>
        </w:tc>
        <w:tc>
          <w:tcPr>
            <w:tcW w:type="dxa" w:w="7776"/>
            <w:vAlign w:val="top"/>
          </w:tcPr>
          <w:p>
            <w:pPr>
              <w:spacing w:after="0"/>
            </w:pPr>
            <w:r/>
            <w:r>
              <w:rPr>
                <w:b w:val="0"/>
                <w:sz w:val="16"/>
              </w:rPr>
              <w:t>Tutors view learner progress, engagement, assessment attempts, assignment statuses, and areas where students may need help.</w:t>
            </w:r>
          </w:p>
        </w:tc>
      </w:tr>
    </w:tbl>
    <w:p>
      <w:pPr>
        <w:spacing w:after="40"/>
      </w:pPr>
    </w:p>
    <w:p>
      <w:pPr>
        <w:pStyle w:val="Heading1"/>
        <w:keepNext/>
      </w:pPr>
      <w:r>
        <w:t>7. Market Differentiation &amp; Uniqueness</w:t>
      </w:r>
    </w:p>
    <w:p>
      <w:pPr>
        <w:spacing w:after="160" w:line="259" w:lineRule="auto"/>
      </w:pPr>
      <w:r>
        <w:t>The Course Platform differentiates itself by moving away from passive content delivery and toward a structured learning-to-outcome journey. It is designed around the belief that learners need a complete support system, not just videos.</w:t>
      </w:r>
    </w:p>
    <w:p>
      <w:pPr>
        <w:pStyle w:val="Heading2"/>
        <w:keepNext/>
      </w:pPr>
      <w:r>
        <w:t>7.1 Core Differentiators</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3168"/>
            <w:shd w:fill="102A33"/>
            <w:vAlign w:val="center"/>
          </w:tcPr>
          <w:p>
            <w:pPr>
              <w:spacing w:after="0"/>
            </w:pPr>
            <w:r/>
            <w:r>
              <w:rPr>
                <w:b/>
                <w:color w:val="FFFFFF"/>
                <w:sz w:val="17"/>
              </w:rPr>
              <w:t>Differentiator</w:t>
            </w:r>
          </w:p>
        </w:tc>
        <w:tc>
          <w:tcPr>
            <w:tcW w:type="dxa" w:w="7776"/>
            <w:shd w:fill="102A33"/>
            <w:vAlign w:val="center"/>
          </w:tcPr>
          <w:p>
            <w:pPr>
              <w:spacing w:after="0"/>
            </w:pPr>
            <w:r/>
            <w:r>
              <w:rPr>
                <w:b/>
                <w:color w:val="FFFFFF"/>
                <w:sz w:val="17"/>
              </w:rPr>
              <w:t>Why It Matters</w:t>
            </w:r>
          </w:p>
        </w:tc>
      </w:tr>
      <w:tr>
        <w:tc>
          <w:tcPr>
            <w:tcW w:type="dxa" w:w="3168"/>
            <w:vAlign w:val="top"/>
          </w:tcPr>
          <w:p>
            <w:pPr>
              <w:spacing w:after="0"/>
            </w:pPr>
            <w:r>
              <w:rPr>
                <w:b/>
                <w:color w:val="102A33"/>
              </w:rPr>
            </w:r>
            <w:r>
              <w:rPr>
                <w:b/>
                <w:color w:val="102A33"/>
                <w:sz w:val="16"/>
              </w:rPr>
              <w:t>Learn by Building</w:t>
            </w:r>
          </w:p>
        </w:tc>
        <w:tc>
          <w:tcPr>
            <w:tcW w:type="dxa" w:w="7776"/>
            <w:vAlign w:val="top"/>
          </w:tcPr>
          <w:p>
            <w:pPr>
              <w:spacing w:after="0"/>
            </w:pPr>
            <w:r/>
            <w:r>
              <w:rPr>
                <w:b w:val="0"/>
                <w:sz w:val="16"/>
              </w:rPr>
              <w:t>The platform emphasizes starting with a real case-study or project context and learning by building from the beginning, instead of learning everything first and applying only at the end.</w:t>
            </w:r>
          </w:p>
        </w:tc>
      </w:tr>
      <w:tr>
        <w:tc>
          <w:tcPr>
            <w:tcW w:type="dxa" w:w="3168"/>
            <w:vAlign w:val="top"/>
          </w:tcPr>
          <w:p>
            <w:pPr>
              <w:spacing w:after="0"/>
            </w:pPr>
            <w:r>
              <w:rPr>
                <w:b/>
                <w:color w:val="102A33"/>
              </w:rPr>
            </w:r>
            <w:r>
              <w:rPr>
                <w:b/>
                <w:color w:val="102A33"/>
                <w:sz w:val="16"/>
              </w:rPr>
              <w:t>Framework-Driven Learning</w:t>
            </w:r>
          </w:p>
        </w:tc>
        <w:tc>
          <w:tcPr>
            <w:tcW w:type="dxa" w:w="7776"/>
            <w:vAlign w:val="top"/>
          </w:tcPr>
          <w:p>
            <w:pPr>
              <w:spacing w:after="0"/>
            </w:pPr>
            <w:r/>
            <w:r>
              <w:rPr>
                <w:b w:val="0"/>
                <w:sz w:val="16"/>
              </w:rPr>
              <w:t>The learning journey follows Learn / Listen -&gt; Comprehend -&gt; Articulate -&gt; Apply, helping learners move through clarity, understanding, validation, and practical application.</w:t>
            </w:r>
          </w:p>
        </w:tc>
      </w:tr>
      <w:tr>
        <w:tc>
          <w:tcPr>
            <w:tcW w:type="dxa" w:w="3168"/>
            <w:vAlign w:val="top"/>
          </w:tcPr>
          <w:p>
            <w:pPr>
              <w:spacing w:after="0"/>
            </w:pPr>
            <w:r>
              <w:rPr>
                <w:b/>
                <w:color w:val="102A33"/>
              </w:rPr>
            </w:r>
            <w:r>
              <w:rPr>
                <w:b/>
                <w:color w:val="102A33"/>
                <w:sz w:val="16"/>
              </w:rPr>
              <w:t>AI-Native Support</w:t>
            </w:r>
          </w:p>
        </w:tc>
        <w:tc>
          <w:tcPr>
            <w:tcW w:type="dxa" w:w="7776"/>
            <w:vAlign w:val="top"/>
          </w:tcPr>
          <w:p>
            <w:pPr>
              <w:spacing w:after="0"/>
            </w:pPr>
            <w:r/>
            <w:r>
              <w:rPr>
                <w:b w:val="0"/>
                <w:sz w:val="16"/>
              </w:rPr>
              <w:t>AI Tutor support is integrated into the learning journey, helping learners ask course-related doubts and recover when they are stuck.</w:t>
            </w:r>
          </w:p>
        </w:tc>
      </w:tr>
      <w:tr>
        <w:tc>
          <w:tcPr>
            <w:tcW w:type="dxa" w:w="3168"/>
            <w:vAlign w:val="top"/>
          </w:tcPr>
          <w:p>
            <w:pPr>
              <w:spacing w:after="0"/>
            </w:pPr>
            <w:r>
              <w:rPr>
                <w:b/>
                <w:color w:val="102A33"/>
              </w:rPr>
            </w:r>
            <w:r>
              <w:rPr>
                <w:b/>
                <w:color w:val="102A33"/>
                <w:sz w:val="16"/>
              </w:rPr>
              <w:t>Persona-Based Personalization</w:t>
            </w:r>
          </w:p>
        </w:tc>
        <w:tc>
          <w:tcPr>
            <w:tcW w:type="dxa" w:w="7776"/>
            <w:vAlign w:val="top"/>
          </w:tcPr>
          <w:p>
            <w:pPr>
              <w:spacing w:after="0"/>
            </w:pPr>
            <w:r/>
            <w:r>
              <w:rPr>
                <w:b w:val="0"/>
                <w:sz w:val="16"/>
              </w:rPr>
              <w:t>Content and explanations can adapt to learner persona, improving comprehension for different types of learners.</w:t>
            </w:r>
          </w:p>
        </w:tc>
      </w:tr>
      <w:tr>
        <w:tc>
          <w:tcPr>
            <w:tcW w:type="dxa" w:w="3168"/>
            <w:vAlign w:val="top"/>
          </w:tcPr>
          <w:p>
            <w:pPr>
              <w:spacing w:after="0"/>
            </w:pPr>
            <w:r>
              <w:rPr>
                <w:b/>
                <w:color w:val="102A33"/>
              </w:rPr>
            </w:r>
            <w:r>
              <w:rPr>
                <w:b/>
                <w:color w:val="102A33"/>
                <w:sz w:val="16"/>
              </w:rPr>
              <w:t>Immediate Validation</w:t>
            </w:r>
          </w:p>
        </w:tc>
        <w:tc>
          <w:tcPr>
            <w:tcW w:type="dxa" w:w="7776"/>
            <w:vAlign w:val="top"/>
          </w:tcPr>
          <w:p>
            <w:pPr>
              <w:spacing w:after="0"/>
            </w:pPr>
            <w:r/>
            <w:r>
              <w:rPr>
                <w:b w:val="0"/>
                <w:sz w:val="16"/>
              </w:rPr>
              <w:t>Topic-level assessments check understanding close to the learning moment, reducing passive progress and false confidence.</w:t>
            </w:r>
          </w:p>
        </w:tc>
      </w:tr>
      <w:tr>
        <w:tc>
          <w:tcPr>
            <w:tcW w:type="dxa" w:w="3168"/>
            <w:vAlign w:val="top"/>
          </w:tcPr>
          <w:p>
            <w:pPr>
              <w:spacing w:after="0"/>
            </w:pPr>
            <w:r>
              <w:rPr>
                <w:b/>
                <w:color w:val="102A33"/>
              </w:rPr>
            </w:r>
            <w:r>
              <w:rPr>
                <w:b/>
                <w:color w:val="102A33"/>
                <w:sz w:val="16"/>
              </w:rPr>
              <w:t>Practical Application</w:t>
            </w:r>
          </w:p>
        </w:tc>
        <w:tc>
          <w:tcPr>
            <w:tcW w:type="dxa" w:w="7776"/>
            <w:vAlign w:val="top"/>
          </w:tcPr>
          <w:p>
            <w:pPr>
              <w:spacing w:after="0"/>
            </w:pPr>
            <w:r/>
            <w:r>
              <w:rPr>
                <w:b w:val="0"/>
                <w:sz w:val="16"/>
              </w:rPr>
              <w:t>Assignments and projects help learners prove capability through work, feedback, and improvement.</w:t>
            </w:r>
          </w:p>
        </w:tc>
      </w:tr>
      <w:tr>
        <w:tc>
          <w:tcPr>
            <w:tcW w:type="dxa" w:w="3168"/>
            <w:vAlign w:val="top"/>
          </w:tcPr>
          <w:p>
            <w:pPr>
              <w:spacing w:after="0"/>
            </w:pPr>
            <w:r>
              <w:rPr>
                <w:b/>
                <w:color w:val="102A33"/>
              </w:rPr>
            </w:r>
            <w:r>
              <w:rPr>
                <w:b/>
                <w:color w:val="102A33"/>
                <w:sz w:val="16"/>
              </w:rPr>
              <w:t>Cohort + Community Support</w:t>
            </w:r>
          </w:p>
        </w:tc>
        <w:tc>
          <w:tcPr>
            <w:tcW w:type="dxa" w:w="7776"/>
            <w:vAlign w:val="top"/>
          </w:tcPr>
          <w:p>
            <w:pPr>
              <w:spacing w:after="0"/>
            </w:pPr>
            <w:r/>
            <w:r>
              <w:rPr>
                <w:b w:val="0"/>
                <w:sz w:val="16"/>
              </w:rPr>
              <w:t>Cohorts, live sessions, discussions, messaging, and recordings create a more connected and accountable learning experience.</w:t>
            </w:r>
          </w:p>
        </w:tc>
      </w:tr>
      <w:tr>
        <w:tc>
          <w:tcPr>
            <w:tcW w:type="dxa" w:w="3168"/>
            <w:vAlign w:val="top"/>
          </w:tcPr>
          <w:p>
            <w:pPr>
              <w:spacing w:after="0"/>
            </w:pPr>
            <w:r>
              <w:rPr>
                <w:b/>
                <w:color w:val="102A33"/>
              </w:rPr>
            </w:r>
            <w:r>
              <w:rPr>
                <w:b/>
                <w:color w:val="102A33"/>
                <w:sz w:val="16"/>
              </w:rPr>
              <w:t>Tutor Visibility</w:t>
            </w:r>
          </w:p>
        </w:tc>
        <w:tc>
          <w:tcPr>
            <w:tcW w:type="dxa" w:w="7776"/>
            <w:vAlign w:val="top"/>
          </w:tcPr>
          <w:p>
            <w:pPr>
              <w:spacing w:after="0"/>
            </w:pPr>
            <w:r/>
            <w:r>
              <w:rPr>
                <w:b w:val="0"/>
                <w:sz w:val="16"/>
              </w:rPr>
              <w:t>Tutor dashboards and monitoring pipelines help mentors identify learner progress, submissions, and possible intervention points.</w:t>
            </w:r>
          </w:p>
        </w:tc>
      </w:tr>
    </w:tbl>
    <w:p>
      <w:pPr>
        <w:spacing w:after="40"/>
      </w:pPr>
    </w:p>
    <w:p>
      <w:pPr>
        <w:pStyle w:val="Heading2"/>
        <w:keepNext/>
      </w:pPr>
      <w:r>
        <w:t>7.2 Market Positioning Statement</w:t>
      </w:r>
    </w:p>
    <w:tbl>
      <w:tblPr>
        <w:tblW w:type="auto" w:w="0"/>
        <w:jc w:val="center"/>
        <w:tblLayout w:type="autofit"/>
        <w:tblLook w:firstColumn="1" w:firstRow="1" w:lastColumn="0" w:lastRow="0" w:noHBand="0" w:noVBand="1" w:val="04A0"/>
        <w:tblBorders>
          <w:top w:val="single" w:sz="4" w:space="0" w:color="F2D5C5"/>
          <w:left w:val="single" w:sz="4" w:space="0" w:color="F2D5C5"/>
          <w:bottom w:val="single" w:sz="4" w:space="0" w:color="F2D5C5"/>
          <w:right w:val="single" w:sz="4" w:space="0" w:color="F2D5C5"/>
          <w:insideH w:val="single" w:sz="4" w:space="0" w:color="F2D5C5"/>
          <w:insideV w:val="single" w:sz="4" w:space="0" w:color="F2D5C5"/>
        </w:tblBorders>
      </w:tblPr>
      <w:tblGrid>
        <w:gridCol w:w="10166"/>
      </w:tblGrid>
      <w:tr>
        <w:tc>
          <w:tcPr>
            <w:tcW w:type="dxa" w:w="10166"/>
            <w:shd w:fill="FFF5EA"/>
          </w:tcPr>
          <w:p>
            <w:pPr>
              <w:spacing w:after="80"/>
            </w:pPr>
            <w:r>
              <w:rPr>
                <w:b/>
                <w:color w:val="E84633"/>
                <w:sz w:val="22"/>
              </w:rPr>
              <w:t>Positioning Statement</w:t>
            </w:r>
          </w:p>
          <w:p>
            <w:pPr>
              <w:spacing w:after="0" w:line="252" w:lineRule="auto"/>
            </w:pPr>
            <w:r>
              <w:t>Ottobon Learning Platform helps learners move from passive watching to real skill-building through structured courses, AI-guided support, personalized learning, assessments, assignments, cohort engagement, and measurable progress.</w:t>
            </w:r>
          </w:p>
        </w:tc>
      </w:tr>
    </w:tbl>
    <w:p>
      <w:pPr>
        <w:spacing w:after="40"/>
      </w:pPr>
    </w:p>
    <w:p>
      <w:pPr>
        <w:pStyle w:val="Heading2"/>
        <w:keepNext/>
      </w:pPr>
      <w:r>
        <w:t>7.3 Compared to Generic Course Platforms</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4896"/>
            <w:shd w:fill="E84633"/>
            <w:vAlign w:val="center"/>
          </w:tcPr>
          <w:p>
            <w:pPr>
              <w:spacing w:after="0"/>
            </w:pPr>
            <w:r/>
            <w:r>
              <w:rPr>
                <w:b/>
                <w:color w:val="FFFFFF"/>
                <w:sz w:val="17"/>
              </w:rPr>
              <w:t>Traditional Pattern</w:t>
            </w:r>
          </w:p>
        </w:tc>
        <w:tc>
          <w:tcPr>
            <w:tcW w:type="dxa" w:w="6048"/>
            <w:shd w:fill="E84633"/>
            <w:vAlign w:val="center"/>
          </w:tcPr>
          <w:p>
            <w:pPr>
              <w:spacing w:after="0"/>
            </w:pPr>
            <w:r/>
            <w:r>
              <w:rPr>
                <w:b/>
                <w:color w:val="FFFFFF"/>
                <w:sz w:val="17"/>
              </w:rPr>
              <w:t>Ottobon Approach</w:t>
            </w:r>
          </w:p>
        </w:tc>
      </w:tr>
      <w:tr>
        <w:tc>
          <w:tcPr>
            <w:tcW w:type="dxa" w:w="4896"/>
            <w:vAlign w:val="top"/>
          </w:tcPr>
          <w:p>
            <w:pPr>
              <w:spacing w:after="0"/>
            </w:pPr>
            <w:r>
              <w:rPr>
                <w:b/>
                <w:color w:val="102A33"/>
              </w:rPr>
            </w:r>
            <w:r>
              <w:rPr>
                <w:b/>
                <w:color w:val="102A33"/>
                <w:sz w:val="16"/>
              </w:rPr>
              <w:t>Video-first course consumption</w:t>
            </w:r>
          </w:p>
        </w:tc>
        <w:tc>
          <w:tcPr>
            <w:tcW w:type="dxa" w:w="6048"/>
            <w:vAlign w:val="top"/>
          </w:tcPr>
          <w:p>
            <w:pPr>
              <w:spacing w:after="0"/>
            </w:pPr>
            <w:r/>
            <w:r>
              <w:rPr>
                <w:b w:val="0"/>
                <w:sz w:val="16"/>
              </w:rPr>
              <w:t>Structured learning-to-application journey</w:t>
            </w:r>
          </w:p>
        </w:tc>
      </w:tr>
      <w:tr>
        <w:tc>
          <w:tcPr>
            <w:tcW w:type="dxa" w:w="4896"/>
            <w:vAlign w:val="top"/>
          </w:tcPr>
          <w:p>
            <w:pPr>
              <w:spacing w:after="0"/>
            </w:pPr>
            <w:r>
              <w:rPr>
                <w:b/>
                <w:color w:val="102A33"/>
              </w:rPr>
            </w:r>
            <w:r>
              <w:rPr>
                <w:b/>
                <w:color w:val="102A33"/>
                <w:sz w:val="16"/>
              </w:rPr>
              <w:t>Same explanation for every learner</w:t>
            </w:r>
          </w:p>
        </w:tc>
        <w:tc>
          <w:tcPr>
            <w:tcW w:type="dxa" w:w="6048"/>
            <w:vAlign w:val="top"/>
          </w:tcPr>
          <w:p>
            <w:pPr>
              <w:spacing w:after="0"/>
            </w:pPr>
            <w:r/>
            <w:r>
              <w:rPr>
                <w:b w:val="0"/>
                <w:sz w:val="16"/>
              </w:rPr>
              <w:t>Persona-aware explanations and personalized content blocks</w:t>
            </w:r>
          </w:p>
        </w:tc>
      </w:tr>
      <w:tr>
        <w:tc>
          <w:tcPr>
            <w:tcW w:type="dxa" w:w="4896"/>
            <w:vAlign w:val="top"/>
          </w:tcPr>
          <w:p>
            <w:pPr>
              <w:spacing w:after="0"/>
            </w:pPr>
            <w:r>
              <w:rPr>
                <w:b/>
                <w:color w:val="102A33"/>
              </w:rPr>
            </w:r>
            <w:r>
              <w:rPr>
                <w:b/>
                <w:color w:val="102A33"/>
                <w:sz w:val="16"/>
              </w:rPr>
              <w:t>Limited support between sessions</w:t>
            </w:r>
          </w:p>
        </w:tc>
        <w:tc>
          <w:tcPr>
            <w:tcW w:type="dxa" w:w="6048"/>
            <w:vAlign w:val="top"/>
          </w:tcPr>
          <w:p>
            <w:pPr>
              <w:spacing w:after="0"/>
            </w:pPr>
            <w:r/>
            <w:r>
              <w:rPr>
                <w:b w:val="0"/>
                <w:sz w:val="16"/>
              </w:rPr>
              <w:t>AI Tutor support for contextual course doubts</w:t>
            </w:r>
          </w:p>
        </w:tc>
      </w:tr>
      <w:tr>
        <w:tc>
          <w:tcPr>
            <w:tcW w:type="dxa" w:w="4896"/>
            <w:vAlign w:val="top"/>
          </w:tcPr>
          <w:p>
            <w:pPr>
              <w:spacing w:after="0"/>
            </w:pPr>
            <w:r>
              <w:rPr>
                <w:b/>
                <w:color w:val="102A33"/>
              </w:rPr>
            </w:r>
            <w:r>
              <w:rPr>
                <w:b/>
                <w:color w:val="102A33"/>
                <w:sz w:val="16"/>
              </w:rPr>
              <w:t>Progress often means watched lessons</w:t>
            </w:r>
          </w:p>
        </w:tc>
        <w:tc>
          <w:tcPr>
            <w:tcW w:type="dxa" w:w="6048"/>
            <w:vAlign w:val="top"/>
          </w:tcPr>
          <w:p>
            <w:pPr>
              <w:spacing w:after="0"/>
            </w:pPr>
            <w:r/>
            <w:r>
              <w:rPr>
                <w:b w:val="0"/>
                <w:sz w:val="16"/>
              </w:rPr>
              <w:t>Progress includes understanding checks, assessments, assignments, and outcomes</w:t>
            </w:r>
          </w:p>
        </w:tc>
      </w:tr>
      <w:tr>
        <w:tc>
          <w:tcPr>
            <w:tcW w:type="dxa" w:w="4896"/>
            <w:vAlign w:val="top"/>
          </w:tcPr>
          <w:p>
            <w:pPr>
              <w:spacing w:after="0"/>
            </w:pPr>
            <w:r>
              <w:rPr>
                <w:b/>
                <w:color w:val="102A33"/>
              </w:rPr>
            </w:r>
            <w:r>
              <w:rPr>
                <w:b/>
                <w:color w:val="102A33"/>
                <w:sz w:val="16"/>
              </w:rPr>
              <w:t>Build after finishing the course</w:t>
            </w:r>
          </w:p>
        </w:tc>
        <w:tc>
          <w:tcPr>
            <w:tcW w:type="dxa" w:w="6048"/>
            <w:vAlign w:val="top"/>
          </w:tcPr>
          <w:p>
            <w:pPr>
              <w:spacing w:after="0"/>
            </w:pPr>
            <w:r/>
            <w:r>
              <w:rPr>
                <w:b w:val="0"/>
                <w:sz w:val="16"/>
              </w:rPr>
              <w:t>Learn by building from early stages of the course</w:t>
            </w:r>
          </w:p>
        </w:tc>
      </w:tr>
    </w:tbl>
    <w:p>
      <w:pPr>
        <w:spacing w:after="40"/>
      </w:pPr>
    </w:p>
    <w:p>
      <w:pPr>
        <w:pStyle w:val="Heading1"/>
        <w:keepNext/>
      </w:pPr>
      <w:r>
        <w:t>8. Future Enhancements / Roadmap</w:t>
      </w:r>
    </w:p>
    <w:p>
      <w:pPr>
        <w:spacing w:after="160" w:line="259" w:lineRule="auto"/>
      </w:pPr>
      <w:r>
        <w:t>The roadmap should continue strengthening the Course Platform as a complete upskilling environment. The following enhancements are recommended from a business and product perspective.</w:t>
      </w:r>
    </w:p>
    <w:tbl>
      <w:tblPr>
        <w:tblStyle w:val="TableGrid"/>
        <w:tblW w:type="auto" w:w="0"/>
        <w:jc w:val="center"/>
        <w:tblLook w:firstColumn="1" w:firstRow="1" w:lastColumn="0" w:lastRow="0" w:noHBand="0" w:noVBand="1" w:val="04A0"/>
        <w:tblBorders>
          <w:top w:val="single" w:sz="4" w:space="0" w:color="D4D9DC"/>
          <w:left w:val="single" w:sz="4" w:space="0" w:color="D4D9DC"/>
          <w:bottom w:val="single" w:sz="4" w:space="0" w:color="D4D9DC"/>
          <w:right w:val="single" w:sz="4" w:space="0" w:color="D4D9DC"/>
          <w:insideH w:val="single" w:sz="4" w:space="0" w:color="D4D9DC"/>
          <w:insideV w:val="single" w:sz="4" w:space="0" w:color="D4D9DC"/>
        </w:tblBorders>
      </w:tblPr>
      <w:tblGrid>
        <w:gridCol w:w="5083"/>
        <w:gridCol w:w="5083"/>
      </w:tblGrid>
      <w:tr>
        <w:trPr>
          <w:trHeight w:val="360" w:hRule="atLeast"/>
        </w:trPr>
        <w:tc>
          <w:tcPr>
            <w:tcW w:type="dxa" w:w="3456"/>
            <w:shd w:fill="102A33"/>
            <w:vAlign w:val="center"/>
          </w:tcPr>
          <w:p>
            <w:pPr>
              <w:spacing w:after="0"/>
            </w:pPr>
            <w:r/>
            <w:r>
              <w:rPr>
                <w:b/>
                <w:color w:val="FFFFFF"/>
                <w:sz w:val="17"/>
              </w:rPr>
              <w:t>Roadmap Area</w:t>
            </w:r>
          </w:p>
        </w:tc>
        <w:tc>
          <w:tcPr>
            <w:tcW w:type="dxa" w:w="7488"/>
            <w:shd w:fill="102A33"/>
            <w:vAlign w:val="center"/>
          </w:tcPr>
          <w:p>
            <w:pPr>
              <w:spacing w:after="0"/>
            </w:pPr>
            <w:r/>
            <w:r>
              <w:rPr>
                <w:b/>
                <w:color w:val="FFFFFF"/>
                <w:sz w:val="17"/>
              </w:rPr>
              <w:t>Business Value</w:t>
            </w:r>
          </w:p>
        </w:tc>
      </w:tr>
      <w:tr>
        <w:tc>
          <w:tcPr>
            <w:tcW w:type="dxa" w:w="3456"/>
            <w:vAlign w:val="top"/>
          </w:tcPr>
          <w:p>
            <w:pPr>
              <w:spacing w:after="0"/>
            </w:pPr>
            <w:r>
              <w:rPr>
                <w:b/>
                <w:color w:val="102A33"/>
              </w:rPr>
            </w:r>
            <w:r>
              <w:rPr>
                <w:b/>
                <w:color w:val="102A33"/>
                <w:sz w:val="16"/>
              </w:rPr>
              <w:t>Advanced Personalization</w:t>
            </w:r>
          </w:p>
        </w:tc>
        <w:tc>
          <w:tcPr>
            <w:tcW w:type="dxa" w:w="7488"/>
            <w:vAlign w:val="top"/>
          </w:tcPr>
          <w:p>
            <w:pPr>
              <w:spacing w:after="0"/>
            </w:pPr>
            <w:r/>
            <w:r>
              <w:rPr>
                <w:b w:val="0"/>
                <w:sz w:val="16"/>
              </w:rPr>
              <w:t>Improve learner persona detection, adaptive content recommendations, and individualized explanation styles.</w:t>
            </w:r>
          </w:p>
        </w:tc>
      </w:tr>
      <w:tr>
        <w:tc>
          <w:tcPr>
            <w:tcW w:type="dxa" w:w="3456"/>
            <w:vAlign w:val="top"/>
          </w:tcPr>
          <w:p>
            <w:pPr>
              <w:spacing w:after="0"/>
            </w:pPr>
            <w:r>
              <w:rPr>
                <w:b/>
                <w:color w:val="102A33"/>
              </w:rPr>
            </w:r>
            <w:r>
              <w:rPr>
                <w:b/>
                <w:color w:val="102A33"/>
                <w:sz w:val="16"/>
              </w:rPr>
              <w:t>Smarter AI Tutor</w:t>
            </w:r>
          </w:p>
        </w:tc>
        <w:tc>
          <w:tcPr>
            <w:tcW w:type="dxa" w:w="7488"/>
            <w:vAlign w:val="top"/>
          </w:tcPr>
          <w:p>
            <w:pPr>
              <w:spacing w:after="0"/>
            </w:pPr>
            <w:r/>
            <w:r>
              <w:rPr>
                <w:b w:val="0"/>
                <w:sz w:val="16"/>
              </w:rPr>
              <w:t>Strengthen RAG grounding, context memory, follow-up question handling, and tutor-approved knowledge boundaries.</w:t>
            </w:r>
          </w:p>
        </w:tc>
      </w:tr>
      <w:tr>
        <w:tc>
          <w:tcPr>
            <w:tcW w:type="dxa" w:w="3456"/>
            <w:vAlign w:val="top"/>
          </w:tcPr>
          <w:p>
            <w:pPr>
              <w:spacing w:after="0"/>
            </w:pPr>
            <w:r>
              <w:rPr>
                <w:b/>
                <w:color w:val="102A33"/>
              </w:rPr>
            </w:r>
            <w:r>
              <w:rPr>
                <w:b/>
                <w:color w:val="102A33"/>
                <w:sz w:val="16"/>
              </w:rPr>
              <w:t>Learning Analytics</w:t>
            </w:r>
          </w:p>
        </w:tc>
        <w:tc>
          <w:tcPr>
            <w:tcW w:type="dxa" w:w="7488"/>
            <w:vAlign w:val="top"/>
          </w:tcPr>
          <w:p>
            <w:pPr>
              <w:spacing w:after="0"/>
            </w:pPr>
            <w:r/>
            <w:r>
              <w:rPr>
                <w:b w:val="0"/>
                <w:sz w:val="16"/>
              </w:rPr>
              <w:t>Expand analytics for learner progress, engagement, retention, weak areas, quiz outcomes, assignment quality, and cohort performance.</w:t>
            </w:r>
          </w:p>
        </w:tc>
      </w:tr>
      <w:tr>
        <w:tc>
          <w:tcPr>
            <w:tcW w:type="dxa" w:w="3456"/>
            <w:vAlign w:val="top"/>
          </w:tcPr>
          <w:p>
            <w:pPr>
              <w:spacing w:after="0"/>
            </w:pPr>
            <w:r>
              <w:rPr>
                <w:b/>
                <w:color w:val="102A33"/>
              </w:rPr>
            </w:r>
            <w:r>
              <w:rPr>
                <w:b/>
                <w:color w:val="102A33"/>
                <w:sz w:val="16"/>
              </w:rPr>
              <w:t>Tutor Dashboard Expansion</w:t>
            </w:r>
          </w:p>
        </w:tc>
        <w:tc>
          <w:tcPr>
            <w:tcW w:type="dxa" w:w="7488"/>
            <w:vAlign w:val="top"/>
          </w:tcPr>
          <w:p>
            <w:pPr>
              <w:spacing w:after="0"/>
            </w:pPr>
            <w:r/>
            <w:r>
              <w:rPr>
                <w:b w:val="0"/>
                <w:sz w:val="16"/>
              </w:rPr>
              <w:t>Provide tutors with intervention alerts, learner heatmaps, assignment review queues, and cohort-level performance summaries.</w:t>
            </w:r>
          </w:p>
        </w:tc>
      </w:tr>
      <w:tr>
        <w:tc>
          <w:tcPr>
            <w:tcW w:type="dxa" w:w="3456"/>
            <w:vAlign w:val="top"/>
          </w:tcPr>
          <w:p>
            <w:pPr>
              <w:spacing w:after="0"/>
            </w:pPr>
            <w:r>
              <w:rPr>
                <w:b/>
                <w:color w:val="102A33"/>
              </w:rPr>
            </w:r>
            <w:r>
              <w:rPr>
                <w:b/>
                <w:color w:val="102A33"/>
                <w:sz w:val="16"/>
              </w:rPr>
              <w:t>Gamified Motivation</w:t>
            </w:r>
          </w:p>
        </w:tc>
        <w:tc>
          <w:tcPr>
            <w:tcW w:type="dxa" w:w="7488"/>
            <w:vAlign w:val="top"/>
          </w:tcPr>
          <w:p>
            <w:pPr>
              <w:spacing w:after="0"/>
            </w:pPr>
            <w:r/>
            <w:r>
              <w:rPr>
                <w:b w:val="0"/>
                <w:sz w:val="16"/>
              </w:rPr>
              <w:t>Enhance scoreboards, streaks, milestones, badges, peer rankings, and weekly progress summaries.</w:t>
            </w:r>
          </w:p>
        </w:tc>
      </w:tr>
      <w:tr>
        <w:tc>
          <w:tcPr>
            <w:tcW w:type="dxa" w:w="3456"/>
            <w:vAlign w:val="top"/>
          </w:tcPr>
          <w:p>
            <w:pPr>
              <w:spacing w:after="0"/>
            </w:pPr>
            <w:r>
              <w:rPr>
                <w:b/>
                <w:color w:val="102A33"/>
              </w:rPr>
            </w:r>
            <w:r>
              <w:rPr>
                <w:b/>
                <w:color w:val="102A33"/>
                <w:sz w:val="16"/>
              </w:rPr>
              <w:t>Project Portfolio Layer</w:t>
            </w:r>
          </w:p>
        </w:tc>
        <w:tc>
          <w:tcPr>
            <w:tcW w:type="dxa" w:w="7488"/>
            <w:vAlign w:val="top"/>
          </w:tcPr>
          <w:p>
            <w:pPr>
              <w:spacing w:after="0"/>
            </w:pPr>
            <w:r/>
            <w:r>
              <w:rPr>
                <w:b w:val="0"/>
                <w:sz w:val="16"/>
              </w:rPr>
              <w:t>Convert assignments and cohort projects into portfolio-ready outputs learners can showcase.</w:t>
            </w:r>
          </w:p>
        </w:tc>
      </w:tr>
      <w:tr>
        <w:tc>
          <w:tcPr>
            <w:tcW w:type="dxa" w:w="3456"/>
            <w:vAlign w:val="top"/>
          </w:tcPr>
          <w:p>
            <w:pPr>
              <w:spacing w:after="0"/>
            </w:pPr>
            <w:r>
              <w:rPr>
                <w:b/>
                <w:color w:val="102A33"/>
              </w:rPr>
            </w:r>
            <w:r>
              <w:rPr>
                <w:b/>
                <w:color w:val="102A33"/>
                <w:sz w:val="16"/>
              </w:rPr>
              <w:t>Certificate &amp; Credentialing</w:t>
            </w:r>
          </w:p>
        </w:tc>
        <w:tc>
          <w:tcPr>
            <w:tcW w:type="dxa" w:w="7488"/>
            <w:vAlign w:val="top"/>
          </w:tcPr>
          <w:p>
            <w:pPr>
              <w:spacing w:after="0"/>
            </w:pPr>
            <w:r/>
            <w:r>
              <w:rPr>
                <w:b w:val="0"/>
                <w:sz w:val="16"/>
              </w:rPr>
              <w:t>Strengthen certificate validation, completion criteria, and skill-based proof of capability.</w:t>
            </w:r>
          </w:p>
        </w:tc>
      </w:tr>
      <w:tr>
        <w:tc>
          <w:tcPr>
            <w:tcW w:type="dxa" w:w="3456"/>
            <w:vAlign w:val="top"/>
          </w:tcPr>
          <w:p>
            <w:pPr>
              <w:spacing w:after="0"/>
            </w:pPr>
            <w:r>
              <w:rPr>
                <w:b/>
                <w:color w:val="102A33"/>
              </w:rPr>
            </w:r>
            <w:r>
              <w:rPr>
                <w:b/>
                <w:color w:val="102A33"/>
                <w:sz w:val="16"/>
              </w:rPr>
              <w:t>Community Learning</w:t>
            </w:r>
          </w:p>
        </w:tc>
        <w:tc>
          <w:tcPr>
            <w:tcW w:type="dxa" w:w="7488"/>
            <w:vAlign w:val="top"/>
          </w:tcPr>
          <w:p>
            <w:pPr>
              <w:spacing w:after="0"/>
            </w:pPr>
            <w:r/>
            <w:r>
              <w:rPr>
                <w:b w:val="0"/>
                <w:sz w:val="16"/>
              </w:rPr>
              <w:t>Improve messaging, discussions, peer reviews, cohort channels, and live-session integration.</w:t>
            </w:r>
          </w:p>
        </w:tc>
      </w:tr>
      <w:tr>
        <w:tc>
          <w:tcPr>
            <w:tcW w:type="dxa" w:w="3456"/>
            <w:vAlign w:val="top"/>
          </w:tcPr>
          <w:p>
            <w:pPr>
              <w:spacing w:after="0"/>
            </w:pPr>
            <w:r>
              <w:rPr>
                <w:b/>
                <w:color w:val="102A33"/>
              </w:rPr>
            </w:r>
            <w:r>
              <w:rPr>
                <w:b/>
                <w:color w:val="102A33"/>
                <w:sz w:val="16"/>
              </w:rPr>
              <w:t>Career Path Integration</w:t>
            </w:r>
          </w:p>
        </w:tc>
        <w:tc>
          <w:tcPr>
            <w:tcW w:type="dxa" w:w="7488"/>
            <w:vAlign w:val="top"/>
          </w:tcPr>
          <w:p>
            <w:pPr>
              <w:spacing w:after="0"/>
            </w:pPr>
            <w:r/>
            <w:r>
              <w:rPr>
                <w:b w:val="0"/>
                <w:sz w:val="16"/>
              </w:rPr>
              <w:t>Connect course completion and skills with the Jobs Platform for role readiness, resume support, and interview preparation.</w:t>
            </w:r>
          </w:p>
        </w:tc>
      </w:tr>
      <w:tr>
        <w:tc>
          <w:tcPr>
            <w:tcW w:type="dxa" w:w="3456"/>
            <w:vAlign w:val="top"/>
          </w:tcPr>
          <w:p>
            <w:pPr>
              <w:spacing w:after="0"/>
            </w:pPr>
            <w:r>
              <w:rPr>
                <w:b/>
                <w:color w:val="102A33"/>
              </w:rPr>
            </w:r>
            <w:r>
              <w:rPr>
                <w:b/>
                <w:color w:val="102A33"/>
                <w:sz w:val="16"/>
              </w:rPr>
              <w:t>Tutor Onboarding</w:t>
            </w:r>
          </w:p>
        </w:tc>
        <w:tc>
          <w:tcPr>
            <w:tcW w:type="dxa" w:w="7488"/>
            <w:vAlign w:val="top"/>
          </w:tcPr>
          <w:p>
            <w:pPr>
              <w:spacing w:after="0"/>
            </w:pPr>
            <w:r/>
            <w:r>
              <w:rPr>
                <w:b w:val="0"/>
                <w:sz w:val="16"/>
              </w:rPr>
              <w:t>Enable experts to create courses, map learning outcomes, upload content, and monitor students at scale.</w:t>
            </w:r>
          </w:p>
        </w:tc>
      </w:tr>
    </w:tbl>
    <w:p>
      <w:pPr>
        <w:spacing w:after="40"/>
      </w:pPr>
    </w:p>
    <w:p>
      <w:pPr>
        <w:pStyle w:val="Heading1"/>
        <w:keepNext/>
      </w:pPr>
      <w:r>
        <w:t>9. Final Summary</w:t>
      </w:r>
    </w:p>
    <w:p>
      <w:pPr>
        <w:spacing w:after="160" w:line="259" w:lineRule="auto"/>
      </w:pPr>
      <w:r>
        <w:t>The Ottobon Course Platform is the learning engine of Ottobon Academy. Its business value lies in transforming online learning from passive content consumption into a guided, measurable, AI-native upskilling journey.</w:t>
      </w:r>
    </w:p>
    <w:p>
      <w:pPr>
        <w:spacing w:after="160" w:line="259" w:lineRule="auto"/>
      </w:pPr>
      <w:r>
        <w:t>The platform is built around a clear methodology: Learn / Listen -&gt; Comprehend -&gt; Articulate -&gt; Apply. This gives learners a structured path where they first understand concepts, then receive personalized support, validate their understanding, ask doubts, apply knowledge, and improve through practice and feedback.</w:t>
      </w:r>
    </w:p>
    <w:p>
      <w:pPr>
        <w:spacing w:after="160" w:line="259" w:lineRule="auto"/>
      </w:pPr>
      <w:r>
        <w:t>For learners, the platform provides clarity, support, accountability, and practical execution. For tutors, it provides visibility, review workflows, and the ability to support learners at scale. For Ottobon Academy, it creates a strong student-facing offering that can serve as the entry point into the broader academy ecosystem.</w:t>
      </w:r>
    </w:p>
    <w:tbl>
      <w:tblPr>
        <w:tblW w:type="auto" w:w="0"/>
        <w:jc w:val="center"/>
        <w:tblLayout w:type="autofit"/>
        <w:tblLook w:firstColumn="1" w:firstRow="1" w:lastColumn="0" w:lastRow="0" w:noHBand="0" w:noVBand="1" w:val="04A0"/>
        <w:tblBorders>
          <w:top w:val="single" w:sz="4" w:space="0" w:color="F2D5C5"/>
          <w:left w:val="single" w:sz="4" w:space="0" w:color="F2D5C5"/>
          <w:bottom w:val="single" w:sz="4" w:space="0" w:color="F2D5C5"/>
          <w:right w:val="single" w:sz="4" w:space="0" w:color="F2D5C5"/>
          <w:insideH w:val="single" w:sz="4" w:space="0" w:color="F2D5C5"/>
          <w:insideV w:val="single" w:sz="4" w:space="0" w:color="F2D5C5"/>
        </w:tblBorders>
      </w:tblPr>
      <w:tblGrid>
        <w:gridCol w:w="10166"/>
      </w:tblGrid>
      <w:tr>
        <w:tc>
          <w:tcPr>
            <w:tcW w:type="dxa" w:w="10166"/>
            <w:shd w:fill="FDEAD8"/>
          </w:tcPr>
          <w:p>
            <w:pPr>
              <w:spacing w:after="80"/>
            </w:pPr>
            <w:r>
              <w:rPr>
                <w:b/>
                <w:color w:val="E84633"/>
                <w:sz w:val="22"/>
              </w:rPr>
              <w:t>Final Business Message</w:t>
            </w:r>
          </w:p>
          <w:p>
            <w:pPr>
              <w:spacing w:after="0" w:line="252" w:lineRule="auto"/>
            </w:pPr>
            <w:r>
              <w:t>Ottobon Learning Platform is not just a place to watch courses. It is a structured AI-native learning environment designed to help students understand, validate, apply, improve, and build real skills.</w:t>
            </w:r>
          </w:p>
        </w:tc>
      </w:tr>
    </w:tbl>
    <w:p>
      <w:pPr>
        <w:spacing w:after="40"/>
      </w:pPr>
    </w:p>
    <w:p>
      <w:pPr>
        <w:spacing w:after="160" w:line="259" w:lineRule="auto"/>
      </w:pPr>
      <w:r>
        <w:t>In the academy website journey, the Learning Platform should be presented as the place where a learner starts their practical upskilling journey. The message should be simple, clear, and outcome-focused: do not just watch lessons; learn with structure, practice with purpose, and build with confidence.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pgBorders w:offsetFrom="page">
        <w:top w:val="single" w:sz="18" w:space="10" w:color="E846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0"/>
        <w:sz w:val="16"/>
      </w:rPr>
      <w:t>Confidential business overview - Learning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F6B70"/>
        <w:sz w:val="17"/>
      </w:rPr>
      <w:t>OTTOBON Academy  |  Course Platform Business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846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A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Ottobon Course Platform Business Overview</dc:title>
  <dc:subject>Learning Platform business overview</dc:subject>
  <dc:creator>OpenAI</dc:creator>
  <cp:keywords/>
  <dc:description>Generated business overview document for Ottobon Course Platform.</dc:description>
  <cp:lastModifiedBy/>
  <cp:revision>1</cp:revision>
  <dcterms:created xsi:type="dcterms:W3CDTF">2013-12-23T23:15:00Z</dcterms:created>
  <dcterms:modified xsi:type="dcterms:W3CDTF">2013-12-23T23:15:00Z</dcterms:modified>
  <cp:category/>
</cp:coreProperties>
</file>