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79FDA" w14:textId="18950B5C" w:rsidR="00513834" w:rsidRPr="00513834" w:rsidRDefault="00513834" w:rsidP="00513834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en-IN" w:bidi="te-IN"/>
        </w:rPr>
      </w:pPr>
      <w:r w:rsidRPr="00513834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  <w:lang w:eastAsia="en-IN" w:bidi="te-IN"/>
        </w:rPr>
        <w:t>Digital Twin Business Overview</w:t>
      </w:r>
    </w:p>
    <w:p w14:paraId="1B6C5167" w14:textId="77777777" w:rsidR="00513834" w:rsidRPr="00513834" w:rsidRDefault="00513834" w:rsidP="0051383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</w:pPr>
      <w:r w:rsidRPr="00513834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eastAsia="en-IN" w:bidi="te-IN"/>
        </w:rPr>
        <w:t>1. Vision &amp; Strategic Objective</w:t>
      </w:r>
    </w:p>
    <w:p w14:paraId="257BA2C7" w14:textId="77777777" w:rsidR="00513834" w:rsidRPr="00513834" w:rsidRDefault="00513834" w:rsidP="00513834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13834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The primary objective of Project Sakhi is to transition from a passive, linear automated bot into a proactive </w:t>
      </w:r>
      <w:r w:rsidRPr="0051383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"Shared Identity"</w:t>
      </w:r>
      <w:r w:rsidRPr="00513834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framework. This move aims to emulate professional decision-making by creating a </w:t>
      </w:r>
      <w:r w:rsidRPr="0051383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Digital Twin</w:t>
      </w:r>
      <w:r w:rsidRPr="00513834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that bridges the gap between AI and human medical expertise, offering a single, high-trust communication channel for patients.</w:t>
      </w:r>
    </w:p>
    <w:p w14:paraId="13207547" w14:textId="77777777" w:rsidR="00513834" w:rsidRPr="00513834" w:rsidRDefault="00513834" w:rsidP="0051383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</w:pPr>
      <w:r w:rsidRPr="00513834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eastAsia="en-IN" w:bidi="te-IN"/>
        </w:rPr>
        <w:t>2. Core Business Challenges</w:t>
      </w:r>
    </w:p>
    <w:p w14:paraId="5F3FD51F" w14:textId="77777777" w:rsidR="00513834" w:rsidRPr="00513834" w:rsidRDefault="00513834" w:rsidP="0051383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1383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Platform Friction:</w:t>
      </w:r>
      <w:r w:rsidRPr="00513834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Current reliance on official WhatsApp Business APIs introduces rigid 24-hour response windows and template authorization requirements that disrupt clinical workflows.</w:t>
      </w:r>
    </w:p>
    <w:p w14:paraId="2EDFE62C" w14:textId="77777777" w:rsidR="00513834" w:rsidRPr="00513834" w:rsidRDefault="00513834" w:rsidP="0051383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1383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Trust &amp; Accuracy:</w:t>
      </w:r>
      <w:r w:rsidRPr="00513834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Ensuring medical precision in an agentic environment requires a shift from simple RAG to </w:t>
      </w:r>
      <w:r w:rsidRPr="0051383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Hierarchical RAG (HRAG)</w:t>
      </w:r>
      <w:r w:rsidRPr="00513834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and deterministic logic vaults.</w:t>
      </w:r>
    </w:p>
    <w:p w14:paraId="5E8DECA4" w14:textId="77777777" w:rsidR="00513834" w:rsidRPr="00513834" w:rsidRDefault="00513834" w:rsidP="0051383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1383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System Fragmentation:</w:t>
      </w:r>
      <w:r w:rsidRPr="00513834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The need to decouple specialized medical agent profiles from broad administrative frameworks (like </w:t>
      </w:r>
      <w:proofErr w:type="spellStart"/>
      <w:r w:rsidRPr="00513834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TalentOps</w:t>
      </w:r>
      <w:proofErr w:type="spellEnd"/>
      <w:r w:rsidRPr="00513834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) to provide a cleaner, standalone "Expert Twin" experience.</w:t>
      </w:r>
    </w:p>
    <w:p w14:paraId="05BC346F" w14:textId="77777777" w:rsidR="00513834" w:rsidRPr="00513834" w:rsidRDefault="00513834" w:rsidP="00513834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13834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pict w14:anchorId="1CC5897B">
          <v:rect id="_x0000_i1026" style="width:0;height:1.5pt" o:hralign="center" o:hrstd="t" o:hrnoshade="t" o:hr="t" fillcolor="gray" stroked="f"/>
        </w:pict>
      </w:r>
    </w:p>
    <w:p w14:paraId="20344C89" w14:textId="77777777" w:rsidR="00513834" w:rsidRPr="00513834" w:rsidRDefault="00513834" w:rsidP="0051383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</w:pPr>
      <w:r w:rsidRPr="00513834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eastAsia="en-IN" w:bidi="te-IN"/>
        </w:rPr>
        <w:t>3. Strategic Action Plan &amp; Methodologies</w:t>
      </w:r>
    </w:p>
    <w:p w14:paraId="1168DED1" w14:textId="77777777" w:rsidR="00513834" w:rsidRPr="00513834" w:rsidRDefault="00513834" w:rsidP="00513834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 w:bidi="te-IN"/>
        </w:rPr>
      </w:pPr>
      <w:r w:rsidRPr="0051383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I. Communication &amp; Shared Identity</w:t>
      </w:r>
    </w:p>
    <w:p w14:paraId="7F38B07E" w14:textId="77777777" w:rsidR="00513834" w:rsidRPr="00513834" w:rsidRDefault="00513834" w:rsidP="0051383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1383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Methodology:</w:t>
      </w:r>
      <w:r w:rsidRPr="00513834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Implementation of a </w:t>
      </w:r>
      <w:r w:rsidRPr="0051383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proprietary routing channel</w:t>
      </w:r>
      <w:r w:rsidRPr="00513834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using frameworks like </w:t>
      </w:r>
      <w:proofErr w:type="spellStart"/>
      <w:r w:rsidRPr="0051383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OpenClaw</w:t>
      </w:r>
      <w:proofErr w:type="spellEnd"/>
      <w:r w:rsidRPr="00513834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.</w:t>
      </w:r>
    </w:p>
    <w:p w14:paraId="3CD7D74C" w14:textId="77777777" w:rsidR="00513834" w:rsidRPr="00513834" w:rsidRDefault="00513834" w:rsidP="0051383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1383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Business Goal:</w:t>
      </w:r>
      <w:r w:rsidRPr="00513834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Creating a "Shared Identity" where the patient perceives a single professional entity, regardless of whether a human clinician or the AI twin is responding.</w:t>
      </w:r>
    </w:p>
    <w:p w14:paraId="3F6B4C76" w14:textId="77777777" w:rsidR="00513834" w:rsidRPr="00513834" w:rsidRDefault="00513834" w:rsidP="00513834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 w:bidi="te-IN"/>
        </w:rPr>
      </w:pPr>
      <w:r w:rsidRPr="0051383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II. Logic &amp; Expert Handover</w:t>
      </w:r>
    </w:p>
    <w:p w14:paraId="12611A25" w14:textId="77777777" w:rsidR="00513834" w:rsidRPr="00513834" w:rsidRDefault="00513834" w:rsidP="0051383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1383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Methodology:</w:t>
      </w:r>
      <w:r w:rsidRPr="00513834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Deployment of a deterministic </w:t>
      </w:r>
      <w:r w:rsidRPr="0051383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Intent Classifier</w:t>
      </w:r>
      <w:r w:rsidRPr="00513834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with integrated "Human Takeover" flags.</w:t>
      </w:r>
    </w:p>
    <w:p w14:paraId="3234B7A9" w14:textId="77777777" w:rsidR="00513834" w:rsidRPr="00513834" w:rsidRDefault="00513834" w:rsidP="0051383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1383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Business Goal:</w:t>
      </w:r>
      <w:r w:rsidRPr="00513834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Real-time triage that pauses the AI twin during high-risk scenarios and provides a structured "conversation recap" to the clinician for seamless takeover.</w:t>
      </w:r>
    </w:p>
    <w:p w14:paraId="2B76AD68" w14:textId="77777777" w:rsidR="00513834" w:rsidRPr="00513834" w:rsidRDefault="00513834" w:rsidP="00513834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 w:bidi="te-IN"/>
        </w:rPr>
      </w:pPr>
      <w:r w:rsidRPr="0051383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III. Identity &amp; State Management</w:t>
      </w:r>
    </w:p>
    <w:p w14:paraId="02E72E8D" w14:textId="77777777" w:rsidR="00513834" w:rsidRPr="00513834" w:rsidRDefault="00513834" w:rsidP="00513834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1383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Methodology:</w:t>
      </w:r>
      <w:r w:rsidRPr="00513834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Managing unregistered patient data via </w:t>
      </w:r>
      <w:r w:rsidRPr="0051383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Dummy User Profiles</w:t>
      </w:r>
      <w:r w:rsidRPr="00513834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and phone-number-based metadata extraction.</w:t>
      </w:r>
    </w:p>
    <w:p w14:paraId="79F17A70" w14:textId="77777777" w:rsidR="00513834" w:rsidRPr="00513834" w:rsidRDefault="00513834" w:rsidP="00513834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1383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Business Goal:</w:t>
      </w:r>
      <w:r w:rsidRPr="00513834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Maintaining consistent session identity and patient health profiles as they move between automated triage and human care.</w:t>
      </w:r>
    </w:p>
    <w:p w14:paraId="3FF302C4" w14:textId="77777777" w:rsidR="00513834" w:rsidRPr="00513834" w:rsidRDefault="00513834" w:rsidP="00513834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13834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pict w14:anchorId="6137F9AA">
          <v:rect id="_x0000_i1027" style="width:0;height:1.5pt" o:hralign="center" o:hrstd="t" o:hrnoshade="t" o:hr="t" fillcolor="gray" stroked="f"/>
        </w:pict>
      </w:r>
    </w:p>
    <w:p w14:paraId="68BDEF25" w14:textId="77777777" w:rsidR="00513834" w:rsidRPr="00513834" w:rsidRDefault="00513834" w:rsidP="0051383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</w:pPr>
      <w:r w:rsidRPr="00513834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eastAsia="en-IN" w:bidi="te-IN"/>
        </w:rPr>
        <w:t>4. Technical Infrastructure Overview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3"/>
        <w:gridCol w:w="2384"/>
        <w:gridCol w:w="4733"/>
      </w:tblGrid>
      <w:tr w:rsidR="00513834" w:rsidRPr="00513834" w14:paraId="2665687E" w14:textId="77777777" w:rsidTr="0051383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8C4564" w14:textId="77777777" w:rsidR="00513834" w:rsidRPr="00513834" w:rsidRDefault="00513834" w:rsidP="0051383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51383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4EFD31" w14:textId="77777777" w:rsidR="00513834" w:rsidRPr="00513834" w:rsidRDefault="00513834" w:rsidP="0051383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51383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Strategic Tooling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544845" w14:textId="77777777" w:rsidR="00513834" w:rsidRPr="00513834" w:rsidRDefault="00513834" w:rsidP="0051383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51383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Business Value</w:t>
            </w:r>
          </w:p>
        </w:tc>
      </w:tr>
      <w:tr w:rsidR="00513834" w:rsidRPr="00513834" w14:paraId="76D2890E" w14:textId="77777777" w:rsidTr="005138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667321" w14:textId="77777777" w:rsidR="00513834" w:rsidRPr="00513834" w:rsidRDefault="00513834" w:rsidP="0051383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51383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Backend &amp;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5B8C29" w14:textId="77777777" w:rsidR="00513834" w:rsidRPr="00513834" w:rsidRDefault="00513834" w:rsidP="0051383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proofErr w:type="spellStart"/>
            <w:r w:rsidRPr="0051383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Supabase</w:t>
            </w:r>
            <w:proofErr w:type="spellEnd"/>
            <w:r w:rsidRPr="0051383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 xml:space="preserve"> &amp; 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1CCC34" w14:textId="77777777" w:rsidR="00513834" w:rsidRPr="00513834" w:rsidRDefault="00513834" w:rsidP="0051383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51383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Ensures long-term "memory" and persona consistency.</w:t>
            </w:r>
          </w:p>
        </w:tc>
      </w:tr>
      <w:tr w:rsidR="00513834" w:rsidRPr="00513834" w14:paraId="1C443B18" w14:textId="77777777" w:rsidTr="005138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E0D7B3" w14:textId="77777777" w:rsidR="00513834" w:rsidRPr="00513834" w:rsidRDefault="00513834" w:rsidP="0051383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51383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lastRenderedPageBreak/>
              <w:t>AI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BF9A03" w14:textId="77777777" w:rsidR="00513834" w:rsidRPr="00513834" w:rsidRDefault="00513834" w:rsidP="0051383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51383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Logic Vaults &amp; HRAG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843077" w14:textId="77777777" w:rsidR="00513834" w:rsidRPr="00513834" w:rsidRDefault="00513834" w:rsidP="0051383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51383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Provides medical accuracy through verified expert ingestion.</w:t>
            </w:r>
          </w:p>
        </w:tc>
      </w:tr>
      <w:tr w:rsidR="00513834" w:rsidRPr="00513834" w14:paraId="66AC99EF" w14:textId="77777777" w:rsidTr="005138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9BD6D9" w14:textId="77777777" w:rsidR="00513834" w:rsidRPr="00513834" w:rsidRDefault="00513834" w:rsidP="0051383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51383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User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8DEF1D" w14:textId="77777777" w:rsidR="00513834" w:rsidRPr="00513834" w:rsidRDefault="00513834" w:rsidP="0051383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51383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Standalone Expert Portal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1B12C9" w14:textId="77777777" w:rsidR="00513834" w:rsidRPr="00513834" w:rsidRDefault="00513834" w:rsidP="0051383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51383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Decouples clinical logic from administrative overhead.</w:t>
            </w:r>
          </w:p>
        </w:tc>
      </w:tr>
      <w:tr w:rsidR="00513834" w:rsidRPr="00513834" w14:paraId="3ED4C5F5" w14:textId="77777777" w:rsidTr="0051383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9A5BC4" w14:textId="77777777" w:rsidR="00513834" w:rsidRPr="00513834" w:rsidRDefault="00513834" w:rsidP="0051383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51383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BF1DEE" w14:textId="77777777" w:rsidR="00513834" w:rsidRPr="00513834" w:rsidRDefault="00513834" w:rsidP="0051383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proofErr w:type="spellStart"/>
            <w:r w:rsidRPr="0051383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OpenClaw</w:t>
            </w:r>
            <w:proofErr w:type="spellEnd"/>
            <w:r w:rsidRPr="0051383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 xml:space="preserve"> (Baileys-based)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EC2859" w14:textId="77777777" w:rsidR="00513834" w:rsidRPr="00513834" w:rsidRDefault="00513834" w:rsidP="00513834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51383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 xml:space="preserve">Mimics human </w:t>
            </w:r>
            <w:proofErr w:type="spellStart"/>
            <w:r w:rsidRPr="0051383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behavior</w:t>
            </w:r>
            <w:proofErr w:type="spellEnd"/>
            <w:r w:rsidRPr="0051383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 xml:space="preserve"> to avoid platform bans and manage shared existence.</w:t>
            </w:r>
          </w:p>
        </w:tc>
      </w:tr>
    </w:tbl>
    <w:p w14:paraId="03BB29DD" w14:textId="77777777" w:rsidR="00513834" w:rsidRPr="00513834" w:rsidRDefault="00513834" w:rsidP="00513834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13834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pict w14:anchorId="3B71E1A0">
          <v:rect id="_x0000_i1028" style="width:0;height:1.5pt" o:hralign="center" o:hrstd="t" o:hrnoshade="t" o:hr="t" fillcolor="gray" stroked="f"/>
        </w:pict>
      </w:r>
    </w:p>
    <w:p w14:paraId="3E41BF4E" w14:textId="77777777" w:rsidR="00513834" w:rsidRPr="00513834" w:rsidRDefault="00513834" w:rsidP="0051383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</w:pPr>
      <w:r w:rsidRPr="00513834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eastAsia="en-IN" w:bidi="te-IN"/>
        </w:rPr>
        <w:t>5. Future Growth &amp; Scalability</w:t>
      </w:r>
    </w:p>
    <w:p w14:paraId="7B54D9C4" w14:textId="77777777" w:rsidR="00513834" w:rsidRPr="00513834" w:rsidRDefault="00513834" w:rsidP="00513834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1383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Predictive Diagnostics:</w:t>
      </w:r>
      <w:r w:rsidRPr="00513834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Leveraging the Digital Twin's persistent memory to simulate patient responses to different treatment strategies.</w:t>
      </w:r>
    </w:p>
    <w:p w14:paraId="01332A85" w14:textId="77777777" w:rsidR="00513834" w:rsidRPr="00513834" w:rsidRDefault="00513834" w:rsidP="00513834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1383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Proactive Care:</w:t>
      </w:r>
      <w:r w:rsidRPr="00513834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Moving from reactive chat to proactive "heartbeat" monitoring, where the twin initiates check-ins based on historical health data.</w:t>
      </w:r>
    </w:p>
    <w:p w14:paraId="22F2DC9A" w14:textId="77777777" w:rsidR="00513834" w:rsidRPr="00513834" w:rsidRDefault="00513834" w:rsidP="00513834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1383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Operational Efficiency:</w:t>
      </w:r>
      <w:r w:rsidRPr="00513834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Automating repetitive administrative workflows and data analysis, allowing healthcare providers to focus on high-value patient care.</w:t>
      </w:r>
    </w:p>
    <w:p w14:paraId="72DC1171" w14:textId="77777777" w:rsidR="00325C5E" w:rsidRDefault="00325C5E"/>
    <w:sectPr w:rsidR="00325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744C8"/>
    <w:multiLevelType w:val="multilevel"/>
    <w:tmpl w:val="FD90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54F6E"/>
    <w:multiLevelType w:val="multilevel"/>
    <w:tmpl w:val="E130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87B76"/>
    <w:multiLevelType w:val="multilevel"/>
    <w:tmpl w:val="86107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7F0B5E"/>
    <w:multiLevelType w:val="multilevel"/>
    <w:tmpl w:val="89A8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7579B"/>
    <w:multiLevelType w:val="multilevel"/>
    <w:tmpl w:val="614C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83A6C"/>
    <w:multiLevelType w:val="multilevel"/>
    <w:tmpl w:val="0C48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024558">
    <w:abstractNumId w:val="0"/>
  </w:num>
  <w:num w:numId="2" w16cid:durableId="1248616076">
    <w:abstractNumId w:val="4"/>
  </w:num>
  <w:num w:numId="3" w16cid:durableId="2034185366">
    <w:abstractNumId w:val="3"/>
  </w:num>
  <w:num w:numId="4" w16cid:durableId="348994079">
    <w:abstractNumId w:val="1"/>
  </w:num>
  <w:num w:numId="5" w16cid:durableId="1741906740">
    <w:abstractNumId w:val="5"/>
  </w:num>
  <w:num w:numId="6" w16cid:durableId="519319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834"/>
    <w:rsid w:val="00325C5E"/>
    <w:rsid w:val="0051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990D4"/>
  <w15:chartTrackingRefBased/>
  <w15:docId w15:val="{92125547-3874-44A6-AF94-5BF7BBA28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138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paragraph" w:styleId="Heading3">
    <w:name w:val="heading 3"/>
    <w:basedOn w:val="Normal"/>
    <w:link w:val="Heading3Char"/>
    <w:uiPriority w:val="9"/>
    <w:qFormat/>
    <w:rsid w:val="005138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paragraph" w:styleId="Heading4">
    <w:name w:val="heading 4"/>
    <w:basedOn w:val="Normal"/>
    <w:link w:val="Heading4Char"/>
    <w:uiPriority w:val="9"/>
    <w:qFormat/>
    <w:rsid w:val="0051383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3834"/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513834"/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character" w:customStyle="1" w:styleId="Heading4Char">
    <w:name w:val="Heading 4 Char"/>
    <w:basedOn w:val="DefaultParagraphFont"/>
    <w:link w:val="Heading4"/>
    <w:uiPriority w:val="9"/>
    <w:rsid w:val="00513834"/>
    <w:rPr>
      <w:rFonts w:ascii="Times New Roman" w:eastAsia="Times New Roman" w:hAnsi="Times New Roman" w:cs="Times New Roman"/>
      <w:b/>
      <w:bCs/>
      <w:sz w:val="24"/>
      <w:szCs w:val="24"/>
      <w:lang w:eastAsia="en-IN" w:bidi="te-IN"/>
    </w:rPr>
  </w:style>
  <w:style w:type="paragraph" w:styleId="NormalWeb">
    <w:name w:val="Normal (Web)"/>
    <w:basedOn w:val="Normal"/>
    <w:uiPriority w:val="99"/>
    <w:semiHidden/>
    <w:unhideWhenUsed/>
    <w:rsid w:val="00513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styleId="Strong">
    <w:name w:val="Strong"/>
    <w:basedOn w:val="DefaultParagraphFont"/>
    <w:uiPriority w:val="22"/>
    <w:qFormat/>
    <w:rsid w:val="005138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3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427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CM-047</dc:creator>
  <cp:keywords/>
  <dc:description/>
  <cp:lastModifiedBy>Harini CM-047</cp:lastModifiedBy>
  <cp:revision>1</cp:revision>
  <dcterms:created xsi:type="dcterms:W3CDTF">2026-04-16T12:11:00Z</dcterms:created>
  <dcterms:modified xsi:type="dcterms:W3CDTF">2026-04-16T12:12:00Z</dcterms:modified>
</cp:coreProperties>
</file>