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C5A57" w14:textId="757FCB1F" w:rsidR="000606C7" w:rsidRPr="005D0457" w:rsidRDefault="000606C7" w:rsidP="004D3FEA">
      <w:pPr>
        <w:pStyle w:val="Heading1"/>
        <w:spacing w:before="16" w:after="16" w:line="360" w:lineRule="auto"/>
        <w:ind w:left="25" w:right="20"/>
      </w:pPr>
      <w:r>
        <w:t>CHAPTER</w:t>
      </w:r>
      <w:r>
        <w:rPr>
          <w:spacing w:val="-18"/>
        </w:rPr>
        <w:t xml:space="preserve"> </w:t>
      </w:r>
      <w:r w:rsidR="008209B7">
        <w:t>2</w:t>
      </w:r>
    </w:p>
    <w:p w14:paraId="0D72A9D4" w14:textId="5C4472A3" w:rsidR="000606C7" w:rsidRPr="00781DE8" w:rsidRDefault="00B57BB3" w:rsidP="000606C7">
      <w:pPr>
        <w:pStyle w:val="Heading2"/>
        <w:spacing w:before="16" w:after="16" w:line="360" w:lineRule="auto"/>
        <w:ind w:left="709" w:right="567"/>
        <w:rPr>
          <w:sz w:val="16"/>
          <w:szCs w:val="16"/>
        </w:rPr>
      </w:pPr>
      <w:r>
        <w:t xml:space="preserve">ABOUT THE </w:t>
      </w:r>
      <w:r w:rsidR="008209B7">
        <w:t>DEPARTMENT</w:t>
      </w:r>
      <w:r w:rsidR="00357D90">
        <w:br/>
      </w:r>
    </w:p>
    <w:p w14:paraId="75AAFA78" w14:textId="32392229" w:rsidR="00357D90" w:rsidRPr="00357D90" w:rsidRDefault="008209B7" w:rsidP="00393F39">
      <w:pPr>
        <w:pStyle w:val="Heading2"/>
        <w:spacing w:before="0"/>
        <w:ind w:left="23" w:right="23"/>
        <w:jc w:val="left"/>
      </w:pPr>
      <w:r>
        <w:rPr>
          <w:sz w:val="28"/>
          <w:szCs w:val="28"/>
        </w:rPr>
        <w:t>2</w:t>
      </w:r>
      <w:r w:rsidR="00357D90" w:rsidRPr="00393F39">
        <w:rPr>
          <w:sz w:val="28"/>
          <w:szCs w:val="28"/>
        </w:rPr>
        <w:t>.1 Introduction</w:t>
      </w:r>
      <w:r w:rsidR="00357D90">
        <w:br/>
      </w:r>
    </w:p>
    <w:p w14:paraId="1907049E" w14:textId="34BA3C3F" w:rsidR="00357D90" w:rsidRDefault="008209B7" w:rsidP="008209B7">
      <w:pPr>
        <w:pStyle w:val="BodyText"/>
        <w:spacing w:after="100" w:afterAutospacing="1" w:line="360" w:lineRule="auto"/>
        <w:ind w:left="23" w:right="23" w:hanging="25"/>
        <w:jc w:val="both"/>
        <w:rPr>
          <w:noProof/>
        </w:rPr>
      </w:pPr>
      <w:r>
        <w:rPr>
          <w:noProof/>
        </w:rPr>
        <w:tab/>
      </w:r>
      <w:r>
        <w:rPr>
          <w:noProof/>
        </w:rPr>
        <w:tab/>
      </w:r>
      <w:r w:rsidRPr="008209B7">
        <w:rPr>
          <w:noProof/>
        </w:rPr>
        <w:t>Enterprise Platform Services (EPS) is a key division within Cognizant Technology Solutions, responsible for delivering large-scale enterprise transformation initiatives through the implementation and optimization of best-in-class platform solutions. This department plays a critical role in helping organizations reimagine business processes, reduce operational complexity, and accelerate innovation using digital platforms.</w:t>
      </w:r>
    </w:p>
    <w:p w14:paraId="550AF722" w14:textId="7962D556" w:rsidR="00357D90" w:rsidRDefault="008209B7" w:rsidP="00D2776B">
      <w:pPr>
        <w:pStyle w:val="Heading2"/>
        <w:spacing w:before="0"/>
        <w:ind w:left="23" w:right="23"/>
        <w:jc w:val="left"/>
      </w:pPr>
      <w:r>
        <w:rPr>
          <w:sz w:val="28"/>
          <w:szCs w:val="28"/>
        </w:rPr>
        <w:t>2</w:t>
      </w:r>
      <w:r w:rsidR="00357D90" w:rsidRPr="00357D90">
        <w:rPr>
          <w:sz w:val="28"/>
          <w:szCs w:val="28"/>
        </w:rPr>
        <w:t xml:space="preserve">.2 </w:t>
      </w:r>
      <w:r>
        <w:rPr>
          <w:sz w:val="28"/>
          <w:szCs w:val="28"/>
        </w:rPr>
        <w:t>Vision &amp; Mission</w:t>
      </w:r>
    </w:p>
    <w:p w14:paraId="005E5C47" w14:textId="7078166A" w:rsidR="00357D90" w:rsidRDefault="008209B7" w:rsidP="00BD6DA8">
      <w:pPr>
        <w:pStyle w:val="BodyText"/>
        <w:spacing w:before="100" w:beforeAutospacing="1" w:line="360" w:lineRule="auto"/>
        <w:ind w:left="23" w:right="23" w:firstLine="619"/>
        <w:jc w:val="both"/>
      </w:pPr>
      <w:r w:rsidRPr="008209B7">
        <w:t xml:space="preserve">The vision of EPS is to enable clients to become intelligent, agile, and resilient enterprises by integrating core business functions through powerful technology platforms. The mission is to provide tailored, outcome-based platform services that align with strategic goals and deliver tangible business </w:t>
      </w:r>
      <w:r w:rsidR="00D2776B" w:rsidRPr="008209B7">
        <w:t>value.</w:t>
      </w:r>
      <w:r w:rsidR="00357D90">
        <w:t xml:space="preserve"> </w:t>
      </w:r>
    </w:p>
    <w:p w14:paraId="14523EAB" w14:textId="08FF0F02" w:rsidR="00357D90" w:rsidRPr="00357D90" w:rsidRDefault="00EA78D5" w:rsidP="00BD6DA8">
      <w:pPr>
        <w:pStyle w:val="Heading2"/>
        <w:spacing w:line="360" w:lineRule="auto"/>
        <w:ind w:left="23" w:right="23" w:hanging="23"/>
        <w:jc w:val="both"/>
        <w:rPr>
          <w:sz w:val="28"/>
          <w:szCs w:val="28"/>
        </w:rPr>
      </w:pPr>
      <w:r>
        <w:rPr>
          <w:sz w:val="28"/>
          <w:szCs w:val="28"/>
        </w:rPr>
        <w:t>2</w:t>
      </w:r>
      <w:r w:rsidRPr="00357D90">
        <w:rPr>
          <w:sz w:val="28"/>
          <w:szCs w:val="28"/>
        </w:rPr>
        <w:t xml:space="preserve">.3 </w:t>
      </w:r>
      <w:r w:rsidRPr="00EA78D5">
        <w:rPr>
          <w:sz w:val="28"/>
          <w:szCs w:val="28"/>
        </w:rPr>
        <w:t>Core Service Offerings</w:t>
      </w:r>
    </w:p>
    <w:p w14:paraId="2C6DC85B" w14:textId="77777777" w:rsidR="00EA78D5" w:rsidRDefault="00EA78D5" w:rsidP="00BD6DA8">
      <w:pPr>
        <w:pStyle w:val="BodyText"/>
        <w:spacing w:line="360" w:lineRule="auto"/>
        <w:ind w:left="23" w:right="29" w:firstLine="619"/>
        <w:jc w:val="both"/>
      </w:pPr>
      <w:r>
        <w:t>EPS delivers value through several targeted service areas:</w:t>
      </w:r>
    </w:p>
    <w:p w14:paraId="7D3B6615" w14:textId="334832D9" w:rsidR="00EA78D5" w:rsidRDefault="00EA78D5" w:rsidP="00BD6DA8">
      <w:pPr>
        <w:pStyle w:val="BodyText"/>
        <w:numPr>
          <w:ilvl w:val="0"/>
          <w:numId w:val="4"/>
        </w:numPr>
        <w:spacing w:line="360" w:lineRule="auto"/>
        <w:ind w:left="284" w:right="29" w:firstLine="0"/>
        <w:jc w:val="both"/>
      </w:pPr>
      <w:r w:rsidRPr="00EA78D5">
        <w:rPr>
          <w:b/>
          <w:bCs/>
        </w:rPr>
        <w:t>Digital Process Orchestration</w:t>
      </w:r>
      <w:r>
        <w:t xml:space="preserve">: Facilitates automation and integration of workflows </w:t>
      </w:r>
      <w:r>
        <w:tab/>
        <w:t>using AI and machine learning, improving process agility and reducing costs.</w:t>
      </w:r>
    </w:p>
    <w:p w14:paraId="5A90C041" w14:textId="52F5F514" w:rsidR="00EA78D5" w:rsidRDefault="00EA78D5" w:rsidP="00EA78D5">
      <w:pPr>
        <w:pStyle w:val="BodyText"/>
        <w:numPr>
          <w:ilvl w:val="0"/>
          <w:numId w:val="4"/>
        </w:numPr>
        <w:spacing w:before="100" w:beforeAutospacing="1" w:line="360" w:lineRule="auto"/>
        <w:ind w:left="284" w:right="23" w:firstLine="0"/>
        <w:jc w:val="both"/>
      </w:pPr>
      <w:r w:rsidRPr="00EA78D5">
        <w:rPr>
          <w:b/>
          <w:bCs/>
        </w:rPr>
        <w:t xml:space="preserve">Human Capital Management (HCM): </w:t>
      </w:r>
      <w:r>
        <w:t xml:space="preserve">Drives end-to-end HR digital transformation </w:t>
      </w:r>
      <w:r>
        <w:tab/>
        <w:t xml:space="preserve">using platforms like Workday and Oracle HCM Cloud, enhancing workforce </w:t>
      </w:r>
      <w:r>
        <w:tab/>
        <w:t>experiences.</w:t>
      </w:r>
    </w:p>
    <w:p w14:paraId="4BFCCE34" w14:textId="6FD24B0F" w:rsidR="00EA78D5" w:rsidRDefault="00EA78D5" w:rsidP="00EA78D5">
      <w:pPr>
        <w:pStyle w:val="BodyText"/>
        <w:numPr>
          <w:ilvl w:val="0"/>
          <w:numId w:val="4"/>
        </w:numPr>
        <w:spacing w:before="100" w:beforeAutospacing="1" w:line="360" w:lineRule="auto"/>
        <w:ind w:left="284" w:right="23" w:firstLine="0"/>
        <w:jc w:val="both"/>
      </w:pPr>
      <w:r w:rsidRPr="00EA78D5">
        <w:rPr>
          <w:b/>
          <w:bCs/>
        </w:rPr>
        <w:t>Finance/ERP/EPM Services:</w:t>
      </w:r>
      <w:r>
        <w:rPr>
          <w:b/>
          <w:bCs/>
        </w:rPr>
        <w:t xml:space="preserve"> </w:t>
      </w:r>
      <w:r>
        <w:t xml:space="preserve">Offers financial and operational excellence by </w:t>
      </w:r>
      <w:r>
        <w:tab/>
        <w:t>transforming ERP landscapes using SAP, Oracle, and other leading enterprise tools.</w:t>
      </w:r>
    </w:p>
    <w:p w14:paraId="2A1E4B77" w14:textId="37C1DF8D" w:rsidR="00EA78D5" w:rsidRPr="00BD6DA8" w:rsidRDefault="00EA78D5" w:rsidP="00BD6DA8">
      <w:pPr>
        <w:pStyle w:val="BodyText"/>
        <w:numPr>
          <w:ilvl w:val="0"/>
          <w:numId w:val="4"/>
        </w:numPr>
        <w:spacing w:line="360" w:lineRule="auto"/>
        <w:ind w:left="288" w:right="29" w:firstLine="0"/>
        <w:jc w:val="both"/>
        <w:rPr>
          <w:b/>
          <w:bCs/>
        </w:rPr>
      </w:pPr>
      <w:r w:rsidRPr="00EA78D5">
        <w:rPr>
          <w:b/>
          <w:bCs/>
        </w:rPr>
        <w:t>Digital Supply Chain Transformation</w:t>
      </w:r>
      <w:r>
        <w:rPr>
          <w:b/>
          <w:bCs/>
        </w:rPr>
        <w:t xml:space="preserve">: </w:t>
      </w:r>
      <w:r>
        <w:t xml:space="preserve">Enables supply chain optimization through </w:t>
      </w:r>
      <w:r>
        <w:tab/>
        <w:t xml:space="preserve">smart, connected platforms that enhance </w:t>
      </w:r>
      <w:r>
        <w:tab/>
        <w:t xml:space="preserve">responsiveness and reduce disruption </w:t>
      </w:r>
      <w:r>
        <w:tab/>
        <w:t>risks.</w:t>
      </w:r>
    </w:p>
    <w:p w14:paraId="0DC67EAB" w14:textId="0BFC1538" w:rsidR="00EA78D5" w:rsidRDefault="00EA78D5" w:rsidP="00781229">
      <w:pPr>
        <w:pStyle w:val="BodyText"/>
        <w:numPr>
          <w:ilvl w:val="0"/>
          <w:numId w:val="4"/>
        </w:numPr>
        <w:spacing w:before="100" w:beforeAutospacing="1" w:line="360" w:lineRule="auto"/>
        <w:ind w:left="284" w:right="23" w:firstLine="0"/>
        <w:jc w:val="both"/>
      </w:pPr>
      <w:r w:rsidRPr="00EA78D5">
        <w:rPr>
          <w:b/>
          <w:bCs/>
        </w:rPr>
        <w:t xml:space="preserve">Enterprise AI: </w:t>
      </w:r>
      <w:r>
        <w:t xml:space="preserve">Embeds AI solutions across platforms to drive predictive analytics and </w:t>
      </w:r>
      <w:r>
        <w:tab/>
        <w:t>business intelligence.</w:t>
      </w:r>
    </w:p>
    <w:p w14:paraId="323AD028" w14:textId="393D4293" w:rsidR="00357D90" w:rsidRDefault="00EA78D5" w:rsidP="00497851">
      <w:pPr>
        <w:pStyle w:val="BodyText"/>
        <w:numPr>
          <w:ilvl w:val="0"/>
          <w:numId w:val="4"/>
        </w:numPr>
        <w:spacing w:before="100" w:beforeAutospacing="1" w:line="360" w:lineRule="auto"/>
        <w:ind w:left="284" w:right="23" w:firstLine="0"/>
        <w:jc w:val="both"/>
      </w:pPr>
      <w:r w:rsidRPr="00EA78D5">
        <w:rPr>
          <w:b/>
          <w:bCs/>
        </w:rPr>
        <w:t>Enterprise Platform Integration:</w:t>
      </w:r>
      <w:r>
        <w:rPr>
          <w:b/>
          <w:bCs/>
        </w:rPr>
        <w:t xml:space="preserve"> </w:t>
      </w:r>
      <w:r>
        <w:t xml:space="preserve">Designs integration architectures using APIs, </w:t>
      </w:r>
      <w:r>
        <w:tab/>
        <w:t xml:space="preserve">ensuring smooth data flow between legacy systems and modern </w:t>
      </w:r>
      <w:r w:rsidR="00AB483A">
        <w:t>applications.</w:t>
      </w:r>
      <w:r w:rsidR="00357D90">
        <w:t xml:space="preserve"> </w:t>
      </w:r>
    </w:p>
    <w:p w14:paraId="4B3EC5D3" w14:textId="77777777" w:rsidR="00357D90" w:rsidRDefault="00357D90" w:rsidP="00393F39">
      <w:pPr>
        <w:pStyle w:val="BodyText"/>
        <w:spacing w:before="16" w:after="16" w:line="360" w:lineRule="auto"/>
        <w:ind w:left="23" w:right="23" w:firstLine="619"/>
        <w:jc w:val="both"/>
      </w:pPr>
    </w:p>
    <w:p w14:paraId="46F6D057" w14:textId="6EB1DE99" w:rsidR="00EA78D5" w:rsidRPr="00BD6DA8" w:rsidRDefault="00EA78D5" w:rsidP="00BD6DA8">
      <w:pPr>
        <w:pStyle w:val="Heading2"/>
        <w:spacing w:line="360" w:lineRule="auto"/>
        <w:ind w:left="23" w:right="23"/>
        <w:jc w:val="left"/>
        <w:rPr>
          <w:sz w:val="28"/>
          <w:szCs w:val="28"/>
        </w:rPr>
      </w:pPr>
      <w:r>
        <w:rPr>
          <w:sz w:val="28"/>
          <w:szCs w:val="28"/>
        </w:rPr>
        <w:t>2</w:t>
      </w:r>
      <w:r w:rsidR="00357D90" w:rsidRPr="00EA78D5">
        <w:rPr>
          <w:sz w:val="28"/>
          <w:szCs w:val="28"/>
        </w:rPr>
        <w:t xml:space="preserve">.4 </w:t>
      </w:r>
      <w:r w:rsidRPr="00EA78D5">
        <w:rPr>
          <w:sz w:val="28"/>
          <w:szCs w:val="28"/>
        </w:rPr>
        <w:t>Subdomains within EPS</w:t>
      </w:r>
      <w:r w:rsidR="002F4685">
        <w:br/>
      </w:r>
      <w:r w:rsidR="002F4685">
        <w:tab/>
      </w:r>
      <w:r w:rsidRPr="00BD6DA8">
        <w:rPr>
          <w:b w:val="0"/>
          <w:sz w:val="24"/>
        </w:rPr>
        <w:t>EPS houses several specialized subdomains based on technology stacks and platform vendors. Some of the major subdomains include:</w:t>
      </w:r>
    </w:p>
    <w:p w14:paraId="68AAE3F1" w14:textId="78A37505" w:rsidR="00EA78D5" w:rsidRDefault="00EA78D5" w:rsidP="00EA78D5">
      <w:pPr>
        <w:pStyle w:val="BodyText"/>
        <w:numPr>
          <w:ilvl w:val="0"/>
          <w:numId w:val="5"/>
        </w:numPr>
        <w:spacing w:before="16" w:after="16" w:line="360" w:lineRule="auto"/>
        <w:ind w:left="284" w:right="23" w:firstLine="0"/>
        <w:jc w:val="both"/>
      </w:pPr>
      <w:r>
        <w:t>SAP Services</w:t>
      </w:r>
    </w:p>
    <w:p w14:paraId="76249A8E" w14:textId="31CD34CE" w:rsidR="00EA78D5" w:rsidRDefault="00EA78D5" w:rsidP="00EA78D5">
      <w:pPr>
        <w:pStyle w:val="BodyText"/>
        <w:numPr>
          <w:ilvl w:val="0"/>
          <w:numId w:val="5"/>
        </w:numPr>
        <w:spacing w:before="16" w:after="16" w:line="360" w:lineRule="auto"/>
        <w:ind w:left="284" w:right="23" w:firstLine="0"/>
        <w:jc w:val="both"/>
      </w:pPr>
      <w:r>
        <w:t>Oracle Services</w:t>
      </w:r>
    </w:p>
    <w:p w14:paraId="3C72424D" w14:textId="286FA392" w:rsidR="00EA78D5" w:rsidRDefault="00EA78D5" w:rsidP="00EA78D5">
      <w:pPr>
        <w:pStyle w:val="BodyText"/>
        <w:numPr>
          <w:ilvl w:val="0"/>
          <w:numId w:val="5"/>
        </w:numPr>
        <w:spacing w:before="16" w:after="16" w:line="360" w:lineRule="auto"/>
        <w:ind w:left="284" w:right="23" w:firstLine="0"/>
        <w:jc w:val="both"/>
      </w:pPr>
      <w:r>
        <w:t>Salesforce Services</w:t>
      </w:r>
    </w:p>
    <w:p w14:paraId="203545B8" w14:textId="5DE2DE9F" w:rsidR="00EA78D5" w:rsidRDefault="00EA78D5" w:rsidP="00EA78D5">
      <w:pPr>
        <w:pStyle w:val="BodyText"/>
        <w:numPr>
          <w:ilvl w:val="0"/>
          <w:numId w:val="5"/>
        </w:numPr>
        <w:spacing w:before="16" w:after="16" w:line="360" w:lineRule="auto"/>
        <w:ind w:left="284" w:right="23" w:firstLine="0"/>
        <w:jc w:val="both"/>
      </w:pPr>
      <w:r>
        <w:t>Workday Services</w:t>
      </w:r>
    </w:p>
    <w:p w14:paraId="0F18D17A" w14:textId="638357A5" w:rsidR="00EA78D5" w:rsidRDefault="00EA78D5" w:rsidP="00EA78D5">
      <w:pPr>
        <w:pStyle w:val="BodyText"/>
        <w:numPr>
          <w:ilvl w:val="0"/>
          <w:numId w:val="5"/>
        </w:numPr>
        <w:spacing w:before="16" w:after="16" w:line="360" w:lineRule="auto"/>
        <w:ind w:left="284" w:right="23" w:firstLine="0"/>
        <w:jc w:val="both"/>
      </w:pPr>
      <w:r>
        <w:t>Pega Platform Services</w:t>
      </w:r>
    </w:p>
    <w:p w14:paraId="2BFE9A32" w14:textId="40C645A2" w:rsidR="00EA78D5" w:rsidRDefault="00EA78D5" w:rsidP="00EA78D5">
      <w:pPr>
        <w:pStyle w:val="BodyText"/>
        <w:numPr>
          <w:ilvl w:val="0"/>
          <w:numId w:val="5"/>
        </w:numPr>
        <w:spacing w:before="16" w:after="16" w:line="360" w:lineRule="auto"/>
        <w:ind w:left="284" w:right="23" w:firstLine="0"/>
        <w:jc w:val="both"/>
      </w:pPr>
      <w:r>
        <w:t>ServiceNow Services</w:t>
      </w:r>
    </w:p>
    <w:p w14:paraId="54208955" w14:textId="77777777" w:rsidR="00EA78D5" w:rsidRDefault="00EA78D5" w:rsidP="00EA78D5">
      <w:pPr>
        <w:pStyle w:val="BodyText"/>
        <w:numPr>
          <w:ilvl w:val="0"/>
          <w:numId w:val="5"/>
        </w:numPr>
        <w:spacing w:before="16" w:after="16" w:line="360" w:lineRule="auto"/>
        <w:ind w:left="284" w:right="23" w:firstLine="0"/>
        <w:jc w:val="both"/>
      </w:pPr>
      <w:r>
        <w:t>Oracle APEX (Application Express)</w:t>
      </w:r>
    </w:p>
    <w:p w14:paraId="129BBB78" w14:textId="5F5257CC" w:rsidR="002F4685" w:rsidRDefault="00357D90" w:rsidP="00BD6DA8">
      <w:pPr>
        <w:pStyle w:val="BodyText"/>
        <w:spacing w:before="16" w:after="16" w:line="360" w:lineRule="auto"/>
        <w:ind w:left="23" w:right="23" w:firstLine="619"/>
        <w:jc w:val="both"/>
      </w:pPr>
      <w:r>
        <w:t xml:space="preserve">These services are delivered across various industry verticals, including banking and financial services, healthcare, manufacturing, retail, and more. </w:t>
      </w:r>
    </w:p>
    <w:p w14:paraId="702CA8AB" w14:textId="74FF08BE" w:rsidR="002F4685" w:rsidRPr="002F4685" w:rsidRDefault="00EA78D5" w:rsidP="00BD6DA8">
      <w:pPr>
        <w:pStyle w:val="Heading2"/>
        <w:spacing w:line="360" w:lineRule="auto"/>
        <w:ind w:left="23" w:right="23"/>
        <w:jc w:val="left"/>
        <w:rPr>
          <w:sz w:val="28"/>
          <w:szCs w:val="28"/>
        </w:rPr>
      </w:pPr>
      <w:r w:rsidRPr="00EA78D5">
        <w:rPr>
          <w:sz w:val="28"/>
          <w:szCs w:val="28"/>
        </w:rPr>
        <w:t>2.5 Focus on Oracle APEX</w:t>
      </w:r>
    </w:p>
    <w:p w14:paraId="0BFAEEE3" w14:textId="212F2806" w:rsidR="00EA78D5" w:rsidRDefault="00EA78D5" w:rsidP="00BD6DA8">
      <w:pPr>
        <w:pStyle w:val="BodyText"/>
        <w:spacing w:before="16" w:after="16" w:line="360" w:lineRule="auto"/>
        <w:ind w:left="23" w:right="23" w:firstLine="619"/>
        <w:jc w:val="both"/>
      </w:pPr>
      <w:r>
        <w:t>Oracle APEX (Application Express) is a key subdomain under the Oracle services umbrella within EPS. It is a low-code development platform that allows rapid design and deployment of secure, scalable web applications using Oracle Database.</w:t>
      </w:r>
    </w:p>
    <w:p w14:paraId="6792FF89" w14:textId="213BCBD6" w:rsidR="00EA78D5" w:rsidRPr="00BD6DA8" w:rsidRDefault="00EA78D5" w:rsidP="00BD6DA8">
      <w:pPr>
        <w:pStyle w:val="BodyText"/>
        <w:numPr>
          <w:ilvl w:val="2"/>
          <w:numId w:val="7"/>
        </w:numPr>
        <w:spacing w:line="360" w:lineRule="auto"/>
        <w:ind w:right="23"/>
        <w:jc w:val="both"/>
        <w:rPr>
          <w:b/>
          <w:bCs/>
        </w:rPr>
      </w:pPr>
      <w:r w:rsidRPr="00EA78D5">
        <w:rPr>
          <w:b/>
          <w:bCs/>
        </w:rPr>
        <w:t>Key Features and Use in Cognizant EPS:</w:t>
      </w:r>
    </w:p>
    <w:p w14:paraId="0BC9F8E8" w14:textId="61B05302" w:rsidR="00AB483A" w:rsidRPr="00BD6DA8" w:rsidRDefault="00EA78D5" w:rsidP="00BD6DA8">
      <w:pPr>
        <w:pStyle w:val="BodyText"/>
        <w:numPr>
          <w:ilvl w:val="0"/>
          <w:numId w:val="6"/>
        </w:numPr>
        <w:spacing w:line="360" w:lineRule="auto"/>
        <w:ind w:left="284" w:right="23" w:firstLine="0"/>
        <w:jc w:val="both"/>
        <w:rPr>
          <w:b/>
          <w:bCs/>
        </w:rPr>
      </w:pPr>
      <w:r w:rsidRPr="00EA78D5">
        <w:rPr>
          <w:b/>
          <w:bCs/>
        </w:rPr>
        <w:t>Rapid Development</w:t>
      </w:r>
      <w:r>
        <w:rPr>
          <w:b/>
          <w:bCs/>
        </w:rPr>
        <w:t xml:space="preserve">: </w:t>
      </w:r>
      <w:r>
        <w:t xml:space="preserve">Oracle APEX enables faster delivery of business applications, </w:t>
      </w:r>
      <w:r>
        <w:tab/>
        <w:t xml:space="preserve">making it ideal for clients who need quick turnaround solutions with minimal coding </w:t>
      </w:r>
      <w:r>
        <w:tab/>
        <w:t>overhead.</w:t>
      </w:r>
    </w:p>
    <w:p w14:paraId="3FC1D1AA" w14:textId="1B333566" w:rsidR="00EA78D5" w:rsidRDefault="00EA78D5" w:rsidP="00EA78D5">
      <w:pPr>
        <w:pStyle w:val="BodyText"/>
        <w:numPr>
          <w:ilvl w:val="0"/>
          <w:numId w:val="6"/>
        </w:numPr>
        <w:spacing w:line="360" w:lineRule="auto"/>
        <w:ind w:left="284" w:right="23" w:firstLine="0"/>
        <w:jc w:val="both"/>
      </w:pPr>
      <w:r w:rsidRPr="00EA78D5">
        <w:rPr>
          <w:b/>
          <w:bCs/>
        </w:rPr>
        <w:t xml:space="preserve">Cost-Effective and Scalable: </w:t>
      </w:r>
      <w:r>
        <w:t xml:space="preserve">It allows teams to build complex applications without </w:t>
      </w:r>
      <w:r>
        <w:tab/>
        <w:t xml:space="preserve">incurring high development costs, making it a strong fit for clients looking to </w:t>
      </w:r>
      <w:r>
        <w:tab/>
        <w:t>modernize legacy systems on a budget.</w:t>
      </w:r>
    </w:p>
    <w:p w14:paraId="573E81C2" w14:textId="64DBB0C8" w:rsidR="00EA78D5" w:rsidRPr="00BD6DA8" w:rsidRDefault="00EA78D5" w:rsidP="00BD6DA8">
      <w:pPr>
        <w:pStyle w:val="BodyText"/>
        <w:numPr>
          <w:ilvl w:val="0"/>
          <w:numId w:val="6"/>
        </w:numPr>
        <w:spacing w:line="360" w:lineRule="auto"/>
        <w:ind w:left="284" w:right="23" w:firstLine="0"/>
        <w:jc w:val="both"/>
        <w:rPr>
          <w:b/>
          <w:bCs/>
        </w:rPr>
      </w:pPr>
      <w:r w:rsidRPr="00EA78D5">
        <w:rPr>
          <w:b/>
          <w:bCs/>
        </w:rPr>
        <w:t>Data-Centric Applications</w:t>
      </w:r>
      <w:r>
        <w:rPr>
          <w:b/>
          <w:bCs/>
        </w:rPr>
        <w:t xml:space="preserve">: </w:t>
      </w:r>
      <w:r>
        <w:t xml:space="preserve">Since APEX is tightly integrated with Oracle Database, </w:t>
      </w:r>
      <w:r>
        <w:tab/>
        <w:t xml:space="preserve">it excels in developing data-intensive applications with advanced reporting, </w:t>
      </w:r>
      <w:r>
        <w:tab/>
        <w:t>dashboards, and analytics.</w:t>
      </w:r>
    </w:p>
    <w:p w14:paraId="1F7EE651" w14:textId="77777777" w:rsidR="00EA78D5" w:rsidRPr="00EA78D5" w:rsidRDefault="00EA78D5" w:rsidP="00EA78D5">
      <w:pPr>
        <w:pStyle w:val="BodyText"/>
        <w:numPr>
          <w:ilvl w:val="0"/>
          <w:numId w:val="6"/>
        </w:numPr>
        <w:spacing w:line="360" w:lineRule="auto"/>
        <w:ind w:left="284" w:right="23" w:firstLine="0"/>
        <w:jc w:val="both"/>
      </w:pPr>
      <w:r w:rsidRPr="00EA78D5">
        <w:rPr>
          <w:b/>
          <w:bCs/>
        </w:rPr>
        <w:t>Use Cases in EPS Projects:</w:t>
      </w:r>
    </w:p>
    <w:p w14:paraId="6B51989A" w14:textId="380E3246" w:rsidR="00EA78D5" w:rsidRDefault="00EA78D5" w:rsidP="00EA78D5">
      <w:pPr>
        <w:pStyle w:val="BodyText"/>
        <w:spacing w:line="360" w:lineRule="auto"/>
        <w:ind w:left="284" w:right="23"/>
        <w:jc w:val="both"/>
      </w:pPr>
      <w:r>
        <w:rPr>
          <w:b/>
          <w:bCs/>
        </w:rPr>
        <w:tab/>
      </w:r>
      <w:r>
        <w:t>Cognizant EPS uses Oracle APEX for:</w:t>
      </w:r>
    </w:p>
    <w:p w14:paraId="36E1C86B" w14:textId="1C64BE96" w:rsidR="00EA78D5" w:rsidRDefault="00EA78D5" w:rsidP="00EA78D5">
      <w:pPr>
        <w:pStyle w:val="BodyText"/>
        <w:numPr>
          <w:ilvl w:val="0"/>
          <w:numId w:val="6"/>
        </w:numPr>
        <w:spacing w:line="360" w:lineRule="auto"/>
        <w:ind w:left="851" w:right="23" w:firstLine="0"/>
        <w:jc w:val="both"/>
      </w:pPr>
      <w:r>
        <w:t>Custom internal tools and client dashboards</w:t>
      </w:r>
    </w:p>
    <w:p w14:paraId="3EC9D229" w14:textId="77777777" w:rsidR="00EA78D5" w:rsidRDefault="00EA78D5" w:rsidP="00EA78D5">
      <w:pPr>
        <w:pStyle w:val="BodyText"/>
        <w:numPr>
          <w:ilvl w:val="0"/>
          <w:numId w:val="6"/>
        </w:numPr>
        <w:spacing w:line="360" w:lineRule="auto"/>
        <w:ind w:left="851" w:right="23" w:firstLine="0"/>
        <w:jc w:val="both"/>
      </w:pPr>
      <w:r>
        <w:t>Legacy application modernization</w:t>
      </w:r>
    </w:p>
    <w:p w14:paraId="3B409D1E" w14:textId="6CDB6713" w:rsidR="00EA78D5" w:rsidRDefault="00EA78D5" w:rsidP="00EA78D5">
      <w:pPr>
        <w:pStyle w:val="BodyText"/>
        <w:numPr>
          <w:ilvl w:val="0"/>
          <w:numId w:val="6"/>
        </w:numPr>
        <w:spacing w:line="360" w:lineRule="auto"/>
        <w:ind w:left="851" w:right="23" w:firstLine="0"/>
        <w:jc w:val="both"/>
      </w:pPr>
      <w:r>
        <w:t>Lightweight modules complementing large ERP systems.</w:t>
      </w:r>
    </w:p>
    <w:p w14:paraId="256CBD22" w14:textId="77777777" w:rsidR="00EA78D5" w:rsidRDefault="00EA78D5" w:rsidP="00EA78D5">
      <w:pPr>
        <w:pStyle w:val="BodyText"/>
        <w:spacing w:line="360" w:lineRule="auto"/>
        <w:ind w:left="284" w:right="23"/>
        <w:jc w:val="both"/>
      </w:pPr>
    </w:p>
    <w:p w14:paraId="7F956649" w14:textId="572B7CE2" w:rsidR="002F4685" w:rsidRPr="00BD6DA8" w:rsidRDefault="00EA78D5" w:rsidP="00BD6DA8">
      <w:pPr>
        <w:pStyle w:val="BodyText"/>
        <w:numPr>
          <w:ilvl w:val="0"/>
          <w:numId w:val="6"/>
        </w:numPr>
        <w:spacing w:line="360" w:lineRule="auto"/>
        <w:ind w:left="284" w:right="23" w:firstLine="0"/>
        <w:jc w:val="both"/>
        <w:rPr>
          <w:b/>
          <w:bCs/>
        </w:rPr>
      </w:pPr>
      <w:r w:rsidRPr="00EA78D5">
        <w:rPr>
          <w:b/>
          <w:bCs/>
        </w:rPr>
        <w:t>Security and Performanc</w:t>
      </w:r>
      <w:r>
        <w:rPr>
          <w:b/>
          <w:bCs/>
        </w:rPr>
        <w:t xml:space="preserve">e: </w:t>
      </w:r>
      <w:r>
        <w:t xml:space="preserve">APEX applications are built with enterprise-grade </w:t>
      </w:r>
      <w:r>
        <w:tab/>
        <w:t xml:space="preserve">security features and are optimized for performance, ensuring reliable deployment in </w:t>
      </w:r>
      <w:r>
        <w:tab/>
        <w:t>sensitive environments like banking, healthcare, and government.</w:t>
      </w:r>
    </w:p>
    <w:p w14:paraId="788003DE" w14:textId="3A62DD31" w:rsidR="00EA78D5" w:rsidRPr="00BD6DA8" w:rsidRDefault="00EA78D5" w:rsidP="00BD6DA8">
      <w:pPr>
        <w:pStyle w:val="Heading2"/>
        <w:spacing w:line="360" w:lineRule="auto"/>
        <w:ind w:left="23" w:right="23"/>
        <w:jc w:val="left"/>
        <w:rPr>
          <w:sz w:val="28"/>
          <w:szCs w:val="28"/>
        </w:rPr>
      </w:pPr>
      <w:r>
        <w:rPr>
          <w:sz w:val="28"/>
          <w:szCs w:val="28"/>
        </w:rPr>
        <w:t>2</w:t>
      </w:r>
      <w:r w:rsidR="00357D90" w:rsidRPr="002F4685">
        <w:rPr>
          <w:sz w:val="28"/>
          <w:szCs w:val="28"/>
        </w:rPr>
        <w:t xml:space="preserve">.6 </w:t>
      </w:r>
      <w:r w:rsidRPr="00EA78D5">
        <w:rPr>
          <w:sz w:val="28"/>
          <w:szCs w:val="28"/>
        </w:rPr>
        <w:t>Strategic Partnerships</w:t>
      </w:r>
      <w:r w:rsidR="002F4685">
        <w:br/>
      </w:r>
      <w:r w:rsidR="002F4685">
        <w:tab/>
      </w:r>
      <w:r w:rsidRPr="00BD6DA8">
        <w:rPr>
          <w:b w:val="0"/>
          <w:sz w:val="24"/>
        </w:rPr>
        <w:t>EPS collaborates with top enterprise software providers to bring the best solutions to clients:</w:t>
      </w:r>
    </w:p>
    <w:p w14:paraId="32F06169" w14:textId="77777777" w:rsidR="00EA78D5" w:rsidRDefault="00EA78D5" w:rsidP="00EA78D5">
      <w:pPr>
        <w:pStyle w:val="BodyText"/>
        <w:numPr>
          <w:ilvl w:val="0"/>
          <w:numId w:val="8"/>
        </w:numPr>
        <w:spacing w:line="360" w:lineRule="auto"/>
        <w:ind w:left="284" w:right="23" w:firstLine="0"/>
        <w:jc w:val="both"/>
      </w:pPr>
      <w:r>
        <w:t>SAP – Intelligent ERP and business process solutions</w:t>
      </w:r>
    </w:p>
    <w:p w14:paraId="080EBF18" w14:textId="77777777" w:rsidR="00EA78D5" w:rsidRDefault="00EA78D5" w:rsidP="00EA78D5">
      <w:pPr>
        <w:pStyle w:val="BodyText"/>
        <w:numPr>
          <w:ilvl w:val="0"/>
          <w:numId w:val="8"/>
        </w:numPr>
        <w:spacing w:line="360" w:lineRule="auto"/>
        <w:ind w:left="284" w:right="23" w:firstLine="0"/>
        <w:jc w:val="both"/>
      </w:pPr>
      <w:r>
        <w:t>Oracle – Full-stack services including Oracle Cloud, Oracle Fusion, and Oracle APEX</w:t>
      </w:r>
    </w:p>
    <w:p w14:paraId="122F8ABA" w14:textId="77777777" w:rsidR="00EA78D5" w:rsidRDefault="00EA78D5" w:rsidP="00EA78D5">
      <w:pPr>
        <w:pStyle w:val="BodyText"/>
        <w:numPr>
          <w:ilvl w:val="0"/>
          <w:numId w:val="8"/>
        </w:numPr>
        <w:spacing w:line="360" w:lineRule="auto"/>
        <w:ind w:left="284" w:right="23" w:firstLine="0"/>
        <w:jc w:val="both"/>
      </w:pPr>
      <w:r>
        <w:t>Pega – Workflow automation and case management</w:t>
      </w:r>
    </w:p>
    <w:p w14:paraId="57EF9B35" w14:textId="77777777" w:rsidR="00EA78D5" w:rsidRDefault="00EA78D5" w:rsidP="00EA78D5">
      <w:pPr>
        <w:pStyle w:val="BodyText"/>
        <w:numPr>
          <w:ilvl w:val="0"/>
          <w:numId w:val="8"/>
        </w:numPr>
        <w:spacing w:line="360" w:lineRule="auto"/>
        <w:ind w:left="284" w:right="23" w:firstLine="0"/>
        <w:jc w:val="both"/>
      </w:pPr>
      <w:r>
        <w:t>Salesforce – Customer engagement and CRM platforms</w:t>
      </w:r>
    </w:p>
    <w:p w14:paraId="781B6C9A" w14:textId="49F0D717" w:rsidR="00357D90" w:rsidRDefault="00EA78D5" w:rsidP="00EA78D5">
      <w:pPr>
        <w:pStyle w:val="BodyText"/>
        <w:numPr>
          <w:ilvl w:val="0"/>
          <w:numId w:val="8"/>
        </w:numPr>
        <w:spacing w:line="360" w:lineRule="auto"/>
        <w:ind w:left="284" w:right="23" w:firstLine="0"/>
        <w:jc w:val="both"/>
      </w:pPr>
      <w:r>
        <w:t>Workday – Cloud-native finance and HR solutions</w:t>
      </w:r>
      <w:r w:rsidR="00357D90" w:rsidRPr="002F4685">
        <w:rPr>
          <w:sz w:val="28"/>
          <w:szCs w:val="28"/>
        </w:rPr>
        <w:t xml:space="preserve"> </w:t>
      </w:r>
    </w:p>
    <w:sectPr w:rsidR="00357D90" w:rsidSect="007712C3">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1077" w:footer="907" w:gutter="0"/>
      <w:pgBorders w:zOrder="back" w:display="notFirstPage">
        <w:top w:val="thickThinSmallGap" w:sz="24" w:space="0" w:color="6D3109"/>
        <w:bottom w:val="thinThickSmallGap" w:sz="24" w:space="0" w:color="6D3109"/>
      </w:pgBorders>
      <w:pgNumType w:start="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8C0BED" w14:textId="77777777" w:rsidR="00CA2222" w:rsidRDefault="00CA2222" w:rsidP="000606C7">
      <w:pPr>
        <w:spacing w:after="0" w:line="240" w:lineRule="auto"/>
      </w:pPr>
      <w:r>
        <w:separator/>
      </w:r>
    </w:p>
  </w:endnote>
  <w:endnote w:type="continuationSeparator" w:id="0">
    <w:p w14:paraId="5FFE816B" w14:textId="77777777" w:rsidR="00CA2222" w:rsidRDefault="00CA2222" w:rsidP="00060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20B15" w14:textId="77777777" w:rsidR="00B71828" w:rsidRDefault="00B718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016E8" w14:textId="2D6EEC87" w:rsidR="000606C7" w:rsidRPr="004F378D" w:rsidRDefault="004F378D" w:rsidP="004F378D">
    <w:pPr>
      <w:pStyle w:val="Footer"/>
      <w:spacing w:line="360" w:lineRule="auto"/>
      <w:rPr>
        <w:rFonts w:ascii="Times New Roman" w:hAnsi="Times New Roman" w:cs="Times New Roman"/>
        <w:szCs w:val="20"/>
      </w:rPr>
    </w:pPr>
    <w:r w:rsidRPr="003D34FC">
      <w:rPr>
        <w:rFonts w:ascii="Times New Roman" w:hAnsi="Times New Roman" w:cs="Times New Roman"/>
        <w:szCs w:val="20"/>
      </w:rPr>
      <w:t>Dept. of CSE, SJBIT</w:t>
    </w:r>
    <w:r w:rsidRPr="003D34FC">
      <w:rPr>
        <w:rFonts w:ascii="Times New Roman" w:hAnsi="Times New Roman" w:cs="Times New Roman"/>
        <w:szCs w:val="20"/>
      </w:rPr>
      <w:tab/>
      <w:t>2024-25</w:t>
    </w:r>
    <w:r w:rsidRPr="003D34FC">
      <w:rPr>
        <w:rFonts w:ascii="Times New Roman" w:hAnsi="Times New Roman" w:cs="Times New Roman"/>
        <w:szCs w:val="20"/>
      </w:rPr>
      <w:tab/>
      <w:t xml:space="preserve">Page </w:t>
    </w:r>
    <w:r w:rsidRPr="003D34FC">
      <w:rPr>
        <w:rFonts w:ascii="Times New Roman" w:hAnsi="Times New Roman" w:cs="Times New Roman"/>
        <w:szCs w:val="20"/>
      </w:rPr>
      <w:fldChar w:fldCharType="begin"/>
    </w:r>
    <w:r w:rsidRPr="003D34FC">
      <w:rPr>
        <w:rFonts w:ascii="Times New Roman" w:hAnsi="Times New Roman" w:cs="Times New Roman"/>
        <w:szCs w:val="20"/>
      </w:rPr>
      <w:instrText xml:space="preserve"> PAGE   \* MERGEFORMAT </w:instrText>
    </w:r>
    <w:r w:rsidRPr="003D34FC">
      <w:rPr>
        <w:rFonts w:ascii="Times New Roman" w:hAnsi="Times New Roman" w:cs="Times New Roman"/>
        <w:szCs w:val="20"/>
      </w:rPr>
      <w:fldChar w:fldCharType="separate"/>
    </w:r>
    <w:r>
      <w:rPr>
        <w:rFonts w:ascii="Times New Roman" w:hAnsi="Times New Roman" w:cs="Times New Roman"/>
        <w:szCs w:val="20"/>
      </w:rPr>
      <w:t>2</w:t>
    </w:r>
    <w:r w:rsidRPr="003D34FC">
      <w:rPr>
        <w:rFonts w:ascii="Times New Roman" w:hAnsi="Times New Roman" w:cs="Times New Roman"/>
        <w:noProof/>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3E341" w14:textId="076E2A0F" w:rsidR="00DC7FF5" w:rsidRPr="00B71828" w:rsidRDefault="00DC7FF5" w:rsidP="00B71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EA6F10" w14:textId="77777777" w:rsidR="00CA2222" w:rsidRDefault="00CA2222" w:rsidP="000606C7">
      <w:pPr>
        <w:spacing w:after="0" w:line="240" w:lineRule="auto"/>
      </w:pPr>
      <w:r>
        <w:separator/>
      </w:r>
    </w:p>
  </w:footnote>
  <w:footnote w:type="continuationSeparator" w:id="0">
    <w:p w14:paraId="103C8E50" w14:textId="77777777" w:rsidR="00CA2222" w:rsidRDefault="00CA2222" w:rsidP="00060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E79F6" w14:textId="77777777" w:rsidR="00B71828" w:rsidRDefault="00B718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2DE5A" w14:textId="77777777" w:rsidR="00BD6DA8" w:rsidRPr="003D34FC" w:rsidRDefault="00BD6DA8" w:rsidP="00BD6DA8">
    <w:pPr>
      <w:pStyle w:val="Header"/>
      <w:rPr>
        <w:rFonts w:ascii="Times New Roman" w:hAnsi="Times New Roman" w:cs="Times New Roman"/>
        <w:szCs w:val="20"/>
      </w:rPr>
    </w:pPr>
    <w:r w:rsidRPr="003D34FC">
      <w:rPr>
        <w:rFonts w:ascii="Times New Roman" w:hAnsi="Times New Roman" w:cs="Times New Roman"/>
        <w:noProof/>
        <w:szCs w:val="20"/>
      </w:rPr>
      <mc:AlternateContent>
        <mc:Choice Requires="wps">
          <w:drawing>
            <wp:anchor distT="45720" distB="45720" distL="114300" distR="114300" simplePos="0" relativeHeight="251666432" behindDoc="0" locked="0" layoutInCell="1" allowOverlap="1" wp14:anchorId="0688F9B1" wp14:editId="4FDFAA5B">
              <wp:simplePos x="0" y="0"/>
              <wp:positionH relativeFrom="margin">
                <wp:posOffset>4874260</wp:posOffset>
              </wp:positionH>
              <wp:positionV relativeFrom="paragraph">
                <wp:posOffset>-36195</wp:posOffset>
              </wp:positionV>
              <wp:extent cx="942975"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66700"/>
                      </a:xfrm>
                      <a:prstGeom prst="rect">
                        <a:avLst/>
                      </a:prstGeom>
                      <a:noFill/>
                      <a:ln w="9525">
                        <a:noFill/>
                        <a:miter lim="800000"/>
                        <a:headEnd/>
                        <a:tailEnd/>
                      </a:ln>
                    </wps:spPr>
                    <wps:txbx>
                      <w:txbxContent>
                        <w:p w14:paraId="1794A1B4" w14:textId="77777777" w:rsidR="00BD6DA8" w:rsidRPr="003D34FC" w:rsidRDefault="00BD6DA8" w:rsidP="00BD6DA8">
                          <w:pPr>
                            <w:rPr>
                              <w:rFonts w:ascii="Times New Roman" w:hAnsi="Times New Roman" w:cs="Times New Roman"/>
                            </w:rPr>
                          </w:pPr>
                          <w:r w:rsidRPr="003D34FC">
                            <w:rPr>
                              <w:rFonts w:ascii="Times New Roman" w:hAnsi="Times New Roman" w:cs="Times New Roman"/>
                            </w:rPr>
                            <w:t>Oracle Apex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88F9B1" id="_x0000_t202" coordsize="21600,21600" o:spt="202" path="m,l,21600r21600,l21600,xe">
              <v:stroke joinstyle="miter"/>
              <v:path gradientshapeok="t" o:connecttype="rect"/>
            </v:shapetype>
            <v:shape id="Text Box 2" o:spid="_x0000_s1026" type="#_x0000_t202" style="position:absolute;margin-left:383.8pt;margin-top:-2.85pt;width:74.25pt;height:21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" filled="f" stroked="f">
              <v:textbox>
                <w:txbxContent>
                  <w:p w14:paraId="1794A1B4" w14:textId="77777777" w:rsidR="00BD6DA8" w:rsidRPr="003D34FC" w:rsidRDefault="00BD6DA8" w:rsidP="00BD6DA8">
                    <w:pPr>
                      <w:rPr>
                        <w:rFonts w:ascii="Times New Roman" w:hAnsi="Times New Roman" w:cs="Times New Roman"/>
                      </w:rPr>
                    </w:pPr>
                    <w:r w:rsidRPr="003D34FC">
                      <w:rPr>
                        <w:rFonts w:ascii="Times New Roman" w:hAnsi="Times New Roman" w:cs="Times New Roman"/>
                      </w:rPr>
                      <w:t>Oracle Apex</w:t>
                    </w:r>
                  </w:p>
                </w:txbxContent>
              </v:textbox>
              <w10:wrap type="square" anchorx="margin"/>
            </v:shape>
          </w:pict>
        </mc:Fallback>
      </mc:AlternateContent>
    </w:r>
    <w:r w:rsidRPr="003D34FC">
      <w:rPr>
        <w:rFonts w:ascii="Times New Roman" w:hAnsi="Times New Roman" w:cs="Times New Roman"/>
        <w:szCs w:val="20"/>
      </w:rPr>
      <w:t>21INT82 – Research Internship/ Industry Internship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5B1D5" w14:textId="7690BCDD" w:rsidR="00DC7FF5" w:rsidRDefault="00DC7F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819D1"/>
    <w:multiLevelType w:val="hybridMultilevel"/>
    <w:tmpl w:val="447493C4"/>
    <w:lvl w:ilvl="0" w:tplc="04090001">
      <w:start w:val="1"/>
      <w:numFmt w:val="bullet"/>
      <w:lvlText w:val=""/>
      <w:lvlJc w:val="left"/>
      <w:pPr>
        <w:ind w:left="1362" w:hanging="360"/>
      </w:pPr>
      <w:rPr>
        <w:rFonts w:ascii="Symbol" w:hAnsi="Symbol" w:hint="default"/>
      </w:rPr>
    </w:lvl>
    <w:lvl w:ilvl="1" w:tplc="04090003" w:tentative="1">
      <w:start w:val="1"/>
      <w:numFmt w:val="bullet"/>
      <w:lvlText w:val="o"/>
      <w:lvlJc w:val="left"/>
      <w:pPr>
        <w:ind w:left="2082" w:hanging="360"/>
      </w:pPr>
      <w:rPr>
        <w:rFonts w:ascii="Courier New" w:hAnsi="Courier New" w:cs="Courier New" w:hint="default"/>
      </w:rPr>
    </w:lvl>
    <w:lvl w:ilvl="2" w:tplc="04090005" w:tentative="1">
      <w:start w:val="1"/>
      <w:numFmt w:val="bullet"/>
      <w:lvlText w:val=""/>
      <w:lvlJc w:val="left"/>
      <w:pPr>
        <w:ind w:left="2802" w:hanging="360"/>
      </w:pPr>
      <w:rPr>
        <w:rFonts w:ascii="Wingdings" w:hAnsi="Wingdings" w:hint="default"/>
      </w:rPr>
    </w:lvl>
    <w:lvl w:ilvl="3" w:tplc="04090001" w:tentative="1">
      <w:start w:val="1"/>
      <w:numFmt w:val="bullet"/>
      <w:lvlText w:val=""/>
      <w:lvlJc w:val="left"/>
      <w:pPr>
        <w:ind w:left="3522" w:hanging="360"/>
      </w:pPr>
      <w:rPr>
        <w:rFonts w:ascii="Symbol" w:hAnsi="Symbol" w:hint="default"/>
      </w:rPr>
    </w:lvl>
    <w:lvl w:ilvl="4" w:tplc="04090003" w:tentative="1">
      <w:start w:val="1"/>
      <w:numFmt w:val="bullet"/>
      <w:lvlText w:val="o"/>
      <w:lvlJc w:val="left"/>
      <w:pPr>
        <w:ind w:left="4242" w:hanging="360"/>
      </w:pPr>
      <w:rPr>
        <w:rFonts w:ascii="Courier New" w:hAnsi="Courier New" w:cs="Courier New" w:hint="default"/>
      </w:rPr>
    </w:lvl>
    <w:lvl w:ilvl="5" w:tplc="04090005" w:tentative="1">
      <w:start w:val="1"/>
      <w:numFmt w:val="bullet"/>
      <w:lvlText w:val=""/>
      <w:lvlJc w:val="left"/>
      <w:pPr>
        <w:ind w:left="4962" w:hanging="360"/>
      </w:pPr>
      <w:rPr>
        <w:rFonts w:ascii="Wingdings" w:hAnsi="Wingdings" w:hint="default"/>
      </w:rPr>
    </w:lvl>
    <w:lvl w:ilvl="6" w:tplc="04090001" w:tentative="1">
      <w:start w:val="1"/>
      <w:numFmt w:val="bullet"/>
      <w:lvlText w:val=""/>
      <w:lvlJc w:val="left"/>
      <w:pPr>
        <w:ind w:left="5682" w:hanging="360"/>
      </w:pPr>
      <w:rPr>
        <w:rFonts w:ascii="Symbol" w:hAnsi="Symbol" w:hint="default"/>
      </w:rPr>
    </w:lvl>
    <w:lvl w:ilvl="7" w:tplc="04090003" w:tentative="1">
      <w:start w:val="1"/>
      <w:numFmt w:val="bullet"/>
      <w:lvlText w:val="o"/>
      <w:lvlJc w:val="left"/>
      <w:pPr>
        <w:ind w:left="6402" w:hanging="360"/>
      </w:pPr>
      <w:rPr>
        <w:rFonts w:ascii="Courier New" w:hAnsi="Courier New" w:cs="Courier New" w:hint="default"/>
      </w:rPr>
    </w:lvl>
    <w:lvl w:ilvl="8" w:tplc="04090005" w:tentative="1">
      <w:start w:val="1"/>
      <w:numFmt w:val="bullet"/>
      <w:lvlText w:val=""/>
      <w:lvlJc w:val="left"/>
      <w:pPr>
        <w:ind w:left="7122" w:hanging="360"/>
      </w:pPr>
      <w:rPr>
        <w:rFonts w:ascii="Wingdings" w:hAnsi="Wingdings" w:hint="default"/>
      </w:rPr>
    </w:lvl>
  </w:abstractNum>
  <w:abstractNum w:abstractNumId="1" w15:restartNumberingAfterBreak="0">
    <w:nsid w:val="1A0E543F"/>
    <w:multiLevelType w:val="hybridMultilevel"/>
    <w:tmpl w:val="A596D33A"/>
    <w:lvl w:ilvl="0" w:tplc="04090001">
      <w:start w:val="1"/>
      <w:numFmt w:val="bullet"/>
      <w:lvlText w:val=""/>
      <w:lvlJc w:val="left"/>
      <w:pPr>
        <w:ind w:left="1362" w:hanging="360"/>
      </w:pPr>
      <w:rPr>
        <w:rFonts w:ascii="Symbol" w:hAnsi="Symbol" w:hint="default"/>
      </w:rPr>
    </w:lvl>
    <w:lvl w:ilvl="1" w:tplc="FFFFFFFF" w:tentative="1">
      <w:start w:val="1"/>
      <w:numFmt w:val="lowerLetter"/>
      <w:lvlText w:val="%2."/>
      <w:lvlJc w:val="left"/>
      <w:pPr>
        <w:ind w:left="2082" w:hanging="360"/>
      </w:pPr>
    </w:lvl>
    <w:lvl w:ilvl="2" w:tplc="FFFFFFFF" w:tentative="1">
      <w:start w:val="1"/>
      <w:numFmt w:val="lowerRoman"/>
      <w:lvlText w:val="%3."/>
      <w:lvlJc w:val="right"/>
      <w:pPr>
        <w:ind w:left="2802" w:hanging="180"/>
      </w:pPr>
    </w:lvl>
    <w:lvl w:ilvl="3" w:tplc="FFFFFFFF" w:tentative="1">
      <w:start w:val="1"/>
      <w:numFmt w:val="decimal"/>
      <w:lvlText w:val="%4."/>
      <w:lvlJc w:val="left"/>
      <w:pPr>
        <w:ind w:left="3522" w:hanging="360"/>
      </w:pPr>
    </w:lvl>
    <w:lvl w:ilvl="4" w:tplc="FFFFFFFF" w:tentative="1">
      <w:start w:val="1"/>
      <w:numFmt w:val="lowerLetter"/>
      <w:lvlText w:val="%5."/>
      <w:lvlJc w:val="left"/>
      <w:pPr>
        <w:ind w:left="4242" w:hanging="360"/>
      </w:pPr>
    </w:lvl>
    <w:lvl w:ilvl="5" w:tplc="FFFFFFFF" w:tentative="1">
      <w:start w:val="1"/>
      <w:numFmt w:val="lowerRoman"/>
      <w:lvlText w:val="%6."/>
      <w:lvlJc w:val="right"/>
      <w:pPr>
        <w:ind w:left="4962" w:hanging="180"/>
      </w:pPr>
    </w:lvl>
    <w:lvl w:ilvl="6" w:tplc="FFFFFFFF" w:tentative="1">
      <w:start w:val="1"/>
      <w:numFmt w:val="decimal"/>
      <w:lvlText w:val="%7."/>
      <w:lvlJc w:val="left"/>
      <w:pPr>
        <w:ind w:left="5682" w:hanging="360"/>
      </w:pPr>
    </w:lvl>
    <w:lvl w:ilvl="7" w:tplc="FFFFFFFF" w:tentative="1">
      <w:start w:val="1"/>
      <w:numFmt w:val="lowerLetter"/>
      <w:lvlText w:val="%8."/>
      <w:lvlJc w:val="left"/>
      <w:pPr>
        <w:ind w:left="6402" w:hanging="360"/>
      </w:pPr>
    </w:lvl>
    <w:lvl w:ilvl="8" w:tplc="FFFFFFFF" w:tentative="1">
      <w:start w:val="1"/>
      <w:numFmt w:val="lowerRoman"/>
      <w:lvlText w:val="%9."/>
      <w:lvlJc w:val="right"/>
      <w:pPr>
        <w:ind w:left="7122" w:hanging="180"/>
      </w:pPr>
    </w:lvl>
  </w:abstractNum>
  <w:abstractNum w:abstractNumId="2" w15:restartNumberingAfterBreak="0">
    <w:nsid w:val="1FE4374D"/>
    <w:multiLevelType w:val="hybridMultilevel"/>
    <w:tmpl w:val="927C0766"/>
    <w:lvl w:ilvl="0" w:tplc="04090001">
      <w:start w:val="1"/>
      <w:numFmt w:val="bullet"/>
      <w:lvlText w:val=""/>
      <w:lvlJc w:val="left"/>
      <w:pPr>
        <w:ind w:left="1362" w:hanging="360"/>
      </w:pPr>
      <w:rPr>
        <w:rFonts w:ascii="Symbol" w:hAnsi="Symbol" w:hint="default"/>
      </w:rPr>
    </w:lvl>
    <w:lvl w:ilvl="1" w:tplc="04090003" w:tentative="1">
      <w:start w:val="1"/>
      <w:numFmt w:val="bullet"/>
      <w:lvlText w:val="o"/>
      <w:lvlJc w:val="left"/>
      <w:pPr>
        <w:ind w:left="2082" w:hanging="360"/>
      </w:pPr>
      <w:rPr>
        <w:rFonts w:ascii="Courier New" w:hAnsi="Courier New" w:cs="Courier New" w:hint="default"/>
      </w:rPr>
    </w:lvl>
    <w:lvl w:ilvl="2" w:tplc="04090005" w:tentative="1">
      <w:start w:val="1"/>
      <w:numFmt w:val="bullet"/>
      <w:lvlText w:val=""/>
      <w:lvlJc w:val="left"/>
      <w:pPr>
        <w:ind w:left="2802" w:hanging="360"/>
      </w:pPr>
      <w:rPr>
        <w:rFonts w:ascii="Wingdings" w:hAnsi="Wingdings" w:hint="default"/>
      </w:rPr>
    </w:lvl>
    <w:lvl w:ilvl="3" w:tplc="04090001" w:tentative="1">
      <w:start w:val="1"/>
      <w:numFmt w:val="bullet"/>
      <w:lvlText w:val=""/>
      <w:lvlJc w:val="left"/>
      <w:pPr>
        <w:ind w:left="3522" w:hanging="360"/>
      </w:pPr>
      <w:rPr>
        <w:rFonts w:ascii="Symbol" w:hAnsi="Symbol" w:hint="default"/>
      </w:rPr>
    </w:lvl>
    <w:lvl w:ilvl="4" w:tplc="04090003" w:tentative="1">
      <w:start w:val="1"/>
      <w:numFmt w:val="bullet"/>
      <w:lvlText w:val="o"/>
      <w:lvlJc w:val="left"/>
      <w:pPr>
        <w:ind w:left="4242" w:hanging="360"/>
      </w:pPr>
      <w:rPr>
        <w:rFonts w:ascii="Courier New" w:hAnsi="Courier New" w:cs="Courier New" w:hint="default"/>
      </w:rPr>
    </w:lvl>
    <w:lvl w:ilvl="5" w:tplc="04090005" w:tentative="1">
      <w:start w:val="1"/>
      <w:numFmt w:val="bullet"/>
      <w:lvlText w:val=""/>
      <w:lvlJc w:val="left"/>
      <w:pPr>
        <w:ind w:left="4962" w:hanging="360"/>
      </w:pPr>
      <w:rPr>
        <w:rFonts w:ascii="Wingdings" w:hAnsi="Wingdings" w:hint="default"/>
      </w:rPr>
    </w:lvl>
    <w:lvl w:ilvl="6" w:tplc="04090001" w:tentative="1">
      <w:start w:val="1"/>
      <w:numFmt w:val="bullet"/>
      <w:lvlText w:val=""/>
      <w:lvlJc w:val="left"/>
      <w:pPr>
        <w:ind w:left="5682" w:hanging="360"/>
      </w:pPr>
      <w:rPr>
        <w:rFonts w:ascii="Symbol" w:hAnsi="Symbol" w:hint="default"/>
      </w:rPr>
    </w:lvl>
    <w:lvl w:ilvl="7" w:tplc="04090003" w:tentative="1">
      <w:start w:val="1"/>
      <w:numFmt w:val="bullet"/>
      <w:lvlText w:val="o"/>
      <w:lvlJc w:val="left"/>
      <w:pPr>
        <w:ind w:left="6402" w:hanging="360"/>
      </w:pPr>
      <w:rPr>
        <w:rFonts w:ascii="Courier New" w:hAnsi="Courier New" w:cs="Courier New" w:hint="default"/>
      </w:rPr>
    </w:lvl>
    <w:lvl w:ilvl="8" w:tplc="04090005" w:tentative="1">
      <w:start w:val="1"/>
      <w:numFmt w:val="bullet"/>
      <w:lvlText w:val=""/>
      <w:lvlJc w:val="left"/>
      <w:pPr>
        <w:ind w:left="7122" w:hanging="360"/>
      </w:pPr>
      <w:rPr>
        <w:rFonts w:ascii="Wingdings" w:hAnsi="Wingdings" w:hint="default"/>
      </w:rPr>
    </w:lvl>
  </w:abstractNum>
  <w:abstractNum w:abstractNumId="3" w15:restartNumberingAfterBreak="0">
    <w:nsid w:val="21957D2D"/>
    <w:multiLevelType w:val="hybridMultilevel"/>
    <w:tmpl w:val="F800D1B6"/>
    <w:lvl w:ilvl="0" w:tplc="04090001">
      <w:start w:val="1"/>
      <w:numFmt w:val="bullet"/>
      <w:lvlText w:val=""/>
      <w:lvlJc w:val="left"/>
      <w:pPr>
        <w:ind w:left="1362" w:hanging="360"/>
      </w:pPr>
      <w:rPr>
        <w:rFonts w:ascii="Symbol" w:hAnsi="Symbol" w:hint="default"/>
      </w:rPr>
    </w:lvl>
    <w:lvl w:ilvl="1" w:tplc="04090003" w:tentative="1">
      <w:start w:val="1"/>
      <w:numFmt w:val="bullet"/>
      <w:lvlText w:val="o"/>
      <w:lvlJc w:val="left"/>
      <w:pPr>
        <w:ind w:left="2082" w:hanging="360"/>
      </w:pPr>
      <w:rPr>
        <w:rFonts w:ascii="Courier New" w:hAnsi="Courier New" w:cs="Courier New" w:hint="default"/>
      </w:rPr>
    </w:lvl>
    <w:lvl w:ilvl="2" w:tplc="04090005" w:tentative="1">
      <w:start w:val="1"/>
      <w:numFmt w:val="bullet"/>
      <w:lvlText w:val=""/>
      <w:lvlJc w:val="left"/>
      <w:pPr>
        <w:ind w:left="2802" w:hanging="360"/>
      </w:pPr>
      <w:rPr>
        <w:rFonts w:ascii="Wingdings" w:hAnsi="Wingdings" w:hint="default"/>
      </w:rPr>
    </w:lvl>
    <w:lvl w:ilvl="3" w:tplc="04090001" w:tentative="1">
      <w:start w:val="1"/>
      <w:numFmt w:val="bullet"/>
      <w:lvlText w:val=""/>
      <w:lvlJc w:val="left"/>
      <w:pPr>
        <w:ind w:left="3522" w:hanging="360"/>
      </w:pPr>
      <w:rPr>
        <w:rFonts w:ascii="Symbol" w:hAnsi="Symbol" w:hint="default"/>
      </w:rPr>
    </w:lvl>
    <w:lvl w:ilvl="4" w:tplc="04090003" w:tentative="1">
      <w:start w:val="1"/>
      <w:numFmt w:val="bullet"/>
      <w:lvlText w:val="o"/>
      <w:lvlJc w:val="left"/>
      <w:pPr>
        <w:ind w:left="4242" w:hanging="360"/>
      </w:pPr>
      <w:rPr>
        <w:rFonts w:ascii="Courier New" w:hAnsi="Courier New" w:cs="Courier New" w:hint="default"/>
      </w:rPr>
    </w:lvl>
    <w:lvl w:ilvl="5" w:tplc="04090005" w:tentative="1">
      <w:start w:val="1"/>
      <w:numFmt w:val="bullet"/>
      <w:lvlText w:val=""/>
      <w:lvlJc w:val="left"/>
      <w:pPr>
        <w:ind w:left="4962" w:hanging="360"/>
      </w:pPr>
      <w:rPr>
        <w:rFonts w:ascii="Wingdings" w:hAnsi="Wingdings" w:hint="default"/>
      </w:rPr>
    </w:lvl>
    <w:lvl w:ilvl="6" w:tplc="04090001" w:tentative="1">
      <w:start w:val="1"/>
      <w:numFmt w:val="bullet"/>
      <w:lvlText w:val=""/>
      <w:lvlJc w:val="left"/>
      <w:pPr>
        <w:ind w:left="5682" w:hanging="360"/>
      </w:pPr>
      <w:rPr>
        <w:rFonts w:ascii="Symbol" w:hAnsi="Symbol" w:hint="default"/>
      </w:rPr>
    </w:lvl>
    <w:lvl w:ilvl="7" w:tplc="04090003" w:tentative="1">
      <w:start w:val="1"/>
      <w:numFmt w:val="bullet"/>
      <w:lvlText w:val="o"/>
      <w:lvlJc w:val="left"/>
      <w:pPr>
        <w:ind w:left="6402" w:hanging="360"/>
      </w:pPr>
      <w:rPr>
        <w:rFonts w:ascii="Courier New" w:hAnsi="Courier New" w:cs="Courier New" w:hint="default"/>
      </w:rPr>
    </w:lvl>
    <w:lvl w:ilvl="8" w:tplc="04090005" w:tentative="1">
      <w:start w:val="1"/>
      <w:numFmt w:val="bullet"/>
      <w:lvlText w:val=""/>
      <w:lvlJc w:val="left"/>
      <w:pPr>
        <w:ind w:left="7122" w:hanging="360"/>
      </w:pPr>
      <w:rPr>
        <w:rFonts w:ascii="Wingdings" w:hAnsi="Wingdings" w:hint="default"/>
      </w:rPr>
    </w:lvl>
  </w:abstractNum>
  <w:abstractNum w:abstractNumId="4" w15:restartNumberingAfterBreak="0">
    <w:nsid w:val="39F40D33"/>
    <w:multiLevelType w:val="multilevel"/>
    <w:tmpl w:val="384E5348"/>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A4B1AE3"/>
    <w:multiLevelType w:val="hybridMultilevel"/>
    <w:tmpl w:val="6494D8E8"/>
    <w:lvl w:ilvl="0" w:tplc="0409000F">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 w15:restartNumberingAfterBreak="0">
    <w:nsid w:val="6D4D6C3F"/>
    <w:multiLevelType w:val="hybridMultilevel"/>
    <w:tmpl w:val="085E7390"/>
    <w:lvl w:ilvl="0" w:tplc="9A6EF148">
      <w:start w:val="1"/>
      <w:numFmt w:val="decimal"/>
      <w:lvlText w:val="1.%1"/>
      <w:lvlJc w:val="left"/>
      <w:pPr>
        <w:ind w:left="7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074245"/>
    <w:multiLevelType w:val="hybridMultilevel"/>
    <w:tmpl w:val="083E9B7E"/>
    <w:lvl w:ilvl="0" w:tplc="0409000F">
      <w:start w:val="1"/>
      <w:numFmt w:val="decimal"/>
      <w:lvlText w:val="%1."/>
      <w:lvlJc w:val="left"/>
      <w:pPr>
        <w:ind w:left="1362" w:hanging="360"/>
      </w:p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num w:numId="1" w16cid:durableId="303895377">
    <w:abstractNumId w:val="6"/>
  </w:num>
  <w:num w:numId="2" w16cid:durableId="1666401713">
    <w:abstractNumId w:val="5"/>
  </w:num>
  <w:num w:numId="3" w16cid:durableId="2145535562">
    <w:abstractNumId w:val="7"/>
  </w:num>
  <w:num w:numId="4" w16cid:durableId="1003364621">
    <w:abstractNumId w:val="1"/>
  </w:num>
  <w:num w:numId="5" w16cid:durableId="425881953">
    <w:abstractNumId w:val="0"/>
  </w:num>
  <w:num w:numId="6" w16cid:durableId="877208829">
    <w:abstractNumId w:val="2"/>
  </w:num>
  <w:num w:numId="7" w16cid:durableId="833959436">
    <w:abstractNumId w:val="4"/>
  </w:num>
  <w:num w:numId="8" w16cid:durableId="13535300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6C7"/>
    <w:rsid w:val="000606C7"/>
    <w:rsid w:val="001044B5"/>
    <w:rsid w:val="00153D21"/>
    <w:rsid w:val="002579EA"/>
    <w:rsid w:val="002B1FD6"/>
    <w:rsid w:val="002F4685"/>
    <w:rsid w:val="00340F44"/>
    <w:rsid w:val="00357D90"/>
    <w:rsid w:val="00362821"/>
    <w:rsid w:val="00366EC9"/>
    <w:rsid w:val="003705AE"/>
    <w:rsid w:val="00393F39"/>
    <w:rsid w:val="003B5D79"/>
    <w:rsid w:val="00412F98"/>
    <w:rsid w:val="004C4518"/>
    <w:rsid w:val="004D3FEA"/>
    <w:rsid w:val="004F378D"/>
    <w:rsid w:val="005447C8"/>
    <w:rsid w:val="005A74C3"/>
    <w:rsid w:val="00613296"/>
    <w:rsid w:val="00644B10"/>
    <w:rsid w:val="00766606"/>
    <w:rsid w:val="007712C3"/>
    <w:rsid w:val="00781DE8"/>
    <w:rsid w:val="008209B7"/>
    <w:rsid w:val="00831278"/>
    <w:rsid w:val="00865528"/>
    <w:rsid w:val="00877305"/>
    <w:rsid w:val="008C281E"/>
    <w:rsid w:val="008C29A7"/>
    <w:rsid w:val="00932B81"/>
    <w:rsid w:val="00935A3B"/>
    <w:rsid w:val="00974822"/>
    <w:rsid w:val="009C3D90"/>
    <w:rsid w:val="00A25FDB"/>
    <w:rsid w:val="00A310DB"/>
    <w:rsid w:val="00A96EF4"/>
    <w:rsid w:val="00A97AA4"/>
    <w:rsid w:val="00AB483A"/>
    <w:rsid w:val="00AB4C40"/>
    <w:rsid w:val="00AC777E"/>
    <w:rsid w:val="00B1072A"/>
    <w:rsid w:val="00B21A50"/>
    <w:rsid w:val="00B4675C"/>
    <w:rsid w:val="00B56164"/>
    <w:rsid w:val="00B57BB3"/>
    <w:rsid w:val="00B71828"/>
    <w:rsid w:val="00B96C78"/>
    <w:rsid w:val="00BA0CDC"/>
    <w:rsid w:val="00BD6DA8"/>
    <w:rsid w:val="00C872C6"/>
    <w:rsid w:val="00CA2222"/>
    <w:rsid w:val="00CD2E07"/>
    <w:rsid w:val="00D24DD5"/>
    <w:rsid w:val="00D2776B"/>
    <w:rsid w:val="00DA7F36"/>
    <w:rsid w:val="00DC7FF5"/>
    <w:rsid w:val="00DD75EC"/>
    <w:rsid w:val="00E649DF"/>
    <w:rsid w:val="00EA78D5"/>
    <w:rsid w:val="00EB0EEA"/>
    <w:rsid w:val="00ED1E03"/>
    <w:rsid w:val="00EE1183"/>
    <w:rsid w:val="00EE42D8"/>
    <w:rsid w:val="00F04285"/>
    <w:rsid w:val="00F74211"/>
    <w:rsid w:val="00F95D58"/>
    <w:rsid w:val="00FD319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E20C22"/>
  <w15:chartTrackingRefBased/>
  <w15:docId w15:val="{82C3F0CC-3202-4862-980F-F9598BCE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C7"/>
    <w:pPr>
      <w:widowControl w:val="0"/>
      <w:autoSpaceDE w:val="0"/>
      <w:autoSpaceDN w:val="0"/>
      <w:spacing w:before="84" w:after="0" w:line="240" w:lineRule="auto"/>
      <w:ind w:left="220"/>
      <w:outlineLvl w:val="0"/>
    </w:pPr>
    <w:rPr>
      <w:rFonts w:ascii="Times New Roman" w:eastAsia="Times New Roman" w:hAnsi="Times New Roman" w:cs="Times New Roman"/>
      <w:b/>
      <w:bCs/>
      <w:kern w:val="0"/>
      <w:sz w:val="36"/>
      <w:szCs w:val="36"/>
      <w14:ligatures w14:val="none"/>
    </w:rPr>
  </w:style>
  <w:style w:type="paragraph" w:styleId="Heading2">
    <w:name w:val="heading 2"/>
    <w:basedOn w:val="Normal"/>
    <w:link w:val="Heading2Char"/>
    <w:uiPriority w:val="9"/>
    <w:unhideWhenUsed/>
    <w:qFormat/>
    <w:rsid w:val="000606C7"/>
    <w:pPr>
      <w:widowControl w:val="0"/>
      <w:autoSpaceDE w:val="0"/>
      <w:autoSpaceDN w:val="0"/>
      <w:spacing w:before="85" w:after="0" w:line="240" w:lineRule="auto"/>
      <w:ind w:left="220"/>
      <w:jc w:val="center"/>
      <w:outlineLvl w:val="1"/>
    </w:pPr>
    <w:rPr>
      <w:rFonts w:ascii="Times New Roman" w:eastAsia="Times New Roman" w:hAnsi="Times New Roman" w:cs="Times New Roman"/>
      <w:b/>
      <w:bCs/>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6C7"/>
    <w:rPr>
      <w:rFonts w:ascii="Times New Roman" w:eastAsia="Times New Roman" w:hAnsi="Times New Roman" w:cs="Times New Roman"/>
      <w:b/>
      <w:bCs/>
      <w:kern w:val="0"/>
      <w:sz w:val="36"/>
      <w:szCs w:val="36"/>
      <w14:ligatures w14:val="none"/>
    </w:rPr>
  </w:style>
  <w:style w:type="character" w:customStyle="1" w:styleId="Heading2Char">
    <w:name w:val="Heading 2 Char"/>
    <w:basedOn w:val="DefaultParagraphFont"/>
    <w:link w:val="Heading2"/>
    <w:uiPriority w:val="9"/>
    <w:rsid w:val="000606C7"/>
    <w:rPr>
      <w:rFonts w:ascii="Times New Roman" w:eastAsia="Times New Roman" w:hAnsi="Times New Roman" w:cs="Times New Roman"/>
      <w:b/>
      <w:bCs/>
      <w:kern w:val="0"/>
      <w:sz w:val="32"/>
      <w:szCs w:val="32"/>
      <w14:ligatures w14:val="none"/>
    </w:rPr>
  </w:style>
  <w:style w:type="paragraph" w:styleId="BodyText">
    <w:name w:val="Body Text"/>
    <w:basedOn w:val="Normal"/>
    <w:link w:val="BodyTextChar"/>
    <w:uiPriority w:val="1"/>
    <w:qFormat/>
    <w:rsid w:val="000606C7"/>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0606C7"/>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606C7"/>
    <w:rPr>
      <w:b/>
      <w:bCs/>
    </w:rPr>
  </w:style>
  <w:style w:type="paragraph" w:styleId="Header">
    <w:name w:val="header"/>
    <w:basedOn w:val="Normal"/>
    <w:link w:val="HeaderChar"/>
    <w:uiPriority w:val="99"/>
    <w:unhideWhenUsed/>
    <w:rsid w:val="000606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6C7"/>
  </w:style>
  <w:style w:type="paragraph" w:styleId="Footer">
    <w:name w:val="footer"/>
    <w:basedOn w:val="Normal"/>
    <w:link w:val="FooterChar"/>
    <w:uiPriority w:val="99"/>
    <w:unhideWhenUsed/>
    <w:rsid w:val="000606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6C7"/>
  </w:style>
  <w:style w:type="paragraph" w:styleId="ListParagraph">
    <w:name w:val="List Paragraph"/>
    <w:basedOn w:val="Normal"/>
    <w:uiPriority w:val="34"/>
    <w:qFormat/>
    <w:rsid w:val="002F4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970861">
      <w:bodyDiv w:val="1"/>
      <w:marLeft w:val="0"/>
      <w:marRight w:val="0"/>
      <w:marTop w:val="0"/>
      <w:marBottom w:val="0"/>
      <w:divBdr>
        <w:top w:val="none" w:sz="0" w:space="0" w:color="auto"/>
        <w:left w:val="none" w:sz="0" w:space="0" w:color="auto"/>
        <w:bottom w:val="none" w:sz="0" w:space="0" w:color="auto"/>
        <w:right w:val="none" w:sz="0" w:space="0" w:color="auto"/>
      </w:divBdr>
    </w:div>
    <w:div w:id="1256205093">
      <w:bodyDiv w:val="1"/>
      <w:marLeft w:val="0"/>
      <w:marRight w:val="0"/>
      <w:marTop w:val="0"/>
      <w:marBottom w:val="0"/>
      <w:divBdr>
        <w:top w:val="none" w:sz="0" w:space="0" w:color="auto"/>
        <w:left w:val="none" w:sz="0" w:space="0" w:color="auto"/>
        <w:bottom w:val="none" w:sz="0" w:space="0" w:color="auto"/>
        <w:right w:val="none" w:sz="0" w:space="0" w:color="auto"/>
      </w:divBdr>
    </w:div>
    <w:div w:id="179374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6D8BA-AC5A-4E0D-8B17-C82F3DC97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3</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ANIRUDH</dc:creator>
  <cp:keywords/>
  <dc:description/>
  <cp:lastModifiedBy>Harini, A S (Contractor)</cp:lastModifiedBy>
  <cp:revision>39</cp:revision>
  <cp:lastPrinted>2024-12-24T03:16:00Z</cp:lastPrinted>
  <dcterms:created xsi:type="dcterms:W3CDTF">2024-12-15T03:49:00Z</dcterms:created>
  <dcterms:modified xsi:type="dcterms:W3CDTF">2025-05-08T07:06:00Z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3111c517d7c543f2323dd65a44f2a2f4d3a9125fbb6ffa0d83bf4a1ea07c1b39</vt:lpwstr>
  </property>
</Properties>
</file>