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INITIALIZATION AND PLANNING PHASE</w:t>
      </w:r>
    </w:p>
    <w:p>
      <w:pPr>
        <w:jc w:val="center"/>
      </w:pPr>
      <w:r>
        <w:rPr>
          <w:b/>
          <w:sz w:val="28"/>
        </w:rPr>
        <w:t>Project Proposal (Proposed Solution)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21"/>
              </w:rPr>
              <w:t>Project Title</w:t>
            </w:r>
          </w:p>
        </w:tc>
        <w:tc>
          <w:tcPr>
            <w:tcW w:type="dxa" w:w="4968"/>
            <w:vAlign w:val="center"/>
          </w:tcPr>
          <w:p>
            <w:r>
              <w:rPr>
                <w:sz w:val="21"/>
              </w:rPr>
              <w:t>Auto Ticket Classification using Flow Designer</w:t>
            </w:r>
          </w:p>
        </w:tc>
      </w:tr>
      <w:tr>
        <w:tc>
          <w:tcPr>
            <w:tcW w:type="dxa" w:w="4968"/>
            <w:vAlign w:val="center"/>
          </w:tcPr>
          <w:p>
            <w:r>
              <w:rPr>
                <w:b/>
                <w:sz w:val="21"/>
              </w:rPr>
              <w:t>Team ID</w:t>
            </w:r>
          </w:p>
        </w:tc>
        <w:tc>
          <w:tcPr>
            <w:tcW w:type="dxa" w:w="4968"/>
            <w:vAlign w:val="center"/>
          </w:tcPr>
          <w:p>
            <w:r>
              <w:rPr>
                <w:sz w:val="21"/>
              </w:rPr>
              <w:t>SWTID-2026-2859</w:t>
            </w:r>
          </w:p>
        </w:tc>
      </w:tr>
      <w:tr>
        <w:tc>
          <w:tcPr>
            <w:tcW w:type="dxa" w:w="4968"/>
            <w:vAlign w:val="center"/>
          </w:tcPr>
          <w:p>
            <w:r>
              <w:rPr>
                <w:b/>
                <w:sz w:val="21"/>
              </w:rPr>
              <w:t>Team Size</w:t>
            </w:r>
          </w:p>
        </w:tc>
        <w:tc>
          <w:tcPr>
            <w:tcW w:type="dxa" w:w="4968"/>
            <w:vAlign w:val="center"/>
          </w:tcPr>
          <w:p>
            <w:r>
              <w:rPr>
                <w:sz w:val="21"/>
              </w:rPr>
              <w:t>5</w:t>
            </w:r>
          </w:p>
        </w:tc>
      </w:tr>
      <w:tr>
        <w:tc>
          <w:tcPr>
            <w:tcW w:type="dxa" w:w="4968"/>
            <w:vAlign w:val="center"/>
          </w:tcPr>
          <w:p>
            <w:r>
              <w:rPr>
                <w:b/>
                <w:sz w:val="21"/>
              </w:rPr>
              <w:t>Team Leader</w:t>
            </w:r>
          </w:p>
        </w:tc>
        <w:tc>
          <w:tcPr>
            <w:tcW w:type="dxa" w:w="4968"/>
            <w:vAlign w:val="center"/>
          </w:tcPr>
          <w:p>
            <w:r>
              <w:rPr>
                <w:sz w:val="21"/>
              </w:rPr>
              <w:t>HARINI M</w:t>
            </w:r>
          </w:p>
        </w:tc>
      </w:tr>
      <w:tr>
        <w:tc>
          <w:tcPr>
            <w:tcW w:type="dxa" w:w="4968"/>
            <w:vAlign w:val="center"/>
          </w:tcPr>
          <w:p>
            <w:r>
              <w:rPr>
                <w:b/>
                <w:sz w:val="21"/>
              </w:rPr>
              <w:t>Team Members</w:t>
            </w:r>
          </w:p>
        </w:tc>
        <w:tc>
          <w:tcPr>
            <w:tcW w:type="dxa" w:w="4968"/>
            <w:vAlign w:val="center"/>
          </w:tcPr>
          <w:p>
            <w:r>
              <w:rPr>
                <w:sz w:val="21"/>
              </w:rPr>
              <w:t>HARINI S</w:t>
              <w:br/>
              <w:t>INDHUMATHI E</w:t>
              <w:br/>
              <w:t>KALAIYARASI T</w:t>
              <w:br/>
              <w:t>KARTHIKA T</w:t>
            </w:r>
          </w:p>
        </w:tc>
      </w:tr>
      <w:tr>
        <w:tc>
          <w:tcPr>
            <w:tcW w:type="dxa" w:w="4968"/>
            <w:vAlign w:val="center"/>
          </w:tcPr>
          <w:p>
            <w:r>
              <w:rPr>
                <w:b/>
                <w:sz w:val="21"/>
              </w:rPr>
              <w:t>Phase</w:t>
            </w:r>
          </w:p>
        </w:tc>
        <w:tc>
          <w:tcPr>
            <w:tcW w:type="dxa" w:w="4968"/>
            <w:vAlign w:val="center"/>
          </w:tcPr>
          <w:p>
            <w:r>
              <w:rPr>
                <w:sz w:val="21"/>
              </w:rPr>
              <w:t>Project Initialization and Planning Phase</w:t>
            </w:r>
          </w:p>
        </w:tc>
      </w:tr>
    </w:tbl>
    <w:p/>
    <w:p>
      <w:r>
        <w:rPr>
          <w:b/>
          <w:sz w:val="26"/>
        </w:rPr>
        <w:t>1. Project Proposal (Proposed Solution)</w:t>
      </w:r>
    </w:p>
    <w:p>
      <w:r>
        <w:t>The proposal aims to automate ticket classification using ServiceNow Flow Designer. The solution is intended to improve the organization of incoming tickets by applying defined classification logic through automated flows, reducing manual effort and supporting faster and more consistent ticket handling.</w:t>
      </w:r>
    </w:p>
    <w:p>
      <w:r>
        <w:rPr>
          <w:b/>
          <w:sz w:val="26"/>
        </w:rPr>
        <w:t>2. Project Overview</w:t>
      </w:r>
    </w:p>
    <w:p>
      <w:r>
        <w:rPr>
          <w:b/>
        </w:rPr>
        <w:t xml:space="preserve">Objective: </w:t>
      </w:r>
      <w:r>
        <w:t>To develop an automated ticket classification process using Flow Designer, so that tickets can be classified efficiently based on predefined conditions.</w:t>
      </w:r>
    </w:p>
    <w:p>
      <w:r>
        <w:rPr>
          <w:b/>
        </w:rPr>
        <w:t xml:space="preserve">Scope: </w:t>
      </w:r>
      <w:r>
        <w:t>The project focuses on designing and configuring an automated workflow for ticket classification, including flow logic, conditions, actions, and the resulting ticket updates.</w:t>
      </w:r>
    </w:p>
    <w:p>
      <w:r>
        <w:rPr>
          <w:b/>
          <w:sz w:val="26"/>
        </w:rPr>
        <w:t>3. Problem Statement</w:t>
      </w:r>
    </w:p>
    <w:p>
      <w:r>
        <w:rPr>
          <w:b/>
        </w:rPr>
        <w:t xml:space="preserve">Description: </w:t>
      </w:r>
      <w:r>
        <w:t>Manual ticket classification can require additional time and may lead to inconsistent classification. An automated approach can help standardize the classification process and reduce repetitive manual work.</w:t>
      </w:r>
    </w:p>
    <w:p>
      <w:r>
        <w:rPr>
          <w:b/>
        </w:rPr>
        <w:t xml:space="preserve">Impact: </w:t>
      </w:r>
      <w:r>
        <w:t>Automating ticket classification can support faster ticket processing, consistent classification, and improved workflow efficiency.</w:t>
      </w:r>
    </w:p>
    <w:p>
      <w:r>
        <w:rPr>
          <w:b/>
          <w:sz w:val="26"/>
        </w:rPr>
        <w:t>4. Proposed Solution</w:t>
      </w:r>
    </w:p>
    <w:p>
      <w:r>
        <w:rPr>
          <w:b/>
        </w:rPr>
        <w:t xml:space="preserve">Approach: </w:t>
      </w:r>
      <w:r>
        <w:t>Use ServiceNow Flow Designer to create an automated flow that evaluates ticket information using predefined conditions and performs the required classification actions.</w:t>
      </w:r>
    </w:p>
    <w:p>
      <w:r>
        <w:rPr>
          <w:b/>
        </w:rPr>
        <w:t>Key Features:</w:t>
      </w:r>
    </w:p>
    <w:p>
      <w:pPr>
        <w:pStyle w:val="ListBullet"/>
      </w:pPr>
      <w:r>
        <w:t>Automated classification of incoming tickets.</w:t>
      </w:r>
    </w:p>
    <w:p>
      <w:pPr>
        <w:pStyle w:val="ListBullet"/>
      </w:pPr>
      <w:r>
        <w:t>Flow Designer-based conditions and actions.</w:t>
      </w:r>
    </w:p>
    <w:p>
      <w:pPr>
        <w:pStyle w:val="ListBullet"/>
      </w:pPr>
      <w:r>
        <w:t>Reduced manual effort in ticket processing.</w:t>
      </w:r>
    </w:p>
    <w:p>
      <w:pPr>
        <w:pStyle w:val="ListBullet"/>
      </w:pPr>
      <w:r>
        <w:t>Consistent classification based on predefined rules.</w:t>
      </w:r>
    </w:p>
    <w:p>
      <w:pPr>
        <w:pStyle w:val="ListBullet"/>
      </w:pPr>
      <w:r>
        <w:t>Improved efficiency of the ticket management workflow.</w:t>
      </w:r>
    </w:p>
    <w:p>
      <w:r>
        <w:rPr>
          <w:b/>
          <w:sz w:val="26"/>
        </w:rPr>
        <w:t>5. Resource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9"/>
              </w:rPr>
              <w:t>Resource Type</w:t>
            </w:r>
          </w:p>
        </w:tc>
        <w:tc>
          <w:tcPr>
            <w:tcW w:type="dxa" w:w="3312"/>
            <w:vAlign w:val="center"/>
          </w:tcPr>
          <w:p>
            <w:r>
              <w:rPr>
                <w:sz w:val="19"/>
              </w:rPr>
              <w:t>Resource</w:t>
            </w:r>
          </w:p>
        </w:tc>
        <w:tc>
          <w:tcPr>
            <w:tcW w:type="dxa" w:w="3312"/>
            <w:vAlign w:val="center"/>
          </w:tcPr>
          <w:p>
            <w:r>
              <w:rPr>
                <w:sz w:val="19"/>
              </w:rPr>
              <w:t>Specification / Allocation</w:t>
            </w:r>
          </w:p>
        </w:tc>
      </w:tr>
      <w:tr>
        <w:tc>
          <w:tcPr>
            <w:tcW w:type="dxa" w:w="3312"/>
            <w:vAlign w:val="center"/>
          </w:tcPr>
          <w:p>
            <w:r>
              <w:rPr>
                <w:sz w:val="19"/>
              </w:rPr>
              <w:t>Hardware</w:t>
            </w:r>
          </w:p>
        </w:tc>
        <w:tc>
          <w:tcPr>
            <w:tcW w:type="dxa" w:w="3312"/>
            <w:vAlign w:val="center"/>
          </w:tcPr>
          <w:p>
            <w:r>
              <w:rPr>
                <w:sz w:val="19"/>
              </w:rPr>
              <w:t>Computing Resources</w:t>
            </w:r>
          </w:p>
        </w:tc>
        <w:tc>
          <w:tcPr>
            <w:tcW w:type="dxa" w:w="3312"/>
            <w:vAlign w:val="center"/>
          </w:tcPr>
          <w:p>
            <w:r>
              <w:rPr>
                <w:sz w:val="19"/>
              </w:rPr>
              <w:t>Computer / system capable of running the development environment</w:t>
            </w:r>
          </w:p>
        </w:tc>
      </w:tr>
      <w:tr>
        <w:tc>
          <w:tcPr>
            <w:tcW w:type="dxa" w:w="3312"/>
            <w:vAlign w:val="center"/>
          </w:tcPr>
          <w:p>
            <w:r>
              <w:rPr>
                <w:sz w:val="19"/>
              </w:rPr>
              <w:t>Hardware</w:t>
            </w:r>
          </w:p>
        </w:tc>
        <w:tc>
          <w:tcPr>
            <w:tcW w:type="dxa" w:w="3312"/>
            <w:vAlign w:val="center"/>
          </w:tcPr>
          <w:p>
            <w:r>
              <w:rPr>
                <w:sz w:val="19"/>
              </w:rPr>
              <w:t>Memory &amp; Storage</w:t>
            </w:r>
          </w:p>
        </w:tc>
        <w:tc>
          <w:tcPr>
            <w:tcW w:type="dxa" w:w="3312"/>
            <w:vAlign w:val="center"/>
          </w:tcPr>
          <w:p>
            <w:r>
              <w:rPr>
                <w:sz w:val="19"/>
              </w:rPr>
              <w:t>Sufficient RAM and storage for development and project data</w:t>
            </w:r>
          </w:p>
        </w:tc>
      </w:tr>
      <w:tr>
        <w:tc>
          <w:tcPr>
            <w:tcW w:type="dxa" w:w="3312"/>
            <w:vAlign w:val="center"/>
          </w:tcPr>
          <w:p>
            <w:r>
              <w:rPr>
                <w:sz w:val="19"/>
              </w:rPr>
              <w:t>Software</w:t>
            </w:r>
          </w:p>
        </w:tc>
        <w:tc>
          <w:tcPr>
            <w:tcW w:type="dxa" w:w="3312"/>
            <w:vAlign w:val="center"/>
          </w:tcPr>
          <w:p>
            <w:r>
              <w:rPr>
                <w:sz w:val="19"/>
              </w:rPr>
              <w:t>Platform</w:t>
            </w:r>
          </w:p>
        </w:tc>
        <w:tc>
          <w:tcPr>
            <w:tcW w:type="dxa" w:w="3312"/>
            <w:vAlign w:val="center"/>
          </w:tcPr>
          <w:p>
            <w:r>
              <w:rPr>
                <w:sz w:val="19"/>
              </w:rPr>
              <w:t>ServiceNow</w:t>
            </w:r>
          </w:p>
        </w:tc>
      </w:tr>
      <w:tr>
        <w:tc>
          <w:tcPr>
            <w:tcW w:type="dxa" w:w="3312"/>
            <w:vAlign w:val="center"/>
          </w:tcPr>
          <w:p>
            <w:r>
              <w:rPr>
                <w:sz w:val="19"/>
              </w:rPr>
              <w:t>Software</w:t>
            </w:r>
          </w:p>
        </w:tc>
        <w:tc>
          <w:tcPr>
            <w:tcW w:type="dxa" w:w="3312"/>
            <w:vAlign w:val="center"/>
          </w:tcPr>
          <w:p>
            <w:r>
              <w:rPr>
                <w:sz w:val="19"/>
              </w:rPr>
              <w:t>Workflow Tool</w:t>
            </w:r>
          </w:p>
        </w:tc>
        <w:tc>
          <w:tcPr>
            <w:tcW w:type="dxa" w:w="3312"/>
            <w:vAlign w:val="center"/>
          </w:tcPr>
          <w:p>
            <w:r>
              <w:rPr>
                <w:sz w:val="19"/>
              </w:rPr>
              <w:t>Flow Designer</w:t>
            </w:r>
          </w:p>
        </w:tc>
      </w:tr>
      <w:tr>
        <w:tc>
          <w:tcPr>
            <w:tcW w:type="dxa" w:w="3312"/>
            <w:vAlign w:val="center"/>
          </w:tcPr>
          <w:p>
            <w:r>
              <w:rPr>
                <w:sz w:val="19"/>
              </w:rPr>
              <w:t>Development</w:t>
            </w:r>
          </w:p>
        </w:tc>
        <w:tc>
          <w:tcPr>
            <w:tcW w:type="dxa" w:w="3312"/>
            <w:vAlign w:val="center"/>
          </w:tcPr>
          <w:p>
            <w:r>
              <w:rPr>
                <w:sz w:val="19"/>
              </w:rPr>
              <w:t>Environment</w:t>
            </w:r>
          </w:p>
        </w:tc>
        <w:tc>
          <w:tcPr>
            <w:tcW w:type="dxa" w:w="3312"/>
            <w:vAlign w:val="center"/>
          </w:tcPr>
          <w:p>
            <w:r>
              <w:rPr>
                <w:sz w:val="19"/>
              </w:rPr>
              <w:t>ServiceNow development / training instance</w:t>
            </w:r>
          </w:p>
        </w:tc>
      </w:tr>
      <w:tr>
        <w:tc>
          <w:tcPr>
            <w:tcW w:type="dxa" w:w="3312"/>
            <w:vAlign w:val="center"/>
          </w:tcPr>
          <w:p>
            <w:r>
              <w:rPr>
                <w:sz w:val="19"/>
              </w:rPr>
              <w:t>Data</w:t>
            </w:r>
          </w:p>
        </w:tc>
        <w:tc>
          <w:tcPr>
            <w:tcW w:type="dxa" w:w="3312"/>
            <w:vAlign w:val="center"/>
          </w:tcPr>
          <w:p>
            <w:r>
              <w:rPr>
                <w:sz w:val="19"/>
              </w:rPr>
              <w:t>Ticket Data</w:t>
            </w:r>
          </w:p>
        </w:tc>
        <w:tc>
          <w:tcPr>
            <w:tcW w:type="dxa" w:w="3312"/>
            <w:vAlign w:val="center"/>
          </w:tcPr>
          <w:p>
            <w:r>
              <w:rPr>
                <w:sz w:val="19"/>
              </w:rPr>
              <w:t>Ticket records and relevant classification fields</w:t>
            </w:r>
          </w:p>
        </w:tc>
      </w:tr>
    </w:tbl>
    <w:p/>
    <w:p>
      <w:pPr>
        <w:jc w:val="center"/>
      </w:pPr>
      <w:r>
        <w:rPr>
          <w:b/>
          <w:i/>
        </w:rPr>
        <w:t>— End of Phase 1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