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0487A" w:rsidRPr="007000AE" w:rsidRDefault="00FF1092" w:rsidP="0060487A">
      <w:pPr>
        <w:spacing w:before="0" w:line="240" w:lineRule="auto" w:after="80"/>
        <w:jc w:val="center"/>
        <w:rPr>
          <w:rFonts w:ascii="Times New Roman" w:hAnsi="Times New Roman" w:cs="Times New Roman"/>
          <w:b/>
          <w:sz w:val="48"/>
          <w:szCs w:val="48"/>
        </w:rPr>
      </w:pPr>
      <w:r/>
      <w:r>
        <w:rPr>
          <w:rFonts w:ascii="Times New Roman" w:hAnsi="Times New Roman"/>
          <w:b/>
          <w:color w:val="000000"/>
          <w:sz w:val="40"/>
        </w:rPr>
        <w:t>IntelliFRA: An AI-Based Platform for Automated Transformer Fault Detection Using Frequency Response Analysis</w:t>
      </w:r>
    </w:p>
    <w:p w:rsidR="0060487A" w:rsidRPr="0060487A" w:rsidRDefault="0060487A" w:rsidP="0060487A">
      <w:pPr>
        <w:spacing w:before="0" w:after="0" w:line="240" w:lineRule="auto"/>
        <w:jc w:val="center"/>
        <w:rPr>
          <w:rFonts w:ascii="Times New Roman" w:hAnsi="Times New Roman" w:cs="Times New Roman"/>
          <w:sz w:val="24"/>
          <w:szCs w:val="24"/>
        </w:rPr>
      </w:pPr>
    </w:p>
    <w:p w:rsidR="0060487A" w:rsidRPr="007000AE" w:rsidRDefault="003F2D59" w:rsidP="005A474D">
      <w:pPr>
        <w:spacing w:after="40" w:line="600" w:lineRule="auto" w:before="40"/>
        <w:jc w:val="center"/>
        <w:rPr>
          <w:rFonts w:ascii="Times New Roman" w:hAnsi="Times New Roman"/>
          <w:sz w:val="24"/>
          <w:szCs w:val="24"/>
          <w:lang w:val="en-GB"/>
        </w:rPr>
      </w:pPr>
      <w:r>
        <w:rPr>
          <w:rFonts w:ascii="Times New Roman" w:hAnsi="Times New Roman"/>
          <w:sz w:val="23"/>
          <w:szCs w:val="24"/>
          <w:lang w:val="en-GB"/>
        </w:rPr>
        <w:t>Harini Panigrahi</w:t>
      </w:r>
      <w:r w:rsidR="009D194E">
        <w:rPr>
          <w:rFonts w:ascii="Times New Roman" w:hAnsi="Times New Roman"/>
          <w:sz w:val="23"/>
          <w:szCs w:val="24"/>
          <w:lang w:val="en-GB"/>
        </w:rPr>
        <w:t>¹</w:t>
      </w:r>
      <w:r>
        <w:rPr>
          <w:rFonts w:ascii="Times New Roman" w:hAnsi="Times New Roman"/>
          <w:sz w:val="23"/>
          <w:szCs w:val="24"/>
          <w:lang w:val="en-GB"/>
        </w:rPr>
      </w:r>
      <w:r w:rsidR="000573BB">
        <w:rPr>
          <w:rFonts w:ascii="Times New Roman" w:hAnsi="Times New Roman"/>
          <w:sz w:val="23"/>
          <w:szCs w:val="24"/>
          <w:vertAlign w:val="superscript"/>
          <w:lang w:val="en-GB"/>
        </w:rPr>
      </w:r>
      <w:r w:rsidR="000573BB" w:rsidRPr="00B6748F">
        <w:rPr>
          <w:rFonts w:ascii="Times New Roman" w:hAnsi="Times New Roman"/>
          <w:noProof/>
          <w:sz w:val="23"/>
          <w:szCs w:val="24"/>
          <w:lang w:val="en-IN" w:eastAsia="en-IN"/>
        </w:rPr>
        <w:drawing>
          <wp:inline distT="0" distB="0" distL="0" distR="0" wp14:anchorId="0F27412E" wp14:editId="6FFC3D5A">
            <wp:extent cx="114300" cy="114300"/>
            <wp:effectExtent l="0" t="0" r="0" b="0"/>
            <wp:docPr id="1" name="Picture 1">
              <a:hlinkClick xmlns:a="http://schemas.openxmlformats.org/drawingml/2006/main" r:id="rId8"/>
            </wp:docPr>
            <wp:cNvGraphicFramePr/>
            <a:graphic xmlns:a="http://schemas.openxmlformats.org/drawingml/2006/main">
              <a:graphicData uri="http://schemas.openxmlformats.org/drawingml/2006/picture">
                <pic:pic xmlns:pic="http://schemas.openxmlformats.org/drawingml/2006/picture">
                  <pic:nvPicPr>
                    <pic:cNvPr id="38" name="Picture 38">
                      <a:hlinkClick r:id="rId9"/>
                    </pic:cNvPr>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r w:rsidR="0096233C">
        <w:rPr>
          <w:rFonts w:ascii="Times New Roman" w:hAnsi="Times New Roman"/>
          <w:sz w:val="23"/>
          <w:szCs w:val="24"/>
          <w:lang w:val="en-GB"/>
        </w:rPr>
        <w:t xml:space="preserve">, </w:t>
      </w:r>
      <w:r>
        <w:rPr>
          <w:rFonts w:ascii="Times New Roman" w:hAnsi="Times New Roman"/>
          <w:sz w:val="23"/>
          <w:szCs w:val="24"/>
          <w:lang w:val="en-GB"/>
        </w:rPr>
        <w:t>Neha Verma¹</w:t>
      </w:r>
      <w:r w:rsidR="004B20D4">
        <w:rPr>
          <w:rFonts w:ascii="Times New Roman" w:hAnsi="Times New Roman"/>
          <w:sz w:val="23"/>
          <w:szCs w:val="24"/>
          <w:lang w:val="en-GB"/>
        </w:rPr>
        <w:t xml:space="preserve">, </w:t>
      </w:r>
      <w:r w:rsidR="009D194E">
        <w:rPr>
          <w:rFonts w:ascii="Times New Roman" w:hAnsi="Times New Roman"/>
          <w:sz w:val="23"/>
          <w:szCs w:val="24"/>
          <w:lang w:val="en-GB"/>
        </w:rPr>
        <w:t>Prapti Bhayde¹</w:t>
      </w:r>
      <w:r>
        <w:rPr>
          <w:rFonts w:ascii="Times New Roman" w:hAnsi="Times New Roman"/>
          <w:sz w:val="23"/>
          <w:szCs w:val="24"/>
          <w:lang w:val="en-GB"/>
        </w:rPr>
        <w:t xml:space="preserve">, </w:t>
      </w:r>
      <w:r w:rsidR="000573BB">
        <w:rPr>
          <w:rFonts w:ascii="Times New Roman" w:hAnsi="Times New Roman"/>
          <w:sz w:val="23"/>
          <w:szCs w:val="24"/>
          <w:vertAlign w:val="superscript"/>
          <w:lang w:val="en-GB"/>
        </w:rPr>
        <w:t>Yooraj Gole¹</w:t>
      </w:r>
      <w:r w:rsidR="000573BB" w:rsidRPr="00B6748F">
        <w:rPr>
          <w:rFonts w:ascii="Times New Roman" w:hAnsi="Times New Roman"/>
          <w:noProof/>
          <w:sz w:val="23"/>
          <w:szCs w:val="24"/>
          <w:lang w:val="en-IN" w:eastAsia="en-IN"/>
        </w:rPr>
        <w:drawing>
          <wp:inline distT="0" distB="0" distL="0" distR="0" wp14:anchorId="0F27412E" wp14:editId="6FFC3D5A">
            <wp:extent cx="114300" cy="114300"/>
            <wp:effectExtent l="0" t="0" r="0" b="0"/>
            <wp:docPr id="2" name="Picture 2">
              <a:hlinkClick xmlns:a="http://schemas.openxmlformats.org/drawingml/2006/main" r:id="rId8"/>
            </wp:docPr>
            <wp:cNvGraphicFramePr/>
            <a:graphic xmlns:a="http://schemas.openxmlformats.org/drawingml/2006/main">
              <a:graphicData uri="http://schemas.openxmlformats.org/drawingml/2006/picture">
                <pic:pic xmlns:pic="http://schemas.openxmlformats.org/drawingml/2006/picture">
                  <pic:nvPicPr>
                    <pic:cNvPr id="38" name="Picture 38">
                      <a:hlinkClick r:id="rId9"/>
                    </pic:cNvPr>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r w:rsidR="007000AE">
        <w:rPr>
          <w:rFonts w:ascii="Times New Roman" w:hAnsi="Times New Roman"/>
          <w:sz w:val="23"/>
          <w:szCs w:val="24"/>
          <w:lang w:val="en-GB"/>
        </w:rPr>
        <w:t xml:space="preserve">, </w:t>
      </w:r>
      <w:proofErr w:type="spellStart"/>
      <w:r w:rsidR="007000AE">
        <w:rPr>
          <w:rFonts w:ascii="Times New Roman" w:hAnsi="Times New Roman"/>
          <w:sz w:val="23"/>
          <w:szCs w:val="24"/>
          <w:lang w:val="en-GB"/>
        </w:rPr>
        <w:t>Bhanu Tekwani¹</w:t>
      </w:r>
      <w:proofErr w:type="spellEnd"/>
      <w:r w:rsidR="007000AE">
        <w:rPr>
          <w:rFonts w:ascii="Times New Roman" w:hAnsi="Times New Roman"/>
          <w:sz w:val="23"/>
          <w:szCs w:val="24"/>
          <w:lang w:val="en-GB"/>
        </w:rPr>
      </w:r>
      <w:r w:rsidR="00FF1092">
        <w:rPr>
          <w:rFonts w:ascii="Times New Roman" w:hAnsi="Times New Roman"/>
          <w:sz w:val="23"/>
          <w:szCs w:val="24"/>
          <w:lang w:val="en-GB"/>
        </w:rPr>
      </w:r>
    </w:p>
    <w:tbl>
      <w:tblPr>
        <w:tblStyle w:val="TableGrid"/>
        <w:tblW w:w="0" w:type="auto"/>
        <w:tblLook w:val="04A0" w:firstRow="1" w:lastRow="0" w:firstColumn="1" w:lastColumn="0" w:noHBand="0" w:noVBand="1"/>
      </w:tblPr>
      <w:tblGrid>
        <w:gridCol w:w="10296"/>
      </w:tblGrid>
      <w:tr w:rsidR="007000AE" w:rsidTr="005A474D">
        <w:tc>
          <w:tcPr>
            <w:tcW w:w="10296" w:type="dxa"/>
            <w:shd w:val="clear" w:color="auto" w:fill="DAEEF3" w:themeFill="accent5" w:themeFillTint="33"/>
          </w:tcPr>
          <w:p w:rsidR="00FA2399" w:rsidRPr="00B313DF" w:rsidRDefault="00D85BDD" w:rsidP="00703F2A">
            <w:pPr>
              <w:spacing w:line="235" w:lineRule="auto" w:before="40" w:after="40"/>
              <w:jc w:val="both"/>
              <w:rPr>
                <w:rFonts w:ascii="Palatino Linotype" w:hAnsi="Palatino Linotype"/>
                <w:sz w:val="20"/>
                <w:szCs w:val="24"/>
                <w:lang w:val="en-GB"/>
              </w:rPr>
            </w:pPr>
            <w:r/>
            <w:r>
              <w:rPr>
                <w:rFonts w:ascii="Palatino Linotype" w:hAnsi="Palatino Linotype"/>
                <w:b/>
                <w:sz w:val="19"/>
              </w:rPr>
              <w:t xml:space="preserve">Abstract: </w:t>
            </w:r>
            <w:r>
              <w:rPr>
                <w:rFonts w:ascii="Palatino Linotype" w:hAnsi="Palatino Linotype"/>
                <w:sz w:val="19"/>
              </w:rPr>
              <w:t>Power transformers are among the most critical assets in electrical grids and Sweep Frequency Response Analysis (SFRA) is a widely used, non-destructive method for assessing their internal mechanical condition. This paper presents the implemented version of IntelliFRA, an open-source, full-stack web platform for automated SFRA interpretation. Engineers upload a magnitude-only CSV or TXT sweep (minimum 50 points, padded or truncated to 500), which is analyzed using a hybrid inference pipeline. A one-dimensional Convolutional Neural Network (1D-CNN) performs four-class severity classification (Normal, Minor Deviation, Moderate Fault, High Fault Risk), while a fully connected Autoencoder, trained only on healthy curves, generates a reconstruction-error anomaly score. A deterministic, shape-aware override layer refines borderline predictions using curve smoothness, monotonicity, and peak count, while a rule-based FFT fallback provides an interpretable alternative when the learned models are unavailable. The models are trained on a 50,000-sample synthetic dataset generated from a physics-inspired ladder-winding model spanning six literature-based fault archetypes (NF, DLF, LCF, RDF, IDF, SCF), mapped onto four severity classes. On a 10,000-sample validation set, the CNN achieves 94.41% accuracy (weighted F1 = 0.9443), while the autoencoder achieves 98.47% Normal-vs-Fault detection accuracy with 100% fault recall.</w:t>
            </w:r>
          </w:p>
          <w:p>
            <w:pPr>
              <w:spacing w:line="235" w:lineRule="auto" w:before="40" w:after="40"/>
              <w:jc w:val="both"/>
            </w:pPr>
            <w:r>
              <w:rPr>
                <w:rFonts w:ascii="Palatino Linotype" w:hAnsi="Palatino Linotype"/>
                <w:b/>
                <w:sz w:val="19"/>
              </w:rPr>
              <w:t xml:space="preserve">Keywords: </w:t>
            </w:r>
            <w:r>
              <w:rPr>
                <w:rFonts w:ascii="Palatino Linotype" w:hAnsi="Palatino Linotype"/>
                <w:sz w:val="19"/>
              </w:rPr>
              <w:t>Sweep frequency response analysis, Transformer fault detection, 1D-CNN, Autoencoder, Anomaly detection.</w:t>
            </w:r>
          </w:p>
        </w:tc>
      </w:tr>
    </w:tbl>
    <w:p w:rsidR="00FB0A6D" w:rsidRDefault="00FB0A6D" w:rsidP="00FB0A6D">
      <w:pPr>
        <w:pStyle w:val="ListParagraph"/>
        <w:spacing w:before="20" w:after="40"/>
        <w:ind w:left="0"/>
        <w:jc w:val="center"/>
        <w:rPr>
          <w:rFonts w:ascii="Times New Roman" w:hAnsi="Times New Roman" w:cs="Times New Roman"/>
          <w:b/>
          <w:sz w:val="20"/>
          <w:szCs w:val="20"/>
        </w:rPr>
      </w:pPr>
      <w:r/>
      <w:r>
        <w:rPr>
          <w:rFonts w:ascii="Palatino Linotype" w:hAnsi="Palatino Linotype"/>
          <w:sz w:val="19"/>
        </w:rPr>
        <w:t>¹Department of Information Technology, Vidyalankar Institute of Technology, Mumbai 400037, Maharashtra, India</w:t>
      </w:r>
    </w:p>
    <w:p w:rsidR="00FB0A6D" w:rsidRDefault="00FB0A6D" w:rsidP="00FB0A6D">
      <w:pPr>
        <w:pStyle w:val="ListParagraph"/>
        <w:spacing w:before="0" w:after="0"/>
        <w:ind w:left="360"/>
        <w:rPr>
          <w:rFonts w:ascii="Times New Roman" w:hAnsi="Times New Roman" w:cs="Times New Roman"/>
          <w:b/>
          <w:sz w:val="20"/>
          <w:szCs w:val="20"/>
        </w:rPr>
        <w:sectPr w:rsidR="00FB0A6D" w:rsidSect="005A474D">
          <w:headerReference w:type="default" r:id="rId11"/>
          <w:pgSz w:w="12240" w:h="15840"/>
          <w:pgMar w:top="1080" w:right="1080" w:bottom="1080" w:left="1080" w:header="540" w:footer="720" w:gutter="0"/>
          <w:cols w:space="720"/>
          <w:docGrid w:linePitch="360"/>
        </w:sectPr>
      </w:pPr>
      <w:r/>
    </w:p>
    <w:p w:rsidR="005467C7" w:rsidRPr="009D24DC" w:rsidRDefault="00FA2399" w:rsidP="002A5870">
      <w:pPr>
        <w:pStyle w:val="ListParagraph"/>
        <w:numPr>
          <w:ilvl w:val="0"/>
          <w:numId w:val="1"/>
        </w:numPr>
        <w:spacing w:before="80" w:after="40"/>
        <w:ind w:left="360"/>
        <w:rPr>
          <w:rFonts w:ascii="Palatino Linotype" w:hAnsi="Palatino Linotype" w:cs="Times New Roman"/>
          <w:b/>
          <w:sz w:val="20"/>
          <w:szCs w:val="20"/>
        </w:rPr>
      </w:pPr>
      <w:r/>
      <w:r>
        <w:rPr>
          <w:rFonts w:ascii="Palatino Linotype" w:hAnsi="Palatino Linotype"/>
          <w:b/>
          <w:sz w:val="20"/>
        </w:rPr>
        <w:t>Introduction</w:t>
      </w:r>
    </w:p>
    <w:p w:rsidR="00E257B1" w:rsidRDefault="00D63FD8" w:rsidP="00703F2A">
      <w:pPr>
        <w:pBdr>
          <w:top w:val="nil"/>
          <w:left w:val="nil"/>
          <w:bottom w:val="nil"/>
          <w:right w:val="nil"/>
          <w:between w:val="nil"/>
        </w:pBdr>
        <w:spacing w:line="235" w:lineRule="auto" w:before="0" w:after="40"/>
        <w:ind w:firstLine="360"/>
        <w:jc w:val="both"/>
        <w:rPr>
          <w:rFonts w:ascii="Palatino Linotype" w:hAnsi="Palatino Linotype" w:cs="Times New Roman"/>
          <w:sz w:val="20"/>
          <w:szCs w:val="20"/>
        </w:rPr>
      </w:pPr>
      <w:r/>
      <w:r>
        <w:rPr>
          <w:rFonts w:ascii="Palatino Linotype" w:hAnsi="Palatino Linotype"/>
          <w:sz w:val="19"/>
        </w:rPr>
        <w:t>Power transformers sit at the heart of transmission and distribution networks, and losing even one of them is rarely a minor event. An outage can leave a neighbourhood without power for days, and the utility is left footing the bill for repair or replacement on top of the lost revenue. Among the non-destructive tests available for catching trouble early, Sweep Frequency Response Analysis (SFRA) has proven especially good at picking up winding deformation, core displacement, and clamping looseness before they become catastrophic [1, 11]. Even so, most SFRA signatures are still read by eye, with an analyst comparing a fresh trace against a stored reference using indices such as the Correlation Coefficient (CC) and the absolute value of the natural logarithm of ASLE [1]; core magnetization effects can further complicate that comparison if left unaccounted for [5].</w:t>
        <w:br/>
        <w:br/>
        <w:t>IntelliFRA was developed to automate that critical first pass of diagnostic interpretation. An engineer uploads a magnitude-only CSV or TXT sweep through a React web interface, and the system returns a four-level severity classification, a class-probability breakdown, a confidence percentage, an anomaly score, and a concise plain-English diagnostic explanation, all stored in a persisted, user-scoped filterable history. This paper presents the complete end-to-end architecture of the platform, details the exact mathematical formulations used at both training and inference time, describes the 50,000-sample physics-inspired synthetic training corpus, and reports comprehensive validation, 5-fold cross-validation baseline comparisons, component ablation, out-of-distribution (OOD) stress tests, and CPU latency benchmarks derived directly from the trained model artefacts.</w:t>
      </w:r>
    </w:p>
    <w:p w:rsidR="000573BB" w:rsidRPr="00B6748F" w:rsidRDefault="000573BB" w:rsidP="000573BB">
      <w:pPr>
        <w:pBdr>
          <w:top w:val="single" w:sz="4" w:space="1" w:color="000000"/>
        </w:pBdr>
        <w:shd w:val="clear" w:color="auto" w:fill="D9D9D9"/>
        <w:spacing w:after="20" w:line="228" w:lineRule="auto" w:before="20"/>
        <w:jc w:val="both"/>
        <w:rPr>
          <w:rFonts w:ascii="Palatino Linotype" w:eastAsia="Palatino Linotype" w:hAnsi="Palatino Linotype" w:cs="Palatino Linotype"/>
          <w:b/>
          <w:color w:val="000000"/>
          <w:sz w:val="20"/>
          <w:szCs w:val="20"/>
        </w:rPr>
      </w:pPr>
      <w:r>
        <w:rPr>
          <w:rFonts w:ascii="Palatino Linotype" w:hAnsi="Palatino Linotype"/>
          <w:b/>
          <w:sz w:val="18"/>
        </w:rPr>
        <w:t>History</w:t>
      </w:r>
    </w:p>
    <w:p w:rsidR="000573BB" w:rsidRPr="00B6748F" w:rsidRDefault="000573BB" w:rsidP="000573BB">
      <w:pPr>
        <w:pBdr>
          <w:top w:val="single" w:sz="4" w:space="1" w:color="000000"/>
        </w:pBdr>
        <w:shd w:val="clear" w:color="auto" w:fill="D9D9D9"/>
        <w:spacing w:after="20" w:line="228" w:lineRule="auto" w:before="20"/>
        <w:jc w:val="both"/>
        <w:rPr>
          <w:rFonts w:ascii="Palatino Linotype" w:eastAsia="Palatino Linotype" w:hAnsi="Palatino Linotype" w:cs="Palatino Linotype"/>
          <w:color w:val="000000"/>
          <w:sz w:val="20"/>
          <w:szCs w:val="20"/>
        </w:rPr>
      </w:pPr>
      <w:r>
        <w:rPr>
          <w:rFonts w:ascii="Palatino Linotype" w:hAnsi="Palatino Linotype"/>
          <w:sz w:val="18"/>
        </w:rPr>
        <w:t>Received: 01-03-2025;</w:t>
        <w:tab/>
        <w:tab/>
        <w:t>Revised: 15-05-2025;</w:t>
      </w:r>
    </w:p>
    <w:p w:rsidR="000573BB" w:rsidRPr="00B6748F" w:rsidRDefault="000573BB" w:rsidP="000573BB">
      <w:pPr>
        <w:pBdr>
          <w:top w:val="single" w:sz="4" w:space="1" w:color="000000"/>
        </w:pBdr>
        <w:shd w:val="clear" w:color="auto" w:fill="D9D9D9"/>
        <w:spacing w:after="20" w:line="228" w:lineRule="auto" w:before="20"/>
        <w:jc w:val="both"/>
        <w:rPr>
          <w:rFonts w:ascii="Palatino Linotype" w:eastAsia="Palatino Linotype" w:hAnsi="Palatino Linotype" w:cs="Palatino Linotype"/>
          <w:color w:val="000000"/>
          <w:sz w:val="20"/>
          <w:szCs w:val="20"/>
        </w:rPr>
      </w:pPr>
      <w:r>
        <w:rPr>
          <w:rFonts w:ascii="Palatino Linotype" w:hAnsi="Palatino Linotype"/>
          <w:sz w:val="18"/>
        </w:rPr>
        <w:t>Accepted: 30-05-2025</w:t>
        <w:tab/>
        <w:tab/>
      </w:r>
    </w:p>
    <w:p w:rsidR="000573BB" w:rsidRPr="00B6748F" w:rsidRDefault="000573BB" w:rsidP="000573BB">
      <w:pPr>
        <w:pBdr>
          <w:top w:val="single" w:sz="4" w:space="1" w:color="000000"/>
        </w:pBdr>
        <w:shd w:val="clear" w:color="auto" w:fill="F2F2F2"/>
        <w:spacing w:before="20" w:after="20" w:line="228" w:lineRule="auto"/>
        <w:jc w:val="both"/>
        <w:rPr>
          <w:rFonts w:ascii="Times New Roman" w:hAnsi="Times New Roman" w:cs="Times New Roman"/>
          <w:sz w:val="20"/>
          <w:szCs w:val="24"/>
        </w:rPr>
      </w:pPr>
      <w:r>
        <w:rPr>
          <w:rFonts w:ascii="Palatino Linotype" w:hAnsi="Palatino Linotype"/>
          <w:b/>
          <w:noProof/>
          <w:sz w:val="18"/>
          <w:lang w:val="en-IN" w:eastAsia="en-IN"/>
        </w:rPr>
        <w:drawing>
          <wp:inline distT="0" distB="0" distL="0" distR="0">
            <wp:extent cx="200025" cy="1047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0025" cy="104775"/>
                    </a:xfrm>
                    <a:prstGeom prst="rect">
                      <a:avLst/>
                    </a:prstGeom>
                    <a:noFill/>
                    <a:ln>
                      <a:noFill/>
                    </a:ln>
                  </pic:spPr>
                </pic:pic>
              </a:graphicData>
            </a:graphic>
          </wp:inline>
        </w:drawing>
      </w:r>
      <w:r w:rsidRPr="00B6748F">
        <w:rPr>
          <w:rFonts w:ascii="Palatino Linotype" w:hAnsi="Palatino Linotype"/>
          <w:b/>
          <w:sz w:val="18"/>
        </w:rPr>
        <w:tab/>
      </w:r>
      <w:r w:rsidRPr="00BD3816">
        <w:rPr>
          <w:rFonts w:ascii="Palatino Linotype" w:hAnsi="Palatino Linotype" w:cs="Times New Roman"/>
          <w:b/>
          <w:sz w:val="18"/>
          <w:szCs w:val="24"/>
        </w:rPr>
        <w:t xml:space="preserve">Bhanu </w:t>
      </w:r>
      <w:proofErr w:type="spellStart"/>
      <w:r w:rsidRPr="00BD3816">
        <w:rPr>
          <w:rFonts w:ascii="Palatino Linotype" w:hAnsi="Palatino Linotype" w:cs="Times New Roman"/>
          <w:b/>
          <w:sz w:val="18"/>
          <w:szCs w:val="24"/>
        </w:rPr>
        <w:t>Tekwani</w:t>
      </w:r>
      <w:proofErr w:type="spellEnd"/>
    </w:p>
    <w:p w:rsidR="000573BB" w:rsidRPr="00496567" w:rsidRDefault="001D1909" w:rsidP="00496567">
      <w:pPr>
        <w:pBdr>
          <w:top w:val="single" w:sz="4" w:space="1" w:color="000000"/>
        </w:pBdr>
        <w:shd w:val="clear" w:color="auto" w:fill="F2F2F2"/>
        <w:spacing w:after="20" w:line="228" w:lineRule="auto" w:before="20"/>
        <w:ind w:firstLine="720"/>
        <w:jc w:val="both"/>
        <w:rPr>
          <w:rFonts w:ascii="Palatino Linotype" w:eastAsia="Palatino Linotype" w:hAnsi="Palatino Linotype" w:cs="Palatino Linotype"/>
          <w:color w:val="000000"/>
          <w:sz w:val="20"/>
          <w:szCs w:val="20"/>
          <w:vertAlign w:val="superscript"/>
        </w:rPr>
      </w:pPr>
      <w:r>
        <w:rPr>
          <w:rFonts w:ascii="Palatino Linotype" w:hAnsi="Palatino Linotype"/>
          <w:sz w:val="18"/>
        </w:rPr>
        <w:t>bhanu.tekwani@vit.edu.in</w:t>
      </w:r>
    </w:p>
    <w:p w:rsidR="000573BB" w:rsidRPr="00B6748F" w:rsidRDefault="000573BB" w:rsidP="000573BB">
      <w:pPr>
        <w:pBdr>
          <w:top w:val="single" w:sz="4" w:space="1" w:color="000000"/>
        </w:pBdr>
        <w:shd w:val="clear" w:color="auto" w:fill="F2F2F2"/>
        <w:spacing w:before="20" w:after="20" w:line="228" w:lineRule="auto"/>
        <w:jc w:val="both"/>
        <w:rPr>
          <w:rFonts w:ascii="Palatino Linotype" w:hAnsi="Palatino Linotype" w:cs="Times New Roman"/>
          <w:sz w:val="20"/>
          <w:szCs w:val="24"/>
        </w:rPr>
      </w:pPr>
      <w:r>
        <w:rPr>
          <w:rFonts w:ascii="Palatino Linotype" w:hAnsi="Palatino Linotype"/>
          <w:sz w:val="18"/>
        </w:rPr>
        <w:t>¹Department of Information Technology, Vidyalankar Institute of Technology, Mumbai – 400037, India</w:t>
      </w:r>
    </w:p>
    <w:p w:rsidR="005A474D" w:rsidRPr="009D24DC" w:rsidRDefault="00B313DF" w:rsidP="00703F2A">
      <w:pPr>
        <w:pBdr>
          <w:top w:val="nil"/>
          <w:left w:val="nil"/>
          <w:bottom w:val="nil"/>
          <w:right w:val="nil"/>
          <w:between w:val="nil"/>
        </w:pBdr>
        <w:spacing w:before="0" w:line="235" w:lineRule="auto" w:after="40"/>
        <w:ind w:firstLine="360"/>
        <w:jc w:val="both"/>
        <w:rPr>
          <w:rFonts w:ascii="Palatino Linotype" w:hAnsi="Palatino Linotype" w:cs="Times New Roman"/>
          <w:sz w:val="20"/>
          <w:szCs w:val="20"/>
        </w:rPr>
      </w:pPr>
      <w:r/>
      <w:r>
        <w:rPr>
          <w:rFonts w:ascii="Palatino Linotype" w:hAnsi="Palatino Linotype"/>
          <w:sz w:val="19"/>
        </w:rPr>
        <w:t>The cost of a transformer failure goes well beyond the price of the equipment itself. A single transmission-class unit can take twelve months or longer to procure, so a sudden outage in a key grid section can cascade into extensive disruption for hospitals, industry, and residential customers alike. That is why utilities worldwide run condition-monitoring programs, and SFRA is one of the more informative tools available to them [12]. Its value lies in sensitivity: deformations of only a few millimeters, or dielectric changes too small for an ordinary insulation-resistance test to catch, still leave a clear mark on the swept frequency response [13]. Even so, SFRA has never quite settled into routine maintenance work, largely because interpretation remains the bottleneck. Running the sweep takes nothing more than a test instrument; turning the resulting magnitude plot into a reliable severity call takes an engineer who already knows the transformer's baseline signature and recognizes what specific defects look like on paper.</w:t>
        <w:br/>
        <w:br/>
        <w:t>Few field technicians have that kind of pattern-recognition experience, and few utilities can spare a senior engineer's time to review every sweep collected during a scheduled outage. The result is a widening gap between how fast SFRA data can be collected and how fast it can actually be read: a modern test set produces a sweep file in minutes, but that file often sits untouched, or gets mailed off for outside review, adding days to a decision loop that could otherwise close in moments. Automating the first pass closes that gap — a technician's sweep gets examined by software and comes back as a structured risk assessment, with the high-risk cases flagged for expert attention while everything else is cleared without requiring any on-site signal-analysis skill. Despite how clear the need is, no publicly documented, end-to-end automated SFRA system combining a modern deep-learning approach with an authenticated web interface appears to have been reported before this project.</w:t>
      </w:r>
    </w:p>
    <w:p>
      <w:pPr>
        <w:pStyle w:val="ListParagraph"/>
        <w:numPr>
          <w:ilvl w:val="0"/>
          <w:numId w:val="1"/>
        </w:numPr>
        <w:spacing w:before="120" w:after="40" w:line="240" w:lineRule="auto"/>
      </w:pPr>
      <w:r>
        <w:rPr>
          <w:rFonts w:ascii="Palatino Linotype" w:hAnsi="Palatino Linotype"/>
          <w:b/>
          <w:sz w:val="20"/>
        </w:rPr>
        <w:t>Related Work</w:t>
      </w:r>
    </w:p>
    <w:p>
      <w:pPr>
        <w:spacing w:line="235" w:lineRule="auto" w:before="0" w:after="40"/>
        <w:jc w:val="both"/>
      </w:pPr>
      <w:r>
        <w:rPr>
          <w:rFonts w:ascii="Palatino Linotype" w:hAnsi="Palatino Linotype"/>
          <w:sz w:val="19"/>
        </w:rPr>
        <w:t>IEC 60076-18 [2] lays out how the SFRA measurement itself should be performed, but it deliberately stops short of telling the analyst how to read the result. Early computational work filled that gap with statistical indices in place of visual inspection: Shintemirov et al. [3] showed the Correlation Coefficient tracks winding deformation well across a broad frequency range, Secue and Mombello [11] extended similar reasoning to winding displacement and deformation more generally, and Tahir and Tenbohlen [4] found that high-frequency modelling picks up anomalies tied to winding faults. Bagheri et al. [12] and Behjat et al. [13] add further experimental support for using frequency response and short-circuit impedance measurements this way. None of these approaches, however, offers a direct route to automated multi-class severity diagnosis — they all still depend on a human setting the thresholds.</w:t>
      </w:r>
    </w:p>
    <w:p>
      <w:pPr>
        <w:spacing w:line="235" w:lineRule="auto" w:before="0" w:after="40"/>
        <w:jc w:val="both"/>
      </w:pPr>
      <w:r>
        <w:rPr>
          <w:rFonts w:ascii="Palatino Linotype" w:hAnsi="Palatino Linotype"/>
          <w:sz w:val="19"/>
        </w:rPr>
        <w:t>Machine-learning approaches only really entered the picture in the mid-2010s, when Support Vector Machines and feed-forward Artificial Neural Networks started being applied to hand-crafted feature vectors pulled from SFRA curves. Ince, Kiranyaz et al. [15] were among the first to show that a 1D Convolutional Neural Network applied directly to a raw signal sequence could outperform these hand-engineered pipelines, since convolutional filters learn the relevant spectral patterns on their own rather than needing them specified in advance — that finding is essentially the reasoning behind IntelliFRA's CNN branch. Zhang et al. [6] later confirmed the same pattern specifically for FRA-based transformer diagnosis. On the anomaly-detection side, where labelled fault examples are scarce but healthy baselines are easy to come by, Sakurada and Yairi [16] and Chandola et al. [7] both make the case that reconstruction-error methods such as autoencoders pair well with a supervised classifier for exactly this reason.</w:t>
      </w:r>
    </w:p>
    <w:p>
      <w:pPr>
        <w:spacing w:line="235" w:lineRule="auto" w:before="0" w:after="40"/>
        <w:jc w:val="both"/>
      </w:pPr>
      <w:r>
        <w:rPr>
          <w:rFonts w:ascii="Palatino Linotype" w:hAnsi="Palatino Linotype"/>
          <w:sz w:val="19"/>
        </w:rPr>
        <w:t>Because field-recorded, labelled fault examples remain hard to obtain, several groups have turned instead to physics-based simulation of training data. The most common route is lumped-parameter ladder modelling of the transformer winding — Zhang, Wang, Yuan, and Tao [14] describe a double-ladder circuit model of this kind that reproduces winding, distributed-capacitance, and dielectric behaviour without needing the proprietary design schematics a finite-element approach would require. The trade-off is accuracy: ladder modelling captures the qualitative shape of a winding fault's frequency response, but not the finer detail present in field recordings, which is precisely why field validation is flagged as future work in Section 9.</w:t>
      </w:r>
    </w:p>
    <w:p>
      <w:pPr>
        <w:spacing w:line="235" w:lineRule="auto" w:before="0" w:after="40"/>
        <w:jc w:val="both"/>
      </w:pPr>
      <w:r>
        <w:rPr>
          <w:rFonts w:ascii="Palatino Linotype" w:hAnsi="Palatino Linotype"/>
          <w:sz w:val="19"/>
        </w:rPr>
        <w:t>A structural gap keeps showing up across this literature. Either a classifier's performance gets demonstrated on a small, private field dataset nobody else can reproduce, or the classifier itself gets shown off without any accompanying deployment. Feature engineering is just as widespread a habit — most published pipelines still extract features such as correlation coefficients, peak counts, or energy ratios by hand before classification, which bakes human domain knowledge into the pre-processing step and makes it hard to compare results across studies. End-to-end learning straight from raw magnitude sequences, of the sort Zhang et al. [6] perform, sidesteps that fragility, but it has not previously been paired with an anomaly-detection branch, a deterministic shape override, and an authenticated web platform inside one system. Phillip, Singh, and Ramlal [10] evaluate deep networks on narrow SFRA sub-bands and talk candidly about how hard it still is to assemble a large labelled corpus; their fault taxonomy, together with the broader ladder/lumped-circuit SFRA literature, directly shaped IntelliFRA's synthetic data generator (Section 5). As far as the authors can tell, no other openly published system brings together CSV/TXT ingestion, CNN classification, autoencoder anomaly scoring, a deterministic shape-override and rule/FFT fallback layer, a full authenticated web frontend, and persistent result storage inside one deployable, open-source codebase.</w:t>
      </w:r>
    </w:p>
    <w:p>
      <w:pPr>
        <w:pStyle w:val="ListParagraph"/>
        <w:numPr>
          <w:ilvl w:val="0"/>
          <w:numId w:val="1"/>
        </w:numPr>
        <w:spacing w:before="120" w:after="40" w:line="240" w:lineRule="auto"/>
      </w:pPr>
      <w:r>
        <w:rPr>
          <w:rFonts w:ascii="Palatino Linotype" w:hAnsi="Palatino Linotype"/>
          <w:b/>
          <w:sz w:val="20"/>
        </w:rPr>
        <w:t>System Architecture</w:t>
      </w:r>
    </w:p>
    <w:p>
      <w:pPr>
        <w:spacing w:line="235" w:lineRule="auto" w:before="0" w:after="40"/>
        <w:jc w:val="both"/>
      </w:pPr>
      <w:r>
        <w:rPr>
          <w:rFonts w:ascii="Palatino Linotype" w:hAnsi="Palatino Linotype"/>
          <w:sz w:val="19"/>
        </w:rPr>
        <w:t>IntelliFRA is built as a five-layer pipeline: (1) data ingestion and validation, (2) preprocessing and normalization, (3) hybrid AI inference with a deterministic fallback, (4) result persistence, and (5) frontend presentation. The layers communicate through a RESTful API implemented in FastAPI. Fig. 1 shows the implemented system architecture as documented in the project repository. The five-layer pipeline reflects a clear separation of concerns appropriate to a safety-relevant diagnostic system: the ingestion and validation layers are kept separate so that formatting problems — an invalid CSV header, non-numeric cell values, fewer than 50 samples per file — are caught before any input reaches the inference engine. A corrupt or misrouted file returns a clear HTTP 400 status rather than silently producing a misclassification that could mislead a maintenance decision. The preprocessing layer is isolated the same way: applying the same z-score normalization at training and inference time keeps the two in sync, so there's no train/inference feature skew to worry about.</w:t>
      </w:r>
    </w:p>
    <w:p>
      <w:pPr>
        <w:spacing w:before="40" w:after="20"/>
        <w:jc w:val="center"/>
      </w:pPr>
      <w:r>
        <w:drawing>
          <wp:inline xmlns:a="http://schemas.openxmlformats.org/drawingml/2006/main" xmlns:pic="http://schemas.openxmlformats.org/drawingml/2006/picture">
            <wp:extent cx="1874519" cy="1810004"/>
            <wp:docPr id="398200266" name="Picture 398200266"/>
            <wp:cNvGraphicFramePr>
              <a:graphicFrameLocks noChangeAspect="1"/>
            </wp:cNvGraphicFramePr>
            <a:graphic>
              <a:graphicData uri="http://schemas.openxmlformats.org/drawingml/2006/picture">
                <pic:pic>
                  <pic:nvPicPr>
                    <pic:cNvPr id="0" name="image1.png"/>
                    <pic:cNvPicPr/>
                  </pic:nvPicPr>
                  <pic:blipFill>
                    <a:blip r:embed="rId27"/>
                    <a:stretch>
                      <a:fillRect/>
                    </a:stretch>
                  </pic:blipFill>
                  <pic:spPr>
                    <a:xfrm>
                      <a:off x="0" y="0"/>
                      <a:ext cx="1874519" cy="1810004"/>
                    </a:xfrm>
                    <a:prstGeom prst="rect"/>
                  </pic:spPr>
                </pic:pic>
              </a:graphicData>
            </a:graphic>
          </wp:inline>
        </w:drawing>
      </w:r>
    </w:p>
    <w:p>
      <w:pPr>
        <w:spacing w:line="240" w:lineRule="auto" w:before="60" w:after="40"/>
        <w:jc w:val="center"/>
      </w:pPr>
      <w:r>
        <w:rPr>
          <w:rFonts w:ascii="Palatino Linotype" w:hAnsi="Palatino Linotype"/>
          <w:b/>
          <w:sz w:val="17"/>
        </w:rPr>
        <w:t xml:space="preserve">Fig. 1: </w:t>
      </w:r>
      <w:r>
        <w:rPr>
          <w:rFonts w:ascii="Palatino Linotype" w:hAnsi="Palatino Linotype"/>
          <w:sz w:val="17"/>
        </w:rPr>
        <w:t>IntelliFRA System Architecture</w:t>
      </w:r>
    </w:p>
    <w:p>
      <w:pPr>
        <w:spacing w:line="240" w:lineRule="auto" w:before="80" w:after="30"/>
        <w:jc w:val="left"/>
      </w:pPr>
      <w:r>
        <w:rPr>
          <w:rFonts w:ascii="Palatino Linotype" w:hAnsi="Palatino Linotype"/>
          <w:b/>
          <w:sz w:val="19"/>
        </w:rPr>
        <w:t>3.1  Data ingestion and validation</w:t>
      </w:r>
    </w:p>
    <w:p>
      <w:pPr>
        <w:spacing w:line="235" w:lineRule="auto" w:before="0" w:after="40"/>
        <w:jc w:val="both"/>
      </w:pPr>
      <w:r>
        <w:rPr>
          <w:rFonts w:ascii="Palatino Linotype" w:hAnsi="Palatino Linotype"/>
          <w:sz w:val="19"/>
        </w:rPr>
        <w:t>The POST /fra/upload endpoint accepts only CSV and TXT files; anything else gets an HTTP 400. CSV files are parsed with csv.DictReader to pull out just the magnitude column, while TXT files are read as one numeric value per line or cell. Parsing is limited to 2,000 raw values, and uploads must contain at least 50 valid numeric samples. Accepted data is truncated to the first 500 points before inference.</w:t>
      </w:r>
    </w:p>
    <w:p>
      <w:pPr>
        <w:spacing w:line="240" w:lineRule="auto" w:before="80" w:after="30"/>
        <w:jc w:val="left"/>
      </w:pPr>
      <w:r>
        <w:rPr>
          <w:rFonts w:ascii="Palatino Linotype" w:hAnsi="Palatino Linotype"/>
          <w:b/>
          <w:sz w:val="19"/>
        </w:rPr>
        <w:t>3.2  Preprocessing and normalization</w:t>
      </w:r>
    </w:p>
    <w:p>
      <w:pPr>
        <w:spacing w:line="235" w:lineRule="auto" w:before="0" w:after="40"/>
        <w:jc w:val="both"/>
      </w:pPr>
      <w:r>
        <w:rPr>
          <w:rFonts w:ascii="Palatino Linotype" w:hAnsi="Palatino Linotype"/>
          <w:sz w:val="19"/>
        </w:rPr>
        <w:t>Input series shorter than 500 points are padded using edge-value replication (numpy.pad(mode="edge")), repeating the final measured value rather than zero-padding. Each 500-point sequence is then independently normalized using per-sample z-score normalization with a small stability constant (ε = 1 × 10⁻⁶). The same preprocessing is applied during training and inference to ensure consistent model inputs.</w:t>
      </w:r>
    </w:p>
    <w:p>
      <w:pPr>
        <w:spacing w:line="240" w:lineRule="auto" w:before="80" w:after="30"/>
        <w:jc w:val="left"/>
      </w:pPr>
      <w:r>
        <w:rPr>
          <w:rFonts w:ascii="Palatino Linotype" w:hAnsi="Palatino Linotype"/>
          <w:b/>
          <w:sz w:val="19"/>
        </w:rPr>
        <w:t>3.3  Hybrid AI inference</w:t>
      </w:r>
    </w:p>
    <w:p>
      <w:pPr>
        <w:spacing w:line="235" w:lineRule="auto" w:before="0" w:after="40"/>
        <w:jc w:val="both"/>
      </w:pPr>
      <w:r>
        <w:rPr>
          <w:rFonts w:ascii="Palatino Linotype" w:hAnsi="Palatino Linotype"/>
          <w:sz w:val="19"/>
        </w:rPr>
        <w:t>The inference pipeline combines two learned models with a deterministic shape-based override, while a rule-based FFT classifier serves as a fallback if the trained models are unavailable. Neither learned component is enough on its own for reliable practical use. A supervised classifier alone gives no indication of whether an input actually lies outside the training distribution — an engineer uploading a scan from a transformer design or measurement scheme unlike anything in the synthetic training set will still get back an unambiguous class label, and that label could simply be wrong without any signal that the distribution has shifted. This is where the autoencoder earns its place. It produces a distribution-sensitive signal: anomalous curves get a higher reconstruction error regardless of the class label the CNN assigns, so it catches exactly the cases the classifier is blind to [16]. Taken together, the three outputs — severity class, class-probability scores, and anomaly score — let the results page tell the difference between “assigned Normal class and falls inside the training distribution” and “assigned Normal class, but structurally anomalous; check needed.”</w:t>
      </w:r>
    </w:p>
    <w:p>
      <w:pPr>
        <w:spacing w:line="235" w:lineRule="auto" w:before="0" w:after="40"/>
        <w:jc w:val="both"/>
      </w:pPr>
      <w:r>
        <w:rPr>
          <w:rFonts w:ascii="Palatino Linotype" w:hAnsi="Palatino Linotype"/>
          <w:b/>
          <w:sz w:val="19"/>
        </w:rPr>
        <w:t xml:space="preserve">1D-CNN: </w:t>
      </w:r>
      <w:r>
        <w:rPr>
          <w:rFonts w:ascii="Palatino Linotype" w:hAnsi="Palatino Linotype"/>
          <w:sz w:val="19"/>
        </w:rPr>
        <w:t>a three-block convolutional network (Conv1D, ReLU, pooling) — following the standard convolution/activation/pooling motif [8] — followed by a two-layer fully connected classifier with dropout (p = 0.2) [18] containing 140,644 trainable parameters (~0.98 MB memory footprint) predicts one of four severity classes — Normal, Minor Deviation, Moderate Fault, or High Fault Risk. The choice of a 1D convolutional front end over hand-crafted features follows the approach validated by Ince, Kiranyaz et al. [15] for raw sensor-signal classification; the complete architecture is presented in Section 4.</w:t>
      </w:r>
    </w:p>
    <w:p>
      <w:pPr>
        <w:spacing w:line="235" w:lineRule="auto" w:before="0" w:after="40"/>
        <w:jc w:val="both"/>
      </w:pPr>
      <w:r>
        <w:rPr>
          <w:rFonts w:ascii="Palatino Linotype" w:hAnsi="Palatino Linotype"/>
          <w:b/>
          <w:sz w:val="19"/>
        </w:rPr>
        <w:t xml:space="preserve">Autoencoder: </w:t>
      </w:r>
      <w:r>
        <w:rPr>
          <w:rFonts w:ascii="Palatino Linotype" w:hAnsi="Palatino Linotype"/>
          <w:sz w:val="19"/>
        </w:rPr>
        <w:t>the implemented FRAAutoencoder is a symmetric fully connected (dense) encoder–decoder network (500→256→96→32→96→256→500, comprising 312,436 trainable parameters) with ReLU activations and a 32-unit bottleneck. Trained only on Normal samples using reconstruction MSE — following the reconstruction-error paradigm established by Sakurada and Yairi [16] for autoencoder-based anomaly detection — it computes an anomaly score by dividing the reconstruction error by a decision threshold τ, stored in ml_meta.json as the 95th percentile of Normal training reconstruction error.</w:t>
      </w:r>
    </w:p>
    <w:p>
      <w:pPr>
        <w:spacing w:line="235" w:lineRule="auto" w:before="0" w:after="40"/>
        <w:jc w:val="both"/>
      </w:pPr>
      <w:r>
        <w:rPr>
          <w:rFonts w:ascii="Palatino Linotype" w:hAnsi="Palatino Linotype"/>
          <w:b/>
          <w:sz w:val="19"/>
        </w:rPr>
        <w:t xml:space="preserve">Shape-based override: </w:t>
      </w:r>
      <w:r>
        <w:rPr>
          <w:rFonts w:ascii="Palatino Linotype" w:hAnsi="Palatino Linotype"/>
          <w:sz w:val="19"/>
        </w:rPr>
        <w:t>a deterministic post-processing stage evaluates three features of the original (unnormalized) SFRA curve — smoothness, monotonic ratio, and peak count. Based on these descriptors, borderline CNN predictions can be adjusted: smooth, monotonic curves with few peaks may be downgraded to Normal, while highly oscillatory curves can be escalated to High Fault Risk using predefined thresholds. As a result, the final prediction shown to the user may differ from the CNN's raw output.</w:t>
      </w:r>
    </w:p>
    <w:p>
      <w:pPr>
        <w:spacing w:line="235" w:lineRule="auto" w:before="0" w:after="40"/>
        <w:jc w:val="both"/>
      </w:pPr>
      <w:r>
        <w:rPr>
          <w:rFonts w:ascii="Palatino Linotype" w:hAnsi="Palatino Linotype"/>
          <w:b/>
          <w:sz w:val="19"/>
        </w:rPr>
        <w:t xml:space="preserve">Rule-based FFT fallback: </w:t>
      </w:r>
      <w:r>
        <w:rPr>
          <w:rFonts w:ascii="Palatino Linotype" w:hAnsi="Palatino Linotype"/>
          <w:sz w:val="19"/>
        </w:rPr>
        <w:t>if PyTorch [20] or the required model files (cnn_model.pth, autoencoder.pth, and ml_meta.json) are unavailable, analyze_fra() switches to a deterministic fallback. It analyses statistical features — mean, standard deviation, peak-to-peak range, signal energy, FFT-based spectral energy, and zero-crossing count — combining threshold-based rules into a severity score mapped onto the same four fault classes. This approach requires no trained models, but it returns a fixed confidence value instead of learned probabilities.</w:t>
      </w:r>
    </w:p>
    <w:p>
      <w:pPr>
        <w:spacing w:line="240" w:lineRule="auto" w:before="80" w:after="30"/>
        <w:jc w:val="left"/>
      </w:pPr>
      <w:r>
        <w:rPr>
          <w:rFonts w:ascii="Palatino Linotype" w:hAnsi="Palatino Linotype"/>
          <w:b/>
          <w:sz w:val="19"/>
        </w:rPr>
        <w:t>3.4  Persistence and API</w:t>
      </w:r>
    </w:p>
    <w:p>
      <w:pPr>
        <w:spacing w:line="235" w:lineRule="auto" w:before="0" w:after="40"/>
        <w:jc w:val="both"/>
      </w:pPr>
      <w:r>
        <w:rPr>
          <w:rFonts w:ascii="Palatino Linotype" w:hAnsi="Palatino Linotype"/>
          <w:sz w:val="19"/>
        </w:rPr>
        <w:t>The backend consists of two SQLAlchemy relational models with multi-tenant isolation: User stores hashed credentials, and FRAResult stores analysis records linked via an indexed user_id foreign key (with cascade delete-orphan semantics), alongside the filename, classification, UTC timestamp, and a JSON payload containing the confidence, anomaly score, class probabilities, signal metrics, explanation, model source, and the processed 500-point series.</w:t>
      </w:r>
    </w:p>
    <w:p>
      <w:pPr>
        <w:spacing w:line="235" w:lineRule="auto" w:before="0" w:after="40"/>
        <w:jc w:val="both"/>
      </w:pPr>
      <w:r>
        <w:rPr>
          <w:rFonts w:ascii="Palatino Linotype" w:hAnsi="Palatino Linotype"/>
          <w:sz w:val="19"/>
        </w:rPr>
        <w:t>The REST API exposes four primary endpoints: POST /fra/upload to validate and analyze a sweep file, GET /fra/results/{id} to retrieve a specific user-scoped result, GET /fra/history to retrieve a paginated and filterable per-user diagnostic history, and GET /fra/metrics to serve live model validation and latency telemetry from ml_meta.json. Authenticated endpoints enforce JWT bearer token verification and partition all database queries by FRAResult.user_id == user.id. Exposing the inference layer through FastAPI with SQLAlchemy ORM abstraction allows seamless migration from SQLite to enterprise RDBMS backends such as PostgreSQL while providing automatic OpenAPI documentation for integration with utility SCADA or asset-management systems.</w:t>
      </w:r>
    </w:p>
    <w:p>
      <w:pPr>
        <w:spacing w:line="240" w:lineRule="auto" w:before="80" w:after="30"/>
        <w:jc w:val="left"/>
      </w:pPr>
      <w:r>
        <w:rPr>
          <w:rFonts w:ascii="Palatino Linotype" w:hAnsi="Palatino Linotype"/>
          <w:b/>
          <w:sz w:val="19"/>
        </w:rPr>
        <w:t>3.5  Frontend</w:t>
      </w:r>
    </w:p>
    <w:p>
      <w:pPr>
        <w:spacing w:line="235" w:lineRule="auto" w:before="0" w:after="40"/>
        <w:jc w:val="both"/>
      </w:pPr>
      <w:r>
        <w:rPr>
          <w:rFonts w:ascii="Palatino Linotype" w:hAnsi="Palatino Linotype"/>
          <w:sz w:val="19"/>
        </w:rPr>
        <w:t>The frontend is a React 19 + Vite single-page application styled with Tailwind CSS and Framer Motion, with a Three.js animated hero section on the landing page. Once authenticated, users can reach registration, login, a dashboard with status cards, recent analyses, alerts and analytics, and dedicated upload and results pages. The results page itself shows the predicted severity, confidence score, anomaly score, a Recharts visualization of the uploaded SFRA curve, and a plain-English explanation generated by the backend.</w:t>
      </w:r>
    </w:p>
    <w:p>
      <w:pPr>
        <w:spacing w:line="235" w:lineRule="auto" w:before="0" w:after="40"/>
        <w:jc w:val="both"/>
      </w:pPr>
      <w:r>
        <w:rPr>
          <w:rFonts w:ascii="Palatino Linotype" w:hAnsi="Palatino Linotype"/>
          <w:sz w:val="19"/>
        </w:rPr>
        <w:t>That explanation is worth dwelling on for a moment: it comes from a deterministic backend function keyed to the predicted class and anomaly score, not from a language model. Each severity class has its own explanation template, with the anomaly score and confidence level substituted in at render time. The trade-off is intentional: the same classification result will always produce the same explanation, favouring consistency over the more natural-sounding but less predictable output a generative model would give.</w:t>
      </w:r>
    </w:p>
    <w:p>
      <w:pPr>
        <w:spacing w:line="235" w:lineRule="auto" w:before="0" w:after="40"/>
        <w:jc w:val="both"/>
      </w:pPr>
      <w:r>
        <w:rPr>
          <w:rFonts w:ascii="Palatino Linotype" w:hAnsi="Palatino Linotype"/>
          <w:sz w:val="19"/>
        </w:rPr>
        <w:t>Placing the Recharts plot of the uploaded SFRA curve directly beside the classification result was also a deliberate design decision, meant to function as a built-in check on the model rather than a mere visual flourish. Instead of showing only the model's output, the interface plots the full processed 500-point magnitude series, so an engineer can see for themselves that the curve looks as expected and that parsing succeeded without artefacts from padding or truncation. The point is to discourage blind trust in the result: a monotonically decreasing curve classified as Moderate Fault should raise an eyebrow well before anyone even looks at the anomaly score. Elsewhere on the dashboard, a history view filterable by severity class and time window lets an engineer spot patterns across fleet-wide inspections, and status cards give a returning user an instant overview of their recent activity and alerts before they drill into individual results — much the same triage flow used in maintenance-management applications generally. The alerts card, in particular, keeps High Fault Risk results visible rather than letting them get buried in a paginated table.</w:t>
      </w:r>
    </w:p>
    <w:tbl>
      <w:tblPr>
        <w:tblW w:type="auto" w:w="0"/>
        <w:jc w:val="center"/>
        <w:tblLayout w:type="fixed"/>
        <w:tblLook w:firstColumn="1" w:firstRow="1" w:lastColumn="0" w:lastRow="0" w:noHBand="0" w:noVBand="1" w:val="04A0"/>
      </w:tblPr>
      <w:tblGrid>
        <w:gridCol w:w="5239"/>
        <w:gridCol w:w="5239"/>
      </w:tblGrid>
      <w:tr>
        <w:tc>
          <w:tcPr>
            <w:tcW w:type="dxa" w:w="2376"/>
            <w:tcBorders>
              <w:top w:val="none" w:sz="0" w:space="0" w:color="auto"/>
              <w:bottom w:val="none" w:sz="0" w:space="0" w:color="auto"/>
              <w:left w:val="none" w:sz="0" w:space="0" w:color="auto"/>
              <w:right w:val="none" w:sz="0" w:space="0" w:color="auto"/>
            </w:tcBorders>
            <w:tcMar>
              <w:top w:w="10" w:type="dxa"/>
              <w:bottom w:w="10" w:type="dxa"/>
              <w:left w:w="20" w:type="dxa"/>
              <w:right w:w="20" w:type="dxa"/>
            </w:tcMar>
          </w:tcPr>
          <w:p>
            <w:pPr>
              <w:spacing w:before="20" w:after="20"/>
              <w:jc w:val="center"/>
            </w:pPr>
            <w:r>
              <w:drawing>
                <wp:inline xmlns:a="http://schemas.openxmlformats.org/drawingml/2006/main" xmlns:pic="http://schemas.openxmlformats.org/drawingml/2006/picture">
                  <wp:extent cx="1389888" cy="825848"/>
                  <wp:docPr id="398200267" name="Picture 398200267"/>
                  <wp:cNvGraphicFramePr>
                    <a:graphicFrameLocks noChangeAspect="1"/>
                  </wp:cNvGraphicFramePr>
                  <a:graphic>
                    <a:graphicData uri="http://schemas.openxmlformats.org/drawingml/2006/picture">
                      <pic:pic>
                        <pic:nvPicPr>
                          <pic:cNvPr id="0" name="image2.png"/>
                          <pic:cNvPicPr/>
                        </pic:nvPicPr>
                        <pic:blipFill>
                          <a:blip r:embed="rId28"/>
                          <a:stretch>
                            <a:fillRect/>
                          </a:stretch>
                        </pic:blipFill>
                        <pic:spPr>
                          <a:xfrm>
                            <a:off x="0" y="0"/>
                            <a:ext cx="1389888" cy="825848"/>
                          </a:xfrm>
                          <a:prstGeom prst="rect"/>
                        </pic:spPr>
                      </pic:pic>
                    </a:graphicData>
                  </a:graphic>
                </wp:inline>
              </w:drawing>
            </w:r>
          </w:p>
          <w:p>
            <w:pPr>
              <w:spacing w:before="20" w:after="40" w:line="228" w:lineRule="auto"/>
              <w:jc w:val="center"/>
            </w:pPr>
            <w:r>
              <w:rPr>
                <w:rFonts w:ascii="Palatino Linotype" w:hAnsi="Palatino Linotype"/>
                <w:b/>
                <w:sz w:val="16"/>
              </w:rPr>
              <w:t xml:space="preserve">Fig. 2: </w:t>
            </w:r>
            <w:r>
              <w:rPr>
                <w:rFonts w:ascii="Palatino Linotype" w:hAnsi="Palatino Linotype"/>
                <w:sz w:val="16"/>
              </w:rPr>
              <w:t>Landing page</w:t>
            </w:r>
          </w:p>
        </w:tc>
        <w:tc>
          <w:tcPr>
            <w:tcW w:type="dxa" w:w="2376"/>
            <w:tcBorders>
              <w:top w:val="none" w:sz="0" w:space="0" w:color="auto"/>
              <w:bottom w:val="none" w:sz="0" w:space="0" w:color="auto"/>
              <w:left w:val="none" w:sz="0" w:space="0" w:color="auto"/>
              <w:right w:val="none" w:sz="0" w:space="0" w:color="auto"/>
            </w:tcBorders>
            <w:tcMar>
              <w:top w:w="10" w:type="dxa"/>
              <w:bottom w:w="10" w:type="dxa"/>
              <w:left w:w="20" w:type="dxa"/>
              <w:right w:w="20" w:type="dxa"/>
            </w:tcMar>
          </w:tcPr>
          <w:p>
            <w:pPr>
              <w:spacing w:before="20" w:after="20"/>
              <w:jc w:val="center"/>
            </w:pPr>
            <w:r>
              <w:drawing>
                <wp:inline xmlns:a="http://schemas.openxmlformats.org/drawingml/2006/main" xmlns:pic="http://schemas.openxmlformats.org/drawingml/2006/picture">
                  <wp:extent cx="1389888" cy="797691"/>
                  <wp:docPr id="398200268" name="Picture 398200268"/>
                  <wp:cNvGraphicFramePr>
                    <a:graphicFrameLocks noChangeAspect="1"/>
                  </wp:cNvGraphicFramePr>
                  <a:graphic>
                    <a:graphicData uri="http://schemas.openxmlformats.org/drawingml/2006/picture">
                      <pic:pic>
                        <pic:nvPicPr>
                          <pic:cNvPr id="0" name="image3.png"/>
                          <pic:cNvPicPr/>
                        </pic:nvPicPr>
                        <pic:blipFill>
                          <a:blip r:embed="rId29"/>
                          <a:stretch>
                            <a:fillRect/>
                          </a:stretch>
                        </pic:blipFill>
                        <pic:spPr>
                          <a:xfrm>
                            <a:off x="0" y="0"/>
                            <a:ext cx="1389888" cy="797691"/>
                          </a:xfrm>
                          <a:prstGeom prst="rect"/>
                        </pic:spPr>
                      </pic:pic>
                    </a:graphicData>
                  </a:graphic>
                </wp:inline>
              </w:drawing>
            </w:r>
          </w:p>
          <w:p>
            <w:pPr>
              <w:spacing w:before="20" w:after="40" w:line="228" w:lineRule="auto"/>
              <w:jc w:val="center"/>
            </w:pPr>
            <w:r>
              <w:rPr>
                <w:rFonts w:ascii="Palatino Linotype" w:hAnsi="Palatino Linotype"/>
                <w:b/>
                <w:sz w:val="16"/>
              </w:rPr>
              <w:t xml:space="preserve">Fig. 3: </w:t>
            </w:r>
            <w:r>
              <w:rPr>
                <w:rFonts w:ascii="Palatino Linotype" w:hAnsi="Palatino Linotype"/>
                <w:sz w:val="16"/>
              </w:rPr>
              <w:t>Home / dashboard</w:t>
            </w:r>
          </w:p>
        </w:tc>
      </w:tr>
    </w:tbl>
    <w:p>
      <w:pPr>
        <w:spacing w:before="40" w:after="20"/>
        <w:jc w:val="center"/>
      </w:pPr>
      <w:r>
        <w:drawing>
          <wp:inline xmlns:a="http://schemas.openxmlformats.org/drawingml/2006/main" xmlns:pic="http://schemas.openxmlformats.org/drawingml/2006/picture">
            <wp:extent cx="2011680" cy="1157256"/>
            <wp:docPr id="398200269" name="Picture 398200269"/>
            <wp:cNvGraphicFramePr>
              <a:graphicFrameLocks noChangeAspect="1"/>
            </wp:cNvGraphicFramePr>
            <a:graphic>
              <a:graphicData uri="http://schemas.openxmlformats.org/drawingml/2006/picture">
                <pic:pic>
                  <pic:nvPicPr>
                    <pic:cNvPr id="0" name="image4.png"/>
                    <pic:cNvPicPr/>
                  </pic:nvPicPr>
                  <pic:blipFill>
                    <a:blip r:embed="rId30"/>
                    <a:stretch>
                      <a:fillRect/>
                    </a:stretch>
                  </pic:blipFill>
                  <pic:spPr>
                    <a:xfrm>
                      <a:off x="0" y="0"/>
                      <a:ext cx="2011680" cy="1157256"/>
                    </a:xfrm>
                    <a:prstGeom prst="rect"/>
                  </pic:spPr>
                </pic:pic>
              </a:graphicData>
            </a:graphic>
          </wp:inline>
        </w:drawing>
      </w:r>
    </w:p>
    <w:p>
      <w:pPr>
        <w:spacing w:line="240" w:lineRule="auto" w:before="60" w:after="40"/>
        <w:jc w:val="center"/>
      </w:pPr>
      <w:r>
        <w:rPr>
          <w:rFonts w:ascii="Palatino Linotype" w:hAnsi="Palatino Linotype"/>
          <w:b/>
          <w:sz w:val="17"/>
        </w:rPr>
        <w:t xml:space="preserve">Fig. 4: </w:t>
      </w:r>
      <w:r>
        <w:rPr>
          <w:rFonts w:ascii="Palatino Linotype" w:hAnsi="Palatino Linotype"/>
          <w:sz w:val="17"/>
        </w:rPr>
        <w:t>Uploaded FRA result view</w:t>
      </w:r>
    </w:p>
    <w:p>
      <w:pPr>
        <w:pStyle w:val="ListParagraph"/>
        <w:numPr>
          <w:ilvl w:val="0"/>
          <w:numId w:val="1"/>
        </w:numPr>
        <w:spacing w:before="120" w:after="40" w:line="240" w:lineRule="auto"/>
      </w:pPr>
      <w:r>
        <w:rPr>
          <w:rFonts w:ascii="Palatino Linotype" w:hAnsi="Palatino Linotype"/>
          <w:b/>
          <w:sz w:val="20"/>
        </w:rPr>
        <w:t>Mathematical Formulation</w:t>
      </w:r>
    </w:p>
    <w:p>
      <w:pPr>
        <w:spacing w:line="235" w:lineRule="auto" w:before="0" w:after="40"/>
        <w:jc w:val="both"/>
      </w:pPr>
      <w:r>
        <w:rPr>
          <w:rFonts w:ascii="Palatino Linotype" w:hAnsi="Palatino Linotype"/>
          <w:sz w:val="19"/>
        </w:rPr>
        <w:t>Notation: magnitude series x = (x1, …, xN), N = 500, small constant ε = 10⁻⁶.</w:t>
      </w:r>
    </w:p>
    <w:p>
      <w:pPr>
        <w:spacing w:line="240" w:lineRule="auto" w:before="80" w:after="30"/>
        <w:jc w:val="left"/>
      </w:pPr>
      <w:r>
        <w:rPr>
          <w:rFonts w:ascii="Palatino Linotype" w:hAnsi="Palatino Linotype"/>
          <w:b/>
          <w:sz w:val="19"/>
        </w:rPr>
        <w:t>4.1  Per-sample z-score normalization</w:t>
      </w:r>
    </w:p>
    <w:p>
      <w:pPr>
        <w:spacing w:line="235" w:lineRule="auto" w:before="0" w:after="40"/>
        <w:jc w:val="both"/>
      </w:pPr>
      <w:r>
        <w:rPr>
          <w:rFonts w:ascii="Palatino Linotype" w:hAnsi="Palatino Linotype"/>
          <w:sz w:val="19"/>
        </w:rPr>
        <w:t>Applied identically in training and inference:</w:t>
      </w:r>
    </w:p>
    <w:p>
      <w:pPr>
        <w:spacing w:line="240" w:lineRule="auto" w:before="40" w:after="40"/>
        <w:jc w:val="center"/>
      </w:pPr>
      <m:oMathPara>
        <m:oMath>
          <m:r>
            <m:t>μ=</m:t>
          </m:r>
          <m:f>
            <m:num>
              <m:r>
                <m:t>1</m:t>
              </m:r>
            </m:num>
            <m:den>
              <m:r>
                <m:t>N</m:t>
              </m:r>
            </m:den>
          </m:f>
          <m:nary>
            <m:naryPr>
              <m:chr m:val="∑"/>
              <m:limLoc m:val="subSup"/>
            </m:naryPr>
            <m:sub>
              <m:r>
                <m:t>i=1</m:t>
              </m:r>
            </m:sub>
            <m:sup>
              <m:r>
                <m:t>N</m:t>
              </m:r>
            </m:sup>
            <m:e>
              <m:sSub>
                <m:e>
                  <m:r>
                    <m:t>x</m:t>
                  </m:r>
                </m:e>
                <m:sub>
                  <m:r>
                    <m:t>i</m:t>
                  </m:r>
                </m:sub>
              </m:sSub>
            </m:e>
          </m:nary>
          <m:r>
            <m:t>, σ=</m:t>
          </m:r>
          <m:rad>
            <m:radPr>
              <m:degHide m:val="1"/>
            </m:radPr>
            <m:deg>
              <m:r>
                <m:t> </m:t>
              </m:r>
            </m:deg>
            <m:e>
              <m:f>
                <m:num>
                  <m:r>
                    <m:t>1</m:t>
                  </m:r>
                </m:num>
                <m:den>
                  <m:r>
                    <m:t>N</m:t>
                  </m:r>
                </m:den>
              </m:f>
              <m:nary>
                <m:naryPr>
                  <m:chr m:val="∑"/>
                  <m:limLoc m:val="subSup"/>
                </m:naryPr>
                <m:sub>
                  <m:r>
                    <m:t>i=1</m:t>
                  </m:r>
                </m:sub>
                <m:sup>
                  <m:r>
                    <m:t>N</m:t>
                  </m:r>
                </m:sup>
                <m:e>
                  <m:sSup>
                    <m:e>
                      <m:r>
                        <m:t>(</m:t>
                      </m:r>
                      <m:sSub>
                        <m:e>
                          <m:r>
                            <m:t>x</m:t>
                          </m:r>
                        </m:e>
                        <m:sub>
                          <m:r>
                            <m:t>i</m:t>
                          </m:r>
                        </m:sub>
                      </m:sSub>
                      <m:r>
                        <m:t>−μ)</m:t>
                      </m:r>
                    </m:e>
                    <m:sup>
                      <m:r>
                        <m:t>2</m:t>
                      </m:r>
                    </m:sup>
                  </m:sSup>
                </m:e>
              </m:nary>
            </m:e>
          </m:rad>
          <m:r>
            <m:t>, </m:t>
          </m:r>
          <m:sSubSup>
            <m:e>
              <m:r>
                <m:t>x</m:t>
              </m:r>
            </m:e>
            <m:sub>
              <m:r>
                <m:t>i</m:t>
              </m:r>
            </m:sub>
            <m:sup>
              <m:r>
                <m:t>′</m:t>
              </m:r>
            </m:sup>
          </m:sSubSup>
          <m:r>
            <m:t>=</m:t>
          </m:r>
          <m:f>
            <m:num>
              <m:sSub>
                <m:e>
                  <m:r>
                    <m:t>x</m:t>
                  </m:r>
                </m:e>
                <m:sub>
                  <m:r>
                    <m:t>i</m:t>
                  </m:r>
                </m:sub>
              </m:sSub>
              <m:r>
                <m:t>−μ</m:t>
              </m:r>
            </m:num>
            <m:den>
              <m:r>
                <m:t>σ+ε</m:t>
              </m:r>
            </m:den>
          </m:f>
          <m:r>
            <m:t xml:space="preserve">   (1)</m:t>
          </m:r>
        </m:oMath>
      </m:oMathPara>
    </w:p>
    <w:p>
      <w:pPr>
        <w:spacing w:line="235" w:lineRule="auto" w:before="0" w:after="40"/>
        <w:jc w:val="both"/>
      </w:pPr>
      <w:r>
        <w:rPr>
          <w:rFonts w:ascii="Palatino Linotype" w:hAnsi="Palatino Linotype"/>
          <w:sz w:val="19"/>
        </w:rPr>
        <w:t>Per-sample z-score normalization is used in preference to normalizing against statistics computed over the whole dataset, because SFRA magnitude curves span a very wide range that depends on transformer rating, measurement-cable characteristics, and the particular frequency sub-band under analysis. Normalizing each curve individually removes the need to reconcile differing scales across samples, while still retaining all shape information: the relative height of peaks, smoothness, and monotonicity. The small stability constant ε = 10⁻⁶ prevents division by zero for pathological, near-constant inputs.</w:t>
      </w:r>
    </w:p>
    <w:p>
      <w:pPr>
        <w:spacing w:line="240" w:lineRule="auto" w:before="80" w:after="30"/>
        <w:jc w:val="left"/>
      </w:pPr>
      <w:r>
        <w:rPr>
          <w:rFonts w:ascii="Palatino Linotype" w:hAnsi="Palatino Linotype"/>
          <w:b/>
          <w:sz w:val="19"/>
        </w:rPr>
        <w:t>4.2  CNN classification</w:t>
      </w:r>
    </w:p>
    <w:p>
      <w:pPr>
        <w:spacing w:line="240" w:lineRule="auto" w:before="40" w:after="40"/>
        <w:jc w:val="center"/>
      </w:pPr>
      <m:oMathPara>
        <m:oMath>
          <m:acc>
            <m:accPr>
              <m:chr m:val="ˆ"/>
            </m:accPr>
            <m:e>
              <m:r>
                <m:t>p</m:t>
              </m:r>
            </m:e>
          </m:acc>
          <m:r>
            <m:t>=softmax(</m:t>
          </m:r>
          <m:sSub>
            <m:e>
              <m:r>
                <m:t>f</m:t>
              </m:r>
            </m:e>
            <m:sub>
              <m:r>
                <m:t>CNN</m:t>
              </m:r>
            </m:sub>
          </m:sSub>
          <m:r>
            <m:t>(x′)),  </m:t>
          </m:r>
          <m:acc>
            <m:accPr>
              <m:chr m:val="ˆ"/>
            </m:accPr>
            <m:e>
              <m:r>
                <m:t>y</m:t>
              </m:r>
            </m:e>
          </m:acc>
          <m:r>
            <m:t>=</m:t>
          </m:r>
          <m:sSub>
            <m:e>
              <m:r>
                <m:t>argmax</m:t>
              </m:r>
            </m:e>
            <m:sub>
              <m:r>
                <m:t>k∈{1,…,4}</m:t>
              </m:r>
            </m:sub>
          </m:sSub>
          <m:sSub>
            <m:e>
              <m:acc>
                <m:accPr>
                  <m:chr m:val="ˆ"/>
                </m:accPr>
                <m:e>
                  <m:r>
                    <m:t>p</m:t>
                  </m:r>
                </m:e>
              </m:acc>
            </m:e>
            <m:sub>
              <m:r>
                <m:t>k</m:t>
              </m:r>
            </m:sub>
          </m:sSub>
          <m:r>
            <m:t xml:space="preserve">   (2)</m:t>
          </m:r>
        </m:oMath>
      </m:oMathPara>
    </w:p>
    <w:p>
      <w:pPr>
        <w:spacing w:line="235" w:lineRule="auto" w:before="0" w:after="40"/>
        <w:jc w:val="both"/>
      </w:pPr>
      <w:r>
        <w:rPr>
          <w:rFonts w:ascii="Palatino Linotype" w:hAnsi="Palatino Linotype"/>
          <w:sz w:val="19"/>
        </w:rPr>
        <w:t>Training objective (cross-entropy):</w:t>
      </w:r>
    </w:p>
    <w:p>
      <w:pPr>
        <w:spacing w:line="240" w:lineRule="auto" w:before="40" w:after="40"/>
        <w:jc w:val="center"/>
      </w:pPr>
      <m:oMathPara>
        <m:oMath>
          <m:sSub>
            <m:e>
              <m:r>
                <m:t>L</m:t>
              </m:r>
            </m:e>
            <m:sub>
              <m:r>
                <m:t>CE</m:t>
              </m:r>
            </m:sub>
          </m:sSub>
          <m:r>
            <m:t>=−</m:t>
          </m:r>
          <m:nary>
            <m:naryPr>
              <m:chr m:val="∑"/>
              <m:limLoc m:val="subSup"/>
            </m:naryPr>
            <m:sub>
              <m:r>
                <m:t>k=1</m:t>
              </m:r>
            </m:sub>
            <m:sup>
              <m:r>
                <m:t>4</m:t>
              </m:r>
            </m:sup>
            <m:e>
              <m:sSub>
                <m:e>
                  <m:r>
                    <m:t>y</m:t>
                  </m:r>
                </m:e>
                <m:sub>
                  <m:r>
                    <m:t>k</m:t>
                  </m:r>
                </m:sub>
              </m:sSub>
              <m:r>
                <m:t> log </m:t>
              </m:r>
              <m:sSub>
                <m:e>
                  <m:acc>
                    <m:accPr>
                      <m:chr m:val="ˆ"/>
                    </m:accPr>
                    <m:e>
                      <m:r>
                        <m:t>p</m:t>
                      </m:r>
                    </m:e>
                  </m:acc>
                </m:e>
                <m:sub>
                  <m:r>
                    <m:t>k</m:t>
                  </m:r>
                </m:sub>
              </m:sSub>
            </m:e>
          </m:nary>
          <m:r>
            <m:t xml:space="preserve">   (3)</m:t>
          </m:r>
        </m:oMath>
      </m:oMathPara>
    </w:p>
    <w:p>
      <w:pPr>
        <w:spacing w:line="235" w:lineRule="auto" w:before="0" w:after="40"/>
        <w:jc w:val="both"/>
      </w:pPr>
      <w:r>
        <w:rPr>
          <w:rFonts w:ascii="Palatino Linotype" w:hAnsi="Palatino Linotype"/>
          <w:sz w:val="19"/>
        </w:rPr>
        <w:t>The confidence reported to the UI is maxk p̂k. The softmax output p̂ is a four-dimensional probability vector summing to one, with each element standing for a severity level; the predicted severity ŷ is simply the index of the largest element, and that element's value becomes the confidence percentage shown to the user. Cross-entropy training penalizes the network for the probability mass it assigns to incorrect levels, which discourages diffuse distributions across adjacent severity levels, the same rationale behind the raw end-to-end 1D-CNN classifiers evaluated by Ince, Kiranyaz et al. [15]. In practice, a low-confidence output, where the top probability only just edges out the second, is a useful signal in itself: it tells the engineer the input curve sits close to a class boundary rather than squarely inside one class.</w:t>
      </w:r>
    </w:p>
    <w:p>
      <w:pPr>
        <w:spacing w:line="240" w:lineRule="auto" w:before="80" w:after="30"/>
        <w:jc w:val="left"/>
      </w:pPr>
      <w:r>
        <w:rPr>
          <w:rFonts w:ascii="Palatino Linotype" w:hAnsi="Palatino Linotype"/>
          <w:b/>
          <w:sz w:val="19"/>
        </w:rPr>
        <w:t>4.3  Autoencoder and anomaly score</w:t>
      </w:r>
    </w:p>
    <w:p>
      <w:pPr>
        <w:spacing w:line="240" w:lineRule="auto" w:before="40" w:after="40"/>
        <w:jc w:val="center"/>
      </w:pPr>
      <m:oMathPara>
        <m:oMath>
          <m:sSup>
            <m:e>
              <m:acc>
                <m:accPr>
                  <m:chr m:val="ˆ"/>
                </m:accPr>
                <m:e>
                  <m:r>
                    <m:t>x</m:t>
                  </m:r>
                </m:e>
              </m:acc>
            </m:e>
            <m:sup>
              <m:r>
                <m:t>′</m:t>
              </m:r>
            </m:sup>
          </m:sSup>
          <m:r>
            <m:t>=</m:t>
          </m:r>
          <m:sSub>
            <m:e>
              <m:r>
                <m:t>f</m:t>
              </m:r>
            </m:e>
            <m:sub>
              <m:r>
                <m:t>AE</m:t>
              </m:r>
            </m:sub>
          </m:sSub>
          <m:r>
            <m:t>(x′),  e=</m:t>
          </m:r>
          <m:f>
            <m:num>
              <m:r>
                <m:t>1</m:t>
              </m:r>
            </m:num>
            <m:den>
              <m:r>
                <m:t>N</m:t>
              </m:r>
            </m:den>
          </m:f>
          <m:nary>
            <m:naryPr>
              <m:chr m:val="∑"/>
              <m:limLoc m:val="subSup"/>
            </m:naryPr>
            <m:sub>
              <m:r>
                <m:t>i=1</m:t>
              </m:r>
            </m:sub>
            <m:sup>
              <m:r>
                <m:t>N</m:t>
              </m:r>
            </m:sup>
            <m:e>
              <m:sSup>
                <m:e>
                  <m:r>
                    <m:t>(</m:t>
                  </m:r>
                  <m:sSubSup>
                    <m:e>
                      <m:r>
                        <m:t>x</m:t>
                      </m:r>
                    </m:e>
                    <m:sub>
                      <m:r>
                        <m:t>i</m:t>
                      </m:r>
                    </m:sub>
                    <m:sup>
                      <m:r>
                        <m:t>′</m:t>
                      </m:r>
                    </m:sup>
                  </m:sSubSup>
                  <m:r>
                    <m:t>−</m:t>
                  </m:r>
                  <m:sSubSup>
                    <m:e>
                      <m:acc>
                        <m:accPr>
                          <m:chr m:val="ˆ"/>
                        </m:accPr>
                        <m:e>
                          <m:r>
                            <m:t>x</m:t>
                          </m:r>
                        </m:e>
                      </m:acc>
                    </m:e>
                    <m:sub>
                      <m:r>
                        <m:t>i</m:t>
                      </m:r>
                    </m:sub>
                    <m:sup>
                      <m:r>
                        <m:t>′</m:t>
                      </m:r>
                    </m:sup>
                  </m:sSubSup>
                  <m:r>
                    <m:t>)</m:t>
                  </m:r>
                </m:e>
                <m:sup>
                  <m:r>
                    <m:t>2</m:t>
                  </m:r>
                </m:sup>
              </m:sSup>
            </m:e>
          </m:nary>
          <m:r>
            <m:t xml:space="preserve">   (4)</m:t>
          </m:r>
        </m:oMath>
      </m:oMathPara>
    </w:p>
    <w:p>
      <w:pPr>
        <w:spacing w:line="240" w:lineRule="auto" w:before="40" w:after="40"/>
        <w:jc w:val="center"/>
      </w:pPr>
      <m:oMathPara>
        <m:oMath>
          <m:sSub>
            <m:e>
              <m:r>
                <m:t>s</m:t>
              </m:r>
            </m:e>
            <m:sub>
              <m:r>
                <m:t>anom</m:t>
              </m:r>
            </m:sub>
          </m:sSub>
          <m:r>
            <m:t>=</m:t>
          </m:r>
          <m:f>
            <m:num>
              <m:r>
                <m:t>e</m:t>
              </m:r>
            </m:num>
            <m:den>
              <m:r>
                <m:t>τ+ε</m:t>
              </m:r>
            </m:den>
          </m:f>
          <m:r>
            <m:t xml:space="preserve">   (5)</m:t>
          </m:r>
        </m:oMath>
      </m:oMathPara>
    </w:p>
    <w:p>
      <w:pPr>
        <w:spacing w:line="235" w:lineRule="auto" w:before="0" w:after="40"/>
        <w:jc w:val="both"/>
      </w:pPr>
      <w:r>
        <w:rPr>
          <w:rFonts w:ascii="Palatino Linotype" w:hAnsi="Palatino Linotype"/>
          <w:sz w:val="19"/>
        </w:rPr>
        <w:t>where τ is the validation threshold stored in ml_meta.json; samples with e &gt; τ are treated as anomalous (fault-side) in the AE binary evaluation, following the reconstruction-error framing set out by Sakurada and Yairi [16]. The AE training objective is the reconstruction MSE:</w:t>
      </w:r>
    </w:p>
    <w:p>
      <w:pPr>
        <w:spacing w:line="240" w:lineRule="auto" w:before="40" w:after="40"/>
        <w:jc w:val="center"/>
      </w:pPr>
      <m:oMathPara>
        <m:oMath>
          <m:sSub>
            <m:e>
              <m:r>
                <m:t>L</m:t>
              </m:r>
            </m:e>
            <m:sub>
              <m:r>
                <m:t>AE</m:t>
              </m:r>
            </m:sub>
          </m:sSub>
          <m:r>
            <m:t>=</m:t>
          </m:r>
          <m:f>
            <m:num>
              <m:r>
                <m:t>1</m:t>
              </m:r>
            </m:num>
            <m:den>
              <m:r>
                <m:t>N</m:t>
              </m:r>
            </m:den>
          </m:f>
          <m:nary>
            <m:naryPr>
              <m:chr m:val="∑"/>
              <m:limLoc m:val="subSup"/>
            </m:naryPr>
            <m:sub>
              <m:r>
                <m:t>i=1</m:t>
              </m:r>
            </m:sub>
            <m:sup>
              <m:r>
                <m:t>N</m:t>
              </m:r>
            </m:sup>
            <m:e>
              <m:sSup>
                <m:e>
                  <m:r>
                    <m:t>(</m:t>
                  </m:r>
                  <m:sSubSup>
                    <m:e>
                      <m:r>
                        <m:t>x</m:t>
                      </m:r>
                    </m:e>
                    <m:sub>
                      <m:r>
                        <m:t>i</m:t>
                      </m:r>
                    </m:sub>
                    <m:sup>
                      <m:r>
                        <m:t>′</m:t>
                      </m:r>
                    </m:sup>
                  </m:sSubSup>
                  <m:r>
                    <m:t>−</m:t>
                  </m:r>
                  <m:sSubSup>
                    <m:e>
                      <m:acc>
                        <m:accPr>
                          <m:chr m:val="ˆ"/>
                        </m:accPr>
                        <m:e>
                          <m:r>
                            <m:t>x</m:t>
                          </m:r>
                        </m:e>
                      </m:acc>
                    </m:e>
                    <m:sub>
                      <m:r>
                        <m:t>i</m:t>
                      </m:r>
                    </m:sub>
                    <m:sup>
                      <m:r>
                        <m:t>′</m:t>
                      </m:r>
                    </m:sup>
                  </m:sSubSup>
                  <m:r>
                    <m:t>)</m:t>
                  </m:r>
                </m:e>
                <m:sup>
                  <m:r>
                    <m:t>2</m:t>
                  </m:r>
                </m:sup>
              </m:sSup>
            </m:e>
          </m:nary>
          <m:r>
            <m:t xml:space="preserve">   (6)</m:t>
          </m:r>
        </m:oMath>
      </m:oMathPara>
    </w:p>
    <w:p>
      <w:pPr>
        <w:spacing w:line="235" w:lineRule="auto" w:before="0" w:after="40"/>
        <w:jc w:val="both"/>
      </w:pPr>
      <w:r>
        <w:rPr>
          <w:rFonts w:ascii="Palatino Linotype" w:hAnsi="Palatino Linotype"/>
          <w:sz w:val="19"/>
        </w:rPr>
        <w:t>The score s_anom is dimensionless and measured relative to the Normal training distribution, which makes it comparable across uploads of any scale. A value of 1.0 marks an error at the 95th percentile of the Normal training distribution, roughly the upper edge of what counts as normal variability in the synthetic dataset. Anything above 1.0 means the curve sits further from the Normal manifold than 95% of the training curves did, giving a continuous, incremental anomalousness measure that sits alongside the CNN's discrete four-class output rather than duplicating it. Reporting the error as a ratio rather than a raw value also makes it far easier for a non-specialist to interpret: a value of 3.0, for instance, simply means "three times more anomalous than the typical healthy boundary."</w:t>
      </w:r>
    </w:p>
    <w:p>
      <w:pPr>
        <w:spacing w:line="240" w:lineRule="auto" w:before="80" w:after="30"/>
        <w:jc w:val="left"/>
      </w:pPr>
      <w:r>
        <w:rPr>
          <w:rFonts w:ascii="Palatino Linotype" w:hAnsi="Palatino Linotype"/>
          <w:b/>
          <w:sz w:val="19"/>
        </w:rPr>
        <w:t>4.4  Rule-based / FFT explainability features</w:t>
      </w:r>
    </w:p>
    <w:p>
      <w:pPr>
        <w:spacing w:line="235" w:lineRule="auto" w:before="0" w:after="40"/>
        <w:jc w:val="both"/>
      </w:pPr>
      <w:r>
        <w:rPr>
          <w:rFonts w:ascii="Palatino Linotype" w:hAnsi="Palatino Linotype"/>
          <w:sz w:val="19"/>
        </w:rPr>
        <w:t>Computed from fra_model.py on the raw (or cleaned) magnitude series:</w:t>
      </w:r>
    </w:p>
    <w:p>
      <w:pPr>
        <w:spacing w:line="240" w:lineRule="auto" w:before="40" w:after="40"/>
        <w:jc w:val="center"/>
      </w:pPr>
      <m:oMathPara>
        <m:oMath>
          <m:r>
            <m:t>E=</m:t>
          </m:r>
          <m:nary>
            <m:naryPr>
              <m:chr m:val="∑"/>
              <m:limLoc m:val="subSup"/>
            </m:naryPr>
            <m:sub>
              <m:r>
                <m:t>i=1</m:t>
              </m:r>
            </m:sub>
            <m:sup>
              <m:r>
                <m:t>N</m:t>
              </m:r>
            </m:sup>
            <m:e>
              <m:sSubSup>
                <m:e>
                  <m:r>
                    <m:t>x</m:t>
                  </m:r>
                </m:e>
                <m:sub>
                  <m:r>
                    <m:t>i</m:t>
                  </m:r>
                </m:sub>
                <m:sup>
                  <m:r>
                    <m:t>2</m:t>
                  </m:r>
                </m:sup>
              </m:sSubSup>
            </m:e>
          </m:nary>
          <m:r>
            <m:t>,  </m:t>
          </m:r>
          <m:sSub>
            <m:e>
              <m:r>
                <m:t>E</m:t>
              </m:r>
            </m:e>
            <m:sub>
              <m:r>
                <m:t>spec</m:t>
              </m:r>
            </m:sub>
          </m:sSub>
          <m:r>
            <m:t>=</m:t>
          </m:r>
          <m:nary>
            <m:naryPr>
              <m:chr m:val="∑"/>
              <m:limLoc m:val="subSup"/>
            </m:naryPr>
            <m:sub>
              <m:r>
                <m:t>k=N/2</m:t>
              </m:r>
            </m:sub>
            <m:sup>
              <m:r>
                <m:t>N</m:t>
              </m:r>
            </m:sup>
            <m:e>
              <m:r>
                <m:t>|</m:t>
              </m:r>
              <m:sSub>
                <m:e>
                  <m:r>
                    <m:t>F(x)</m:t>
                  </m:r>
                </m:e>
                <m:sub>
                  <m:r>
                    <m:t>k</m:t>
                  </m:r>
                </m:sub>
              </m:sSub>
              <m:r>
                <m:t>|</m:t>
              </m:r>
            </m:e>
          </m:nary>
          <m:r>
            <m:t xml:space="preserve">   (7)</m:t>
          </m:r>
        </m:oMath>
      </m:oMathPara>
    </w:p>
    <w:p>
      <w:pPr>
        <w:spacing w:line="235" w:lineRule="auto" w:before="0" w:after="40"/>
        <w:jc w:val="both"/>
      </w:pPr>
      <w:r>
        <w:rPr>
          <w:rFonts w:ascii="Palatino Linotype" w:hAnsi="Palatino Linotype"/>
          <w:sz w:val="19"/>
        </w:rPr>
        <w:t>together with mean, standard deviation, peak-to-peak range, and zero-crossing count. Binary flags on standard deviation, range, energy, and spectral energy drive the deterministic severity heuristic used when machine-learning inference is unavailable.</w:t>
      </w:r>
    </w:p>
    <w:p>
      <w:pPr>
        <w:spacing w:line="240" w:lineRule="auto" w:before="80" w:after="30"/>
        <w:jc w:val="left"/>
      </w:pPr>
      <w:r>
        <w:rPr>
          <w:rFonts w:ascii="Palatino Linotype" w:hAnsi="Palatino Linotype"/>
          <w:b/>
          <w:sz w:val="19"/>
        </w:rPr>
        <w:t>4.5  Shape-override features (post-ML)</w:t>
      </w:r>
    </w:p>
    <w:p>
      <w:pPr>
        <w:spacing w:line="240" w:lineRule="auto" w:before="40" w:after="40"/>
        <w:jc w:val="center"/>
      </w:pPr>
      <m:oMathPara>
        <m:oMath>
          <m:r>
            <m:t>Δ</m:t>
          </m:r>
          <m:sSub>
            <m:e>
              <m:r>
                <m:t>x</m:t>
              </m:r>
            </m:e>
            <m:sub>
              <m:r>
                <m:t>i</m:t>
              </m:r>
            </m:sub>
          </m:sSub>
          <m:r>
            <m:t>=</m:t>
          </m:r>
          <m:sSub>
            <m:e>
              <m:r>
                <m:t>x</m:t>
              </m:r>
            </m:e>
            <m:sub>
              <m:r>
                <m:t>i+1</m:t>
              </m:r>
            </m:sub>
          </m:sSub>
          <m:r>
            <m:t>−</m:t>
          </m:r>
          <m:sSub>
            <m:e>
              <m:r>
                <m:t>x</m:t>
              </m:r>
            </m:e>
            <m:sub>
              <m:r>
                <m:t>i</m:t>
              </m:r>
            </m:sub>
          </m:sSub>
          <m:r>
            <m:t xml:space="preserve">   (8)</m:t>
          </m:r>
        </m:oMath>
      </m:oMathPara>
    </w:p>
    <w:p>
      <w:pPr>
        <w:spacing w:line="235" w:lineRule="auto" w:before="0" w:after="40"/>
        <w:jc w:val="both"/>
      </w:pPr>
      <w:r>
        <w:rPr>
          <w:rFonts w:ascii="Palatino Linotype" w:hAnsi="Palatino Linotype"/>
          <w:sz w:val="19"/>
        </w:rPr>
        <w:t>Smoothness: std(Δx); Monotonic ratio: fraction of Δxᵢ &lt; 0 (roll-off-like, healthy curves); Peak count: number of local maxima along the series. These descriptors can downgrade an over-severe CNN label on curves that are smooth and largely monotonic.</w:t>
      </w:r>
    </w:p>
    <w:p>
      <w:pPr>
        <w:spacing w:line="240" w:lineRule="auto" w:before="80" w:after="30"/>
        <w:jc w:val="left"/>
      </w:pPr>
      <w:r>
        <w:rPr>
          <w:rFonts w:ascii="Palatino Linotype" w:hAnsi="Palatino Linotype"/>
          <w:b/>
          <w:sz w:val="19"/>
        </w:rPr>
        <w:t>4.6  Evaluation metrics</w:t>
      </w:r>
    </w:p>
    <w:p>
      <w:pPr>
        <w:spacing w:line="240" w:lineRule="auto" w:before="40" w:after="40"/>
        <w:jc w:val="center"/>
      </w:pPr>
      <m:oMathPara>
        <m:oMath>
          <m:r>
            <m:t>Accuracy=</m:t>
          </m:r>
          <m:f>
            <m:num>
              <m:r>
                <m:t>TP+TN</m:t>
              </m:r>
            </m:num>
            <m:den>
              <m:r>
                <m:t>TP+TN+FP+FN</m:t>
              </m:r>
            </m:den>
          </m:f>
          <m:r>
            <m:t xml:space="preserve">   (9)</m:t>
          </m:r>
        </m:oMath>
      </m:oMathPara>
    </w:p>
    <w:p>
      <w:pPr>
        <w:spacing w:line="240" w:lineRule="auto" w:before="40" w:after="40"/>
        <w:jc w:val="center"/>
      </w:pPr>
      <m:oMathPara>
        <m:oMath>
          <m:r>
            <m:t>Precision=</m:t>
          </m:r>
          <m:f>
            <m:num>
              <m:r>
                <m:t>TP</m:t>
              </m:r>
            </m:num>
            <m:den>
              <m:r>
                <m:t>TP+FP</m:t>
              </m:r>
            </m:den>
          </m:f>
          <m:r>
            <m:t>,  Recall=</m:t>
          </m:r>
          <m:f>
            <m:num>
              <m:r>
                <m:t>TP</m:t>
              </m:r>
            </m:num>
            <m:den>
              <m:r>
                <m:t>TP+FN</m:t>
              </m:r>
            </m:den>
          </m:f>
          <m:r>
            <m:t xml:space="preserve">   (10)</m:t>
          </m:r>
        </m:oMath>
      </m:oMathPara>
    </w:p>
    <w:p>
      <w:pPr>
        <w:spacing w:line="240" w:lineRule="auto" w:before="40" w:after="40"/>
        <w:jc w:val="center"/>
      </w:pPr>
      <m:oMathPara>
        <m:oMath>
          <m:sSub>
            <m:e>
              <m:r>
                <m:t>F</m:t>
              </m:r>
            </m:e>
            <m:sub>
              <m:r>
                <m:t>1</m:t>
              </m:r>
            </m:sub>
          </m:sSub>
          <m:r>
            <m:t>=</m:t>
          </m:r>
          <m:f>
            <m:num>
              <m:r>
                <m:t>2·(Precision·Recall)</m:t>
              </m:r>
            </m:num>
            <m:den>
              <m:r>
                <m:t>Precision+Recall</m:t>
              </m:r>
            </m:den>
          </m:f>
          <m:r>
            <m:t xml:space="preserve">   (11)</m:t>
          </m:r>
        </m:oMath>
      </m:oMathPara>
    </w:p>
    <w:p>
      <w:pPr>
        <w:spacing w:line="235" w:lineRule="auto" w:before="0" w:after="40"/>
        <w:jc w:val="both"/>
      </w:pPr>
      <w:r>
        <w:rPr>
          <w:rFonts w:ascii="Palatino Linotype" w:hAnsi="Palatino Linotype"/>
          <w:sz w:val="19"/>
        </w:rPr>
        <w:t>The CNN is assessed using weighted F1 rather than macro F1, since the severity levels are unevenly represented in the validation set; weighting by class size ensures the overall metric reflects the class distribution as it will be encountered in practice. For the autoencoder, binary precision and recall are used, since the task reduces to a Normal-vs-Fault decision, with recall taken as the primary measure because missing a fault is worse than raising a false alarm. Both sets of metrics are computed with scikit-learn's evaluation utilities [19].</w:t>
      </w:r>
    </w:p>
    <w:p>
      <w:pPr>
        <w:pStyle w:val="ListParagraph"/>
        <w:numPr>
          <w:ilvl w:val="0"/>
          <w:numId w:val="1"/>
        </w:numPr>
        <w:spacing w:before="120" w:after="40" w:line="240" w:lineRule="auto"/>
      </w:pPr>
      <w:r>
        <w:rPr>
          <w:rFonts w:ascii="Palatino Linotype" w:hAnsi="Palatino Linotype"/>
          <w:b/>
          <w:sz w:val="20"/>
        </w:rPr>
        <w:t>Synthetic Data Generation</w:t>
      </w:r>
    </w:p>
    <w:p>
      <w:pPr>
        <w:spacing w:line="235" w:lineRule="auto" w:before="0" w:after="40"/>
        <w:jc w:val="both"/>
      </w:pPr>
      <w:r>
        <w:rPr>
          <w:rFonts w:ascii="Palatino Linotype" w:hAnsi="Palatino Linotype"/>
          <w:sz w:val="19"/>
        </w:rPr>
        <w:t>Because labelled field SFRA fault recordings are notoriously hard to obtain, IntelliFRA's models are trained exclusively on a physics-inspired synthetic dataset produced by backend/data/physics_fra_synthesis.py together with generate_dataset.py. This relies on a simplified ladder/lumped-mode approximation rather than a full finite-element simulation.</w:t>
      </w:r>
    </w:p>
    <w:p>
      <w:pPr>
        <w:spacing w:line="240" w:lineRule="auto" w:before="80" w:after="30"/>
        <w:jc w:val="left"/>
      </w:pPr>
      <w:r>
        <w:rPr>
          <w:rFonts w:ascii="Palatino Linotype" w:hAnsi="Palatino Linotype"/>
          <w:b/>
          <w:sz w:val="19"/>
        </w:rPr>
        <w:t>5.1  Frequency grid and mode synthesis</w:t>
      </w:r>
    </w:p>
    <w:p>
      <w:pPr>
        <w:spacing w:line="235" w:lineRule="auto" w:before="0" w:after="40"/>
        <w:jc w:val="both"/>
      </w:pPr>
      <w:r>
        <w:rPr>
          <w:rFonts w:ascii="Palatino Linotype" w:hAnsi="Palatino Linotype"/>
          <w:sz w:val="19"/>
        </w:rPr>
        <w:t>A logarithmically spaced frequency grid of 500 samples is generated over the range f ∈ [10³, 2 × 10⁶] Hz, each point normalized onto [0, 1]:</w:t>
      </w:r>
    </w:p>
    <w:p>
      <w:pPr>
        <w:spacing w:line="240" w:lineRule="auto" w:before="40" w:after="40"/>
        <w:jc w:val="center"/>
      </w:pPr>
      <m:oMathPara>
        <m:oMath>
          <m:acc>
            <m:accPr>
              <m:chr m:val="˜"/>
            </m:accPr>
            <m:e>
              <m:r>
                <m:t>f</m:t>
              </m:r>
            </m:e>
          </m:acc>
          <m:r>
            <m:t>=</m:t>
          </m:r>
          <m:f>
            <m:num>
              <m:sSub>
                <m:e>
                  <m:r>
                    <m:t>log</m:t>
                  </m:r>
                </m:e>
                <m:sub>
                  <m:r>
                    <m:t>10</m:t>
                  </m:r>
                </m:sub>
              </m:sSub>
              <m:r>
                <m:t>(f)−</m:t>
              </m:r>
              <m:sSub>
                <m:e>
                  <m:r>
                    <m:t>log</m:t>
                  </m:r>
                </m:e>
                <m:sub>
                  <m:r>
                    <m:t>10</m:t>
                  </m:r>
                </m:sub>
              </m:sSub>
              <m:r>
                <m:t>(</m:t>
              </m:r>
              <m:sSub>
                <m:e>
                  <m:r>
                    <m:t>f</m:t>
                  </m:r>
                </m:e>
                <m:sub>
                  <m:r>
                    <m:t>min</m:t>
                  </m:r>
                </m:sub>
              </m:sSub>
              <m:r>
                <m:t>)</m:t>
              </m:r>
            </m:num>
            <m:den>
              <m:sSub>
                <m:e>
                  <m:r>
                    <m:t>log</m:t>
                  </m:r>
                </m:e>
                <m:sub>
                  <m:r>
                    <m:t>10</m:t>
                  </m:r>
                </m:sub>
              </m:sSub>
              <m:r>
                <m:t>(</m:t>
              </m:r>
              <m:sSub>
                <m:e>
                  <m:r>
                    <m:t>f</m:t>
                  </m:r>
                </m:e>
                <m:sub>
                  <m:r>
                    <m:t>max</m:t>
                  </m:r>
                </m:sub>
              </m:sSub>
              <m:r>
                <m:t>)−</m:t>
              </m:r>
              <m:sSub>
                <m:e>
                  <m:r>
                    <m:t>log</m:t>
                  </m:r>
                </m:e>
                <m:sub>
                  <m:r>
                    <m:t>10</m:t>
                  </m:r>
                </m:sub>
              </m:sSub>
              <m:r>
                <m:t>(</m:t>
              </m:r>
              <m:sSub>
                <m:e>
                  <m:r>
                    <m:t>f</m:t>
                  </m:r>
                </m:e>
                <m:sub>
                  <m:r>
                    <m:t>min</m:t>
                  </m:r>
                </m:sub>
              </m:sSub>
              <m:r>
                <m:t>)</m:t>
              </m:r>
            </m:den>
          </m:f>
          <m:r>
            <m:t>,  0≤</m:t>
          </m:r>
          <m:acc>
            <m:accPr>
              <m:chr m:val="˜"/>
            </m:accPr>
            <m:e>
              <m:r>
                <m:t>f</m:t>
              </m:r>
            </m:e>
          </m:acc>
          <m:r>
            <m:t>≤1</m:t>
          </m:r>
          <m:r>
            <m:t xml:space="preserve">   (12)</m:t>
          </m:r>
        </m:oMath>
      </m:oMathPara>
    </w:p>
    <w:p>
      <w:pPr>
        <w:spacing w:line="235" w:lineRule="auto" w:before="0" w:after="40"/>
        <w:jc w:val="both"/>
      </w:pPr>
      <w:r>
        <w:rPr>
          <w:rFonts w:ascii="Palatino Linotype" w:hAnsi="Palatino Linotype"/>
          <w:sz w:val="19"/>
        </w:rPr>
        <w:t>For every synthetic SFRA sample, a random set of Nₘ ~ U{8, 12} resonance modes is generated, each characterised by a centre frequency cₖ ∈ [0, 1], a quality factor Qₖ ~ U(4, 14), and an amplitude Aₖ ~ U(0.35, 1.4). Each resonance is represented as a Lorentzian:</w:t>
      </w:r>
    </w:p>
    <w:p>
      <w:pPr>
        <w:spacing w:line="240" w:lineRule="auto" w:before="40" w:after="40"/>
        <w:jc w:val="center"/>
      </w:pPr>
      <m:oMathPara>
        <m:oMath>
          <m:sSub>
            <m:e>
              <m:r>
                <m:t>R</m:t>
              </m:r>
            </m:e>
            <m:sub>
              <m:r>
                <m:t>k</m:t>
              </m:r>
            </m:sub>
          </m:sSub>
          <m:r>
            <m:t>(</m:t>
          </m:r>
          <m:acc>
            <m:accPr>
              <m:chr m:val="˜"/>
            </m:accPr>
            <m:e>
              <m:r>
                <m:t>f</m:t>
              </m:r>
            </m:e>
          </m:acc>
          <m:r>
            <m:t>)=</m:t>
          </m:r>
          <m:f>
            <m:num>
              <m:sSub>
                <m:e>
                  <m:r>
                    <m:t>A</m:t>
                  </m:r>
                </m:e>
                <m:sub>
                  <m:r>
                    <m:t>k</m:t>
                  </m:r>
                </m:sub>
              </m:sSub>
            </m:num>
            <m:den>
              <m:r>
                <m:t>1+</m:t>
              </m:r>
              <m:sSup>
                <m:e>
                  <m:r>
                    <m:t>((</m:t>
                  </m:r>
                  <m:acc>
                    <m:accPr>
                      <m:chr m:val="˜"/>
                    </m:accPr>
                    <m:e>
                      <m:r>
                        <m:t>f</m:t>
                      </m:r>
                    </m:e>
                  </m:acc>
                  <m:r>
                    <m:t>−</m:t>
                  </m:r>
                  <m:sSub>
                    <m:e>
                      <m:r>
                        <m:t>c</m:t>
                      </m:r>
                    </m:e>
                    <m:sub>
                      <m:r>
                        <m:t>k</m:t>
                      </m:r>
                    </m:sub>
                  </m:sSub>
                  <m:r>
                    <m:t>)/</m:t>
                  </m:r>
                  <m:sSub>
                    <m:e>
                      <m:r>
                        <m:t>w</m:t>
                      </m:r>
                    </m:e>
                    <m:sub>
                      <m:r>
                        <m:t>k</m:t>
                      </m:r>
                    </m:sub>
                  </m:sSub>
                  <m:r>
                    <m:t>)</m:t>
                  </m:r>
                </m:e>
                <m:sup>
                  <m:r>
                    <m:t>2</m:t>
                  </m:r>
                </m:sup>
              </m:sSup>
            </m:den>
          </m:f>
          <m:r>
            <m:t>,  </m:t>
          </m:r>
          <m:sSub>
            <m:e>
              <m:r>
                <m:t>w</m:t>
              </m:r>
            </m:e>
            <m:sub>
              <m:r>
                <m:t>k</m:t>
              </m:r>
            </m:sub>
          </m:sSub>
          <m:r>
            <m:t>=max(0.008, </m:t>
          </m:r>
          <m:f>
            <m:num>
              <m:r>
                <m:t>0.12</m:t>
              </m:r>
            </m:num>
            <m:den>
              <m:r>
                <m:t>max(</m:t>
              </m:r>
              <m:sSub>
                <m:e>
                  <m:r>
                    <m:t>Q</m:t>
                  </m:r>
                </m:e>
                <m:sub>
                  <m:r>
                    <m:t>k</m:t>
                  </m:r>
                </m:sub>
              </m:sSub>
              <m:r>
                <m:t>, 0.5)</m:t>
              </m:r>
            </m:den>
          </m:f>
          <m:r>
            <m:t>)</m:t>
          </m:r>
          <m:r>
            <m:t xml:space="preserve">   (13)</m:t>
          </m:r>
        </m:oMath>
      </m:oMathPara>
    </w:p>
    <w:p>
      <w:pPr>
        <w:spacing w:line="235" w:lineRule="auto" w:before="0" w:after="40"/>
        <w:jc w:val="both"/>
      </w:pPr>
      <w:r>
        <w:rPr>
          <w:rFonts w:ascii="Palatino Linotype" w:hAnsi="Palatino Linotype"/>
          <w:sz w:val="19"/>
        </w:rPr>
        <w:t>The healthy SFRA response is the sum of all resonance modes:</w:t>
      </w:r>
    </w:p>
    <w:p>
      <w:pPr>
        <w:spacing w:line="240" w:lineRule="auto" w:before="40" w:after="40"/>
        <w:jc w:val="center"/>
      </w:pPr>
      <m:oMathPara>
        <m:oMath>
          <m:r>
            <m:t>x(</m:t>
          </m:r>
          <m:acc>
            <m:accPr>
              <m:chr m:val="˜"/>
            </m:accPr>
            <m:e>
              <m:r>
                <m:t>f</m:t>
              </m:r>
            </m:e>
          </m:acc>
          <m:r>
            <m:t>)=</m:t>
          </m:r>
          <m:nary>
            <m:naryPr>
              <m:chr m:val="∑"/>
              <m:limLoc m:val="subSup"/>
            </m:naryPr>
            <m:sub>
              <m:r>
                <m:t>k=1</m:t>
              </m:r>
            </m:sub>
            <m:sup>
              <m:sSub>
                <m:e>
                  <m:r>
                    <m:t>N</m:t>
                  </m:r>
                </m:e>
                <m:sub>
                  <m:r>
                    <m:t>m</m:t>
                  </m:r>
                </m:sub>
              </m:sSub>
            </m:sup>
            <m:e>
              <m:sSub>
                <m:e>
                  <m:r>
                    <m:t>R</m:t>
                  </m:r>
                </m:e>
                <m:sub>
                  <m:r>
                    <m:t>k</m:t>
                  </m:r>
                </m:sub>
              </m:sSub>
              <m:r>
                <m:t>(</m:t>
              </m:r>
              <m:acc>
                <m:accPr>
                  <m:chr m:val="˜"/>
                </m:accPr>
                <m:e>
                  <m:r>
                    <m:t>f</m:t>
                  </m:r>
                </m:e>
              </m:acc>
              <m:r>
                <m:t>)</m:t>
              </m:r>
            </m:e>
          </m:nary>
          <m:r>
            <m:t xml:space="preserve">   (14)</m:t>
          </m:r>
        </m:oMath>
      </m:oMathPara>
    </w:p>
    <w:p>
      <w:pPr>
        <w:spacing w:line="235" w:lineRule="auto" w:before="0" w:after="40"/>
        <w:jc w:val="both"/>
      </w:pPr>
      <w:r>
        <w:rPr>
          <w:rFonts w:ascii="Palatino Linotype" w:hAnsi="Palatino Linotype"/>
          <w:sz w:val="19"/>
        </w:rPr>
        <w:t>This lumped-mode approach is a simplified cousin of the double-ladder circuit models used elsewhere in the FRA simulation literature — Zhang, Wang, Yuan, and Tao [14], for instance, model the axial and radial ladder networks of a winding directly from finite-element-derived parameters, trading IntelliFRA's speed and ease of parametrization for a more physically literal circuit. What the ladder-winding model used here does reproduce is the physics that actually shapes an SFRA magnitude response: the spread of resonance modes across the frequency range, quality factors tied to winding losses, and the high-frequency roll-off caused by inter-turn and inter-disk stray capacitance. It is, admittedly, only an approximation next to full finite-element analysis, but it captures what an experienced SFRA practitioner actually looks for: the monotonic decay of the signal envelope, and peaks that shift in location and amplitude with fault type. Generating the mode count, centre frequencies, quality factors, and amplitudes stochastically over the intervals above is what gives the resulting dataset the diversity of an entire population of virtual transformers, rather than a handful of fixed archetypes.</w:t>
      </w:r>
    </w:p>
    <w:p>
      <w:pPr>
        <w:spacing w:line="240" w:lineRule="auto" w:before="80" w:after="30"/>
        <w:jc w:val="left"/>
      </w:pPr>
      <w:r>
        <w:rPr>
          <w:rFonts w:ascii="Palatino Linotype" w:hAnsi="Palatino Linotype"/>
          <w:b/>
          <w:sz w:val="19"/>
        </w:rPr>
        <w:t>5.2  Fault taxonomy</w:t>
      </w:r>
    </w:p>
    <w:p>
      <w:pPr>
        <w:spacing w:line="235" w:lineRule="auto" w:before="0" w:after="40"/>
        <w:jc w:val="both"/>
      </w:pPr>
      <w:r>
        <w:rPr>
          <w:rFonts w:ascii="Palatino Linotype" w:hAnsi="Palatino Linotype"/>
          <w:sz w:val="19"/>
        </w:rPr>
        <w:t>Six literature-style fault archetypes are simulated and collapsed onto IntelliFRA's four severity labels, summarized in Table 1.</w:t>
      </w:r>
    </w:p>
    <w:p>
      <w:pPr>
        <w:spacing w:line="240" w:lineRule="auto" w:before="60" w:after="40"/>
        <w:jc w:val="left"/>
      </w:pPr>
      <w:r>
        <w:rPr>
          <w:rFonts w:ascii="Palatino Linotype" w:hAnsi="Palatino Linotype"/>
          <w:b/>
          <w:sz w:val="17"/>
        </w:rPr>
        <w:t xml:space="preserve">Table. 1: </w:t>
      </w:r>
      <w:r>
        <w:rPr>
          <w:rFonts w:ascii="Palatino Linotype" w:hAnsi="Palatino Linotype"/>
          <w:sz w:val="17"/>
        </w:rPr>
        <w:t>Fault archetypes and their mapping to IntelliFRA severity labels</w:t>
      </w:r>
    </w:p>
    <w:tbl>
      <w:tblPr>
        <w:tblW w:type="auto" w:w="0"/>
        <w:jc w:val="center"/>
        <w:tblLayout w:type="fixed"/>
        <w:tblLook w:firstColumn="1" w:firstRow="1" w:lastColumn="0" w:lastRow="0" w:noHBand="0" w:noVBand="1" w:val="04A0"/>
      </w:tblPr>
      <w:tblGrid>
        <w:gridCol w:w="2620"/>
        <w:gridCol w:w="2620"/>
        <w:gridCol w:w="2620"/>
        <w:gridCol w:w="2620"/>
      </w:tblGrid>
      <w:tr>
        <w:tc>
          <w:tcPr>
            <w:tcW w:type="dxa" w:w="79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Archetype</w:t>
            </w:r>
          </w:p>
        </w:tc>
        <w:tc>
          <w:tcPr>
            <w:tcW w:type="dxa" w:w="115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Meaning</w:t>
            </w:r>
          </w:p>
        </w:tc>
        <w:tc>
          <w:tcPr>
            <w:tcW w:type="dxa" w:w="1800"/>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Transformation</w:t>
            </w:r>
          </w:p>
        </w:tc>
        <w:tc>
          <w:tcPr>
            <w:tcW w:type="dxa" w:w="936"/>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IntelliFRA label</w:t>
            </w:r>
          </w:p>
        </w:tc>
      </w:tr>
      <w:tr>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NF</w:t>
            </w:r>
          </w:p>
        </w:tc>
        <w:tc>
          <w:tcPr>
            <w:tcW w:type="dxa" w:w="115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No fault (repeatability)</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Modes jittered ±0.2% in centre/Q/amplitude</w:t>
            </w:r>
          </w:p>
        </w:tc>
        <w:tc>
          <w:tcPr>
            <w:tcW w:type="dxa" w:w="93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Normal</w:t>
            </w:r>
          </w:p>
        </w:tc>
      </w:tr>
      <w:tr>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DLF / LCF</w:t>
            </w:r>
          </w:p>
        </w:tc>
        <w:tc>
          <w:tcPr>
            <w:tcW w:type="dxa" w:w="115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Dielectric leakage / clamping loss</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Q reduced by (1 − 0.65·tanδ), tanδ ~ U(0.05, 0.55); amplitude ±8%</w:t>
            </w:r>
          </w:p>
        </w:tc>
        <w:tc>
          <w:tcPr>
            <w:tcW w:type="dxa" w:w="93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Minor Deviation</w:t>
            </w:r>
          </w:p>
        </w:tc>
      </w:tr>
      <w:tr>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RDF</w:t>
            </w:r>
          </w:p>
        </w:tc>
        <w:tc>
          <w:tcPr>
            <w:tcW w:type="dxa" w:w="115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Radial deformation</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All mode centres scaled by (1 + shift), shift ~ U(−0.10, 0.10)</w:t>
            </w:r>
          </w:p>
        </w:tc>
        <w:tc>
          <w:tcPr>
            <w:tcW w:type="dxa" w:w="93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Moderate Fault</w:t>
            </w:r>
          </w:p>
        </w:tc>
      </w:tr>
      <w:tr>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IDF</w:t>
            </w:r>
          </w:p>
        </w:tc>
        <w:tc>
          <w:tcPr>
            <w:tcW w:type="dxa" w:w="115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Inter-disk displacement</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Each mode split into two at c ± gap, gap ~ U(0.015, 0.045), unequal split, Q×0.85</w:t>
            </w:r>
          </w:p>
        </w:tc>
        <w:tc>
          <w:tcPr>
            <w:tcW w:type="dxa" w:w="93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Moderate Fault</w:t>
            </w:r>
          </w:p>
        </w:tc>
      </w:tr>
      <w:tr>
        <w:tc>
          <w:tcPr>
            <w:tcW w:type="dxa" w:w="79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left"/>
            </w:pPr>
            <w:r>
              <w:rPr>
                <w:rFonts w:ascii="Palatino Linotype" w:hAnsi="Palatino Linotype"/>
                <w:color w:val="000000"/>
                <w:sz w:val="16"/>
              </w:rPr>
              <w:t>SCF</w:t>
            </w:r>
          </w:p>
        </w:tc>
        <w:tc>
          <w:tcPr>
            <w:tcW w:type="dxa" w:w="115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Short-circuit fault</w:t>
            </w:r>
          </w:p>
        </w:tc>
        <w:tc>
          <w:tcPr>
            <w:tcW w:type="dxa" w:w="1800"/>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HF attenuation mask + localized Lorentzian notch + impedance spike, severity ~ U(0.35, 1.0)</w:t>
            </w:r>
          </w:p>
        </w:tc>
        <w:tc>
          <w:tcPr>
            <w:tcW w:type="dxa" w:w="936"/>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High Fault Risk</w:t>
            </w:r>
          </w:p>
        </w:tc>
      </w:tr>
    </w:tbl>
    <w:p>
      <w:pPr>
        <w:spacing w:line="235" w:lineRule="auto" w:before="0" w:after="40"/>
        <w:jc w:val="both"/>
      </w:pPr>
      <w:r>
        <w:rPr>
          <w:rFonts w:ascii="Palatino Linotype" w:hAnsi="Palatino Linotype"/>
          <w:sz w:val="19"/>
        </w:rPr>
        <w:t>Each archetype corresponds to one physical phenomenon described in the SFRA literature. Dielectric Leakage Faults (DLF) increase winding losses, lowering resonance quality factors into wider, shallower peaks; Clamping Looseness Faults (LCF) produce a similar signature via increased mechanical damping, hence sharing a severity label. Radial Deformation (RDF) shifts winding conductors radially, changing distributed inductance and resonance centre frequencies. Inter-disk Displacement (IDF) splits each resonance peak into two owing to changed capacitive coupling between disk sections. Short-Circuit Faults (SCF) combine high-frequency attenuation across a wide band, notches from shorted turns, and an impedance peak — a combination distinctive enough that the model achieves near-perfect precision and recall on this category (Section 7.1).</w:t>
      </w:r>
    </w:p>
    <w:p>
      <w:pPr>
        <w:spacing w:line="235" w:lineRule="auto" w:before="0" w:after="40"/>
        <w:jc w:val="both"/>
      </w:pPr>
      <w:r>
        <w:rPr>
          <w:rFonts w:ascii="Palatino Linotype" w:hAnsi="Palatino Linotype"/>
          <w:sz w:val="19"/>
        </w:rPr>
        <w:t>Every curve also picks up a capacitive high-frequency roll-off, modelling the winding's self-capacitance, plus additive instrument noise — σ ~ U(0.002, 0.025) for Normal curves versus σ ~ U(0.01, 0.06) for fault curves:</w:t>
      </w:r>
    </w:p>
    <w:p>
      <w:pPr>
        <w:spacing w:line="240" w:lineRule="auto" w:before="40" w:after="40"/>
        <w:jc w:val="center"/>
      </w:pPr>
      <m:oMathPara>
        <m:oMath>
          <m:r>
            <m:t>x←x·exp(−r·</m:t>
          </m:r>
          <m:acc>
            <m:accPr>
              <m:chr m:val="˜"/>
            </m:accPr>
            <m:e>
              <m:r>
                <m:t>f</m:t>
              </m:r>
            </m:e>
          </m:acc>
          <m:r>
            <m:t>),  r∼U(0.35, 0.95)</m:t>
          </m:r>
          <m:r>
            <m:t xml:space="preserve">   (15)</m:t>
          </m:r>
        </m:oMath>
      </m:oMathPara>
    </w:p>
    <w:p>
      <w:pPr>
        <w:spacing w:line="235" w:lineRule="auto" w:before="0" w:after="40"/>
        <w:jc w:val="both"/>
      </w:pPr>
      <w:r>
        <w:rPr>
          <w:rFonts w:ascii="Palatino Linotype" w:hAnsi="Palatino Linotype"/>
          <w:sz w:val="19"/>
        </w:rPr>
        <w:t>The result is shifted to remain non-negative and rescaled so its peak lands in [14, 26] dB (synthetic units), then clipped to the project's magnitude scale [0, 30]. Normal-class curves additionally receive a step-wise non-increasing cap, yᵢ ≤ yᵢ₋₁ + U(0, 0.02), which is precisely what makes the smoothness/monotonicity heuristics of Section 4.5 reliable for that class.</w:t>
      </w:r>
    </w:p>
    <w:p>
      <w:pPr>
        <w:spacing w:before="40" w:after="20"/>
        <w:jc w:val="center"/>
      </w:pPr>
      <w:r>
        <w:drawing>
          <wp:inline xmlns:a="http://schemas.openxmlformats.org/drawingml/2006/main" xmlns:pic="http://schemas.openxmlformats.org/drawingml/2006/picture">
            <wp:extent cx="2103120" cy="1380895"/>
            <wp:docPr id="398200270" name="Picture 398200270"/>
            <wp:cNvGraphicFramePr>
              <a:graphicFrameLocks noChangeAspect="1"/>
            </wp:cNvGraphicFramePr>
            <a:graphic>
              <a:graphicData uri="http://schemas.openxmlformats.org/drawingml/2006/picture">
                <pic:pic>
                  <pic:nvPicPr>
                    <pic:cNvPr id="0" name="image5.png"/>
                    <pic:cNvPicPr/>
                  </pic:nvPicPr>
                  <pic:blipFill>
                    <a:blip r:embed="rId31"/>
                    <a:stretch>
                      <a:fillRect/>
                    </a:stretch>
                  </pic:blipFill>
                  <pic:spPr>
                    <a:xfrm>
                      <a:off x="0" y="0"/>
                      <a:ext cx="2103120" cy="1380895"/>
                    </a:xfrm>
                    <a:prstGeom prst="rect"/>
                  </pic:spPr>
                </pic:pic>
              </a:graphicData>
            </a:graphic>
          </wp:inline>
        </w:drawing>
      </w:r>
    </w:p>
    <w:p>
      <w:pPr>
        <w:spacing w:line="240" w:lineRule="auto" w:before="60" w:after="40"/>
        <w:jc w:val="center"/>
      </w:pPr>
      <w:r>
        <w:rPr>
          <w:rFonts w:ascii="Palatino Linotype" w:hAnsi="Palatino Linotype"/>
          <w:b/>
          <w:sz w:val="17"/>
        </w:rPr>
        <w:t xml:space="preserve">Fig. 5: </w:t>
      </w:r>
      <w:r>
        <w:rPr>
          <w:rFonts w:ascii="Palatino Linotype" w:hAnsi="Palatino Linotype"/>
          <w:sz w:val="17"/>
        </w:rPr>
        <w:t>Representative synthetic SFRA curves — one per severity class — generated with physics_fra_synthesis.py</w:t>
      </w:r>
    </w:p>
    <w:p>
      <w:pPr>
        <w:spacing w:line="240" w:lineRule="auto" w:before="80" w:after="30"/>
        <w:jc w:val="left"/>
      </w:pPr>
      <w:r>
        <w:rPr>
          <w:rFonts w:ascii="Palatino Linotype" w:hAnsi="Palatino Linotype"/>
          <w:b/>
          <w:sz w:val="19"/>
        </w:rPr>
        <w:t>5.3  Dataset scale and reproducibility</w:t>
      </w:r>
    </w:p>
    <w:p>
      <w:pPr>
        <w:spacing w:line="235" w:lineRule="auto" w:before="0" w:after="40"/>
        <w:jc w:val="both"/>
      </w:pPr>
      <w:r>
        <w:rPr>
          <w:rFonts w:ascii="Palatino Linotype" w:hAnsi="Palatino Linotype"/>
          <w:sz w:val="19"/>
        </w:rPr>
        <w:t>generate_dataset.py produces 50,000 labelled curves by default (12,500 per class, 500 points each), using deterministic per-sample seeds (seed = 42 + class_index × 1,000,000 + i) so the dataset can be reproduced bit-for-bit, and shuffles the rows before writing backend/data/fra_dataset.csv. This large-scale, systematically parameterized corpus provides dense coverage across all six physical fault archetypes and four operational severity levels.</w:t>
      </w:r>
    </w:p>
    <w:p>
      <w:pPr>
        <w:spacing w:line="235" w:lineRule="auto" w:before="0" w:after="40"/>
        <w:jc w:val="both"/>
      </w:pPr>
      <w:r>
        <w:rPr>
          <w:rFonts w:ascii="Palatino Linotype" w:hAnsi="Palatino Linotype"/>
          <w:sz w:val="19"/>
        </w:rPr>
        <w:t>The choice of 50,000 samples with 12,500 per class ensures the model receives sufficient intra-class variation to extract class-discriminative rather than archetype-specific features. Because every sample is generated from freshly drawn parameters (mode count, centre frequencies, quality factors, amplitudes, noise level, roll-off factor), intra-class variance is high relative to the number of samples, leaving little scope for the model to overfit to a handful of archetype curves. Deterministic seeding guarantees full reproducibility — any researcher running generate_dataset.py obtains a bit-identical training dataset.</w:t>
      </w:r>
    </w:p>
    <w:p>
      <w:pPr>
        <w:pStyle w:val="ListParagraph"/>
        <w:numPr>
          <w:ilvl w:val="0"/>
          <w:numId w:val="1"/>
        </w:numPr>
        <w:spacing w:before="120" w:after="40" w:line="240" w:lineRule="auto"/>
      </w:pPr>
      <w:r>
        <w:rPr>
          <w:rFonts w:ascii="Palatino Linotype" w:hAnsi="Palatino Linotype"/>
          <w:b/>
          <w:sz w:val="20"/>
        </w:rPr>
        <w:t>Model Training Configuration</w:t>
      </w:r>
    </w:p>
    <w:p>
      <w:pPr>
        <w:spacing w:line="235" w:lineRule="auto" w:before="0" w:after="40"/>
        <w:jc w:val="both"/>
      </w:pPr>
      <w:r>
        <w:rPr>
          <w:rFonts w:ascii="Palatino Linotype" w:hAnsi="Palatino Linotype"/>
          <w:sz w:val="19"/>
        </w:rPr>
        <w:t>services/train_models.py loads the CSV, applies the per-sample z-score normalization of Section 4.1 to every curve, and performs a single random 80:20 train/validation split (seed = 42; 40,000 training rows and 10,000 validation rows) shared by both models.</w:t>
      </w:r>
    </w:p>
    <w:p>
      <w:pPr>
        <w:spacing w:line="235" w:lineRule="auto" w:before="0" w:after="40"/>
        <w:jc w:val="both"/>
      </w:pPr>
      <w:r>
        <w:rPr>
          <w:rFonts w:ascii="Palatino Linotype" w:hAnsi="Palatino Linotype"/>
          <w:sz w:val="19"/>
        </w:rPr>
        <w:t>Neither model's optimizer, learning rate, nor batch size was tuned through a hyperparameter search — all three are common defaults for medium-scale sequence-classification tasks built in PyTorch [20]. Adam with learning rate lr = 1 × 10⁻³ [17] is a standard starting point for this kind of task, and a batch size of 32 for training (64 during validation-time inference) strikes a reasonable balance between computational cost and the variance of gradient estimates on the 500-element sequences. Dropout is applied in the CNN's fully connected layers to curb overfitting, following the regularization approach described by Srivastava et al. [18]. Both models are trained for 20 epochs; inspection of the saved training metrics shows validation loss was still decreasing at epoch 20, so underfitting does not appear to be a concern for this configuration. It's worth flagging, though, that the validation split does double duty here as both the convergence criterion and the final reported evaluation set — no separate held-out test set was reserved, a limitation discussed further in Section 9.</w:t>
      </w:r>
    </w:p>
    <w:p>
      <w:pPr>
        <w:spacing w:line="235" w:lineRule="auto" w:before="0" w:after="40"/>
        <w:jc w:val="both"/>
      </w:pPr>
      <w:r>
        <w:rPr>
          <w:rFonts w:ascii="Palatino Linotype" w:hAnsi="Palatino Linotype"/>
          <w:sz w:val="19"/>
        </w:rPr>
        <w:t>Evaluation uses scikit-learn's [19] classification_report, confusion_matrix, and precision/recall/F-score/support (weighted average for the four-class CNN task; binary average for the Normal-vs-Fault autoencoder task) — following standard evaluation conventions for machine learning pipelines [9] — computed on the held-out 10,000-row validation split. Table 2 summarizes the training configuration used for both models.</w:t>
      </w:r>
    </w:p>
    <w:p>
      <w:pPr>
        <w:spacing w:line="240" w:lineRule="auto" w:before="60" w:after="40"/>
        <w:jc w:val="left"/>
      </w:pPr>
      <w:r>
        <w:rPr>
          <w:rFonts w:ascii="Palatino Linotype" w:hAnsi="Palatino Linotype"/>
          <w:b/>
          <w:sz w:val="17"/>
        </w:rPr>
        <w:t xml:space="preserve">Table. 2: </w:t>
      </w:r>
      <w:r>
        <w:rPr>
          <w:rFonts w:ascii="Palatino Linotype" w:hAnsi="Palatino Linotype"/>
          <w:sz w:val="17"/>
        </w:rPr>
        <w:t>Training configuration for the 1D-CNN and Autoencoder models</w:t>
      </w:r>
    </w:p>
    <w:tbl>
      <w:tblPr>
        <w:tblW w:type="auto" w:w="0"/>
        <w:jc w:val="center"/>
        <w:tblLayout w:type="fixed"/>
        <w:tblLook w:firstColumn="1" w:firstRow="1" w:lastColumn="0" w:lastRow="0" w:noHBand="0" w:noVBand="1" w:val="04A0"/>
      </w:tblPr>
      <w:tblGrid>
        <w:gridCol w:w="3493"/>
        <w:gridCol w:w="3493"/>
        <w:gridCol w:w="3493"/>
      </w:tblGrid>
      <w:tr>
        <w:tc>
          <w:tcPr>
            <w:tcW w:type="dxa" w:w="1224"/>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Setting</w:t>
            </w:r>
          </w:p>
        </w:tc>
        <w:tc>
          <w:tcPr>
            <w:tcW w:type="dxa" w:w="1656"/>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1D-CNN</w:t>
            </w:r>
          </w:p>
        </w:tc>
        <w:tc>
          <w:tcPr>
            <w:tcW w:type="dxa" w:w="1800"/>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Autoencoder</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Optimizer</w:t>
            </w:r>
          </w:p>
        </w:tc>
        <w:tc>
          <w:tcPr>
            <w:tcW w:type="dxa" w:w="16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Adam, lr = 1e-3</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Adam, lr = 1e-3</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Loss</w:t>
            </w:r>
          </w:p>
        </w:tc>
        <w:tc>
          <w:tcPr>
            <w:tcW w:type="dxa" w:w="16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Cross-entropy</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MSE (reconstruction)</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Batch size</w:t>
            </w:r>
          </w:p>
        </w:tc>
        <w:tc>
          <w:tcPr>
            <w:tcW w:type="dxa" w:w="16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32 (train) / 64 (val)</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32</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Epochs</w:t>
            </w:r>
          </w:p>
        </w:tc>
        <w:tc>
          <w:tcPr>
            <w:tcW w:type="dxa" w:w="16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20</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20</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Training subset</w:t>
            </w:r>
          </w:p>
        </w:tc>
        <w:tc>
          <w:tcPr>
            <w:tcW w:type="dxa" w:w="16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Full 40,000-row training split</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Normal-labelled rows only (train split)</w:t>
            </w:r>
          </w:p>
        </w:tc>
      </w:tr>
      <w:tr>
        <w:tc>
          <w:tcPr>
            <w:tcW w:type="dxa" w:w="1224"/>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left"/>
            </w:pPr>
            <w:r>
              <w:rPr>
                <w:rFonts w:ascii="Palatino Linotype" w:hAnsi="Palatino Linotype"/>
                <w:color w:val="000000"/>
                <w:sz w:val="16"/>
              </w:rPr>
              <w:t>Threshold τ</w:t>
            </w:r>
          </w:p>
        </w:tc>
        <w:tc>
          <w:tcPr>
            <w:tcW w:type="dxa" w:w="1656"/>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w:t>
            </w:r>
          </w:p>
        </w:tc>
        <w:tc>
          <w:tcPr>
            <w:tcW w:type="dxa" w:w="1800"/>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95th percentile of Normal train reconstruction error</w:t>
            </w:r>
          </w:p>
        </w:tc>
      </w:tr>
    </w:tbl>
    <w:p>
      <w:pPr>
        <w:spacing w:line="235" w:lineRule="auto" w:before="0" w:after="40"/>
        <w:jc w:val="both"/>
      </w:pPr>
      <w:r>
        <w:rPr>
          <w:rFonts w:ascii="Palatino Linotype" w:hAnsi="Palatino Linotype"/>
          <w:sz w:val="19"/>
        </w:rPr>
        <w:t>Restricting autoencoder training to Normal-class examples only is a deliberate design decision consistent with one-class anomaly-detection theory: an autoencoder trained on fault signatures would learn to reconstruct those faults well, undermining the distinction between normal and faulty reconstruction error that the anomaly score depends on. Because the autoencoder is trained solely on the Normal manifold, it remains structurally unaware of every possible fault shape; reconstruction error, and therefore anomaly score, will be elevated for any curve whose shape differs from the Normal distribution. This is especially useful in practice, since it means that even fault types not present in the training taxonomy are more likely to be reported as anomalies and referred to an expert.</w:t>
      </w:r>
    </w:p>
    <w:p>
      <w:pPr>
        <w:pStyle w:val="ListParagraph"/>
        <w:numPr>
          <w:ilvl w:val="0"/>
          <w:numId w:val="1"/>
        </w:numPr>
        <w:spacing w:before="120" w:after="40" w:line="240" w:lineRule="auto"/>
      </w:pPr>
      <w:r>
        <w:rPr>
          <w:rFonts w:ascii="Palatino Linotype" w:hAnsi="Palatino Linotype"/>
          <w:b/>
          <w:sz w:val="20"/>
        </w:rPr>
        <w:t>Results and Discussion</w:t>
      </w:r>
    </w:p>
    <w:p>
      <w:pPr>
        <w:spacing w:line="235" w:lineRule="auto" w:before="0" w:after="40"/>
        <w:jc w:val="both"/>
      </w:pPr>
      <w:r>
        <w:rPr>
          <w:rFonts w:ascii="Palatino Linotype" w:hAnsi="Palatino Linotype"/>
          <w:sz w:val="19"/>
        </w:rPr>
        <w:t>All figures below are reproduced directly from backend/models/training_metrics.json and model_accuracy.txt in the reference implementation, produced by the training run described in Section 6.</w:t>
      </w:r>
    </w:p>
    <w:p>
      <w:pPr>
        <w:spacing w:line="240" w:lineRule="auto" w:before="80" w:after="30"/>
        <w:jc w:val="left"/>
      </w:pPr>
      <w:r>
        <w:rPr>
          <w:rFonts w:ascii="Palatino Linotype" w:hAnsi="Palatino Linotype"/>
          <w:b/>
          <w:sz w:val="19"/>
        </w:rPr>
        <w:t>7.1  1D-CNN classification performance</w:t>
      </w:r>
    </w:p>
    <w:p>
      <w:pPr>
        <w:spacing w:line="235" w:lineRule="auto" w:before="0" w:after="40"/>
        <w:jc w:val="both"/>
      </w:pPr>
      <w:r>
        <w:rPr>
          <w:rFonts w:ascii="Palatino Linotype" w:hAnsi="Palatino Linotype"/>
          <w:sz w:val="19"/>
        </w:rPr>
        <w:t>Overall weighted metrics on the 10,000-sample validation split are shown in Table 3.</w:t>
      </w:r>
    </w:p>
    <w:p>
      <w:pPr>
        <w:spacing w:line="240" w:lineRule="auto" w:before="60" w:after="40"/>
        <w:jc w:val="left"/>
      </w:pPr>
      <w:r>
        <w:rPr>
          <w:rFonts w:ascii="Palatino Linotype" w:hAnsi="Palatino Linotype"/>
          <w:b/>
          <w:sz w:val="17"/>
        </w:rPr>
        <w:t xml:space="preserve">Table. 3: </w:t>
      </w:r>
      <w:r>
        <w:rPr>
          <w:rFonts w:ascii="Palatino Linotype" w:hAnsi="Palatino Linotype"/>
          <w:sz w:val="17"/>
        </w:rPr>
        <w:t>CNN classification performance</w:t>
      </w:r>
    </w:p>
    <w:tbl>
      <w:tblPr>
        <w:tblW w:type="auto" w:w="0"/>
        <w:jc w:val="center"/>
        <w:tblLayout w:type="fixed"/>
        <w:tblLook w:firstColumn="1" w:firstRow="1" w:lastColumn="0" w:lastRow="0" w:noHBand="0" w:noVBand="1" w:val="04A0"/>
      </w:tblPr>
      <w:tblGrid>
        <w:gridCol w:w="2096"/>
        <w:gridCol w:w="2096"/>
        <w:gridCol w:w="2096"/>
        <w:gridCol w:w="2096"/>
        <w:gridCol w:w="2096"/>
      </w:tblGrid>
      <w:tr>
        <w:tc>
          <w:tcPr>
            <w:tcW w:type="dxa" w:w="151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Class</w:t>
            </w:r>
          </w:p>
        </w:tc>
        <w:tc>
          <w:tcPr>
            <w:tcW w:type="dxa" w:w="79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Precision</w:t>
            </w:r>
          </w:p>
        </w:tc>
        <w:tc>
          <w:tcPr>
            <w:tcW w:type="dxa" w:w="79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Recall</w:t>
            </w:r>
          </w:p>
        </w:tc>
        <w:tc>
          <w:tcPr>
            <w:tcW w:type="dxa" w:w="79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F1-score</w:t>
            </w:r>
          </w:p>
        </w:tc>
        <w:tc>
          <w:tcPr>
            <w:tcW w:type="dxa" w:w="79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Support</w:t>
            </w:r>
          </w:p>
        </w:tc>
      </w:tr>
      <w:tr>
        <w:tc>
          <w:tcPr>
            <w:tcW w:type="dxa" w:w="151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Normal</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1.0000</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0.9992</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0.9996</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2503</w:t>
            </w:r>
          </w:p>
        </w:tc>
      </w:tr>
      <w:tr>
        <w:tc>
          <w:tcPr>
            <w:tcW w:type="dxa" w:w="151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Minor Deviation</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0.8749</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0.9256</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0.8995</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2486</w:t>
            </w:r>
          </w:p>
        </w:tc>
      </w:tr>
      <w:tr>
        <w:tc>
          <w:tcPr>
            <w:tcW w:type="dxa" w:w="151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Moderate Fault</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0.9147</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0.8796</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0.8968</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2524</w:t>
            </w:r>
          </w:p>
        </w:tc>
      </w:tr>
      <w:tr>
        <w:tc>
          <w:tcPr>
            <w:tcW w:type="dxa" w:w="151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left"/>
            </w:pPr>
            <w:r>
              <w:rPr>
                <w:rFonts w:ascii="Palatino Linotype" w:hAnsi="Palatino Linotype"/>
                <w:color w:val="000000"/>
                <w:sz w:val="16"/>
              </w:rPr>
              <w:t>High Fault Risk</w:t>
            </w:r>
          </w:p>
        </w:tc>
        <w:tc>
          <w:tcPr>
            <w:tcW w:type="dxa" w:w="79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0.9906</w:t>
            </w:r>
          </w:p>
        </w:tc>
        <w:tc>
          <w:tcPr>
            <w:tcW w:type="dxa" w:w="79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0.9727</w:t>
            </w:r>
          </w:p>
        </w:tc>
        <w:tc>
          <w:tcPr>
            <w:tcW w:type="dxa" w:w="79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0.9815</w:t>
            </w:r>
          </w:p>
        </w:tc>
        <w:tc>
          <w:tcPr>
            <w:tcW w:type="dxa" w:w="79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2487</w:t>
            </w:r>
          </w:p>
        </w:tc>
      </w:tr>
    </w:tbl>
    <w:tbl>
      <w:tblPr>
        <w:tblW w:type="auto" w:w="0"/>
        <w:jc w:val="center"/>
        <w:tblLayout w:type="fixed"/>
        <w:tblLook w:firstColumn="1" w:firstRow="1" w:lastColumn="0" w:lastRow="0" w:noHBand="0" w:noVBand="1" w:val="04A0"/>
      </w:tblPr>
      <w:tblGrid>
        <w:gridCol w:w="5239"/>
        <w:gridCol w:w="5239"/>
      </w:tblGrid>
      <w:tr>
        <w:tc>
          <w:tcPr>
            <w:tcW w:type="dxa" w:w="2376"/>
            <w:tcBorders>
              <w:top w:val="none" w:sz="0" w:space="0" w:color="auto"/>
              <w:bottom w:val="none" w:sz="0" w:space="0" w:color="auto"/>
              <w:left w:val="none" w:sz="0" w:space="0" w:color="auto"/>
              <w:right w:val="none" w:sz="0" w:space="0" w:color="auto"/>
            </w:tcBorders>
            <w:tcMar>
              <w:top w:w="10" w:type="dxa"/>
              <w:bottom w:w="10" w:type="dxa"/>
              <w:left w:w="20" w:type="dxa"/>
              <w:right w:w="20" w:type="dxa"/>
            </w:tcMar>
          </w:tcPr>
          <w:p>
            <w:pPr>
              <w:spacing w:before="20" w:after="20"/>
              <w:jc w:val="center"/>
            </w:pPr>
            <w:r>
              <w:drawing>
                <wp:inline xmlns:a="http://schemas.openxmlformats.org/drawingml/2006/main" xmlns:pic="http://schemas.openxmlformats.org/drawingml/2006/picture">
                  <wp:extent cx="1389888" cy="1176667"/>
                  <wp:docPr id="398200271" name="Picture 398200271"/>
                  <wp:cNvGraphicFramePr>
                    <a:graphicFrameLocks noChangeAspect="1"/>
                  </wp:cNvGraphicFramePr>
                  <a:graphic>
                    <a:graphicData uri="http://schemas.openxmlformats.org/drawingml/2006/picture">
                      <pic:pic>
                        <pic:nvPicPr>
                          <pic:cNvPr id="0" name="image6.png"/>
                          <pic:cNvPicPr/>
                        </pic:nvPicPr>
                        <pic:blipFill>
                          <a:blip r:embed="rId32"/>
                          <a:stretch>
                            <a:fillRect/>
                          </a:stretch>
                        </pic:blipFill>
                        <pic:spPr>
                          <a:xfrm>
                            <a:off x="0" y="0"/>
                            <a:ext cx="1389888" cy="1176667"/>
                          </a:xfrm>
                          <a:prstGeom prst="rect"/>
                        </pic:spPr>
                      </pic:pic>
                    </a:graphicData>
                  </a:graphic>
                </wp:inline>
              </w:drawing>
            </w:r>
          </w:p>
          <w:p>
            <w:pPr>
              <w:spacing w:before="20" w:after="40" w:line="228" w:lineRule="auto"/>
              <w:jc w:val="center"/>
            </w:pPr>
            <w:r>
              <w:rPr>
                <w:rFonts w:ascii="Palatino Linotype" w:hAnsi="Palatino Linotype"/>
                <w:b/>
                <w:sz w:val="16"/>
              </w:rPr>
              <w:t xml:space="preserve">Fig. 6: </w:t>
            </w:r>
            <w:r>
              <w:rPr>
                <w:rFonts w:ascii="Palatino Linotype" w:hAnsi="Palatino Linotype"/>
                <w:sz w:val="16"/>
              </w:rPr>
              <w:t>1D-CNN confusion matrix (n=10,000)</w:t>
            </w:r>
          </w:p>
        </w:tc>
        <w:tc>
          <w:tcPr>
            <w:tcW w:type="dxa" w:w="2376"/>
            <w:tcBorders>
              <w:top w:val="none" w:sz="0" w:space="0" w:color="auto"/>
              <w:bottom w:val="none" w:sz="0" w:space="0" w:color="auto"/>
              <w:left w:val="none" w:sz="0" w:space="0" w:color="auto"/>
              <w:right w:val="none" w:sz="0" w:space="0" w:color="auto"/>
            </w:tcBorders>
            <w:tcMar>
              <w:top w:w="10" w:type="dxa"/>
              <w:bottom w:w="10" w:type="dxa"/>
              <w:left w:w="20" w:type="dxa"/>
              <w:right w:w="20" w:type="dxa"/>
            </w:tcMar>
          </w:tcPr>
          <w:p>
            <w:pPr>
              <w:spacing w:before="20" w:after="20"/>
              <w:jc w:val="center"/>
            </w:pPr>
            <w:r>
              <w:drawing>
                <wp:inline xmlns:a="http://schemas.openxmlformats.org/drawingml/2006/main" xmlns:pic="http://schemas.openxmlformats.org/drawingml/2006/picture">
                  <wp:extent cx="1389888" cy="939722"/>
                  <wp:docPr id="398200272" name="Picture 398200272"/>
                  <wp:cNvGraphicFramePr>
                    <a:graphicFrameLocks noChangeAspect="1"/>
                  </wp:cNvGraphicFramePr>
                  <a:graphic>
                    <a:graphicData uri="http://schemas.openxmlformats.org/drawingml/2006/picture">
                      <pic:pic>
                        <pic:nvPicPr>
                          <pic:cNvPr id="0" name="image7.png"/>
                          <pic:cNvPicPr/>
                        </pic:nvPicPr>
                        <pic:blipFill>
                          <a:blip r:embed="rId33"/>
                          <a:stretch>
                            <a:fillRect/>
                          </a:stretch>
                        </pic:blipFill>
                        <pic:spPr>
                          <a:xfrm>
                            <a:off x="0" y="0"/>
                            <a:ext cx="1389888" cy="939722"/>
                          </a:xfrm>
                          <a:prstGeom prst="rect"/>
                        </pic:spPr>
                      </pic:pic>
                    </a:graphicData>
                  </a:graphic>
                </wp:inline>
              </w:drawing>
            </w:r>
          </w:p>
          <w:p>
            <w:pPr>
              <w:spacing w:before="20" w:after="40" w:line="228" w:lineRule="auto"/>
              <w:jc w:val="center"/>
            </w:pPr>
            <w:r>
              <w:rPr>
                <w:rFonts w:ascii="Palatino Linotype" w:hAnsi="Palatino Linotype"/>
                <w:b/>
                <w:sz w:val="16"/>
              </w:rPr>
              <w:t xml:space="preserve">Fig. 7: </w:t>
            </w:r>
            <w:r>
              <w:rPr>
                <w:rFonts w:ascii="Palatino Linotype" w:hAnsi="Palatino Linotype"/>
                <w:sz w:val="16"/>
              </w:rPr>
              <w:t>Per-class Precision, Recall, and F1</w:t>
            </w:r>
          </w:p>
        </w:tc>
      </w:tr>
    </w:tbl>
    <w:p>
      <w:pPr>
        <w:spacing w:line="235" w:lineRule="auto" w:before="0" w:after="40"/>
        <w:jc w:val="both"/>
      </w:pPr>
      <w:r>
        <w:rPr>
          <w:rFonts w:ascii="Palatino Linotype" w:hAnsi="Palatino Linotype"/>
          <w:sz w:val="19"/>
        </w:rPr>
        <w:t>The Normal class comes out almost perfectly separated (F1 = 0.9996), which is really just a direct consequence of the step-wise monotonicity constraint applied only to Normal curves during synthesis (Section 5.2) — it leaves the training manifold with almost no overlap against any fault archetype. Where the model does struggle is between Minor Deviation and Moderate Fault (176 Minor curves predicted as Moderate; 290 Moderate curves predicted as Minor), and that confusion isn't really a flaw so much as a reflection of how continuous the underlying severity parameters are: tan δ for DLF/LCF and the radial-shift/inter-disk-split magnitudes for RDF/IDF occupy overlapping intermediate ranges by construction, so some borderline synthetic curves are genuinely ambiguous between the two labels. A similar pattern has been noted, at least qualitatively, between adjacent severity grades in real SFRA practice [1]. High Fault Risk, by contrast, is well separated from the lower grades — only 39 Minor and 29 Moderate curves get confused with it, and no High Fault Risk sample is ever confused with Normal — which fits with the SCF archetype's distinctive combined notch-and-attenuation signature.</w:t>
      </w:r>
    </w:p>
    <w:p>
      <w:pPr>
        <w:spacing w:line="235" w:lineRule="auto" w:before="0" w:after="40"/>
        <w:jc w:val="both"/>
      </w:pPr>
      <w:r>
        <w:rPr>
          <w:rFonts w:ascii="Palatino Linotype" w:hAnsi="Palatino Linotype"/>
          <w:sz w:val="19"/>
        </w:rPr>
        <w:t>Fig. 6's confusion matrix tells much the same story visually: the model clearly separates healthy transformers from faulty ones, with very few misclassifications crossing that boundary. Most of the errors it does make sit between Minor Deviation and Moderate Fault, precisely because those two classes' characteristics change gradually rather than switching sharply, mirroring the way neighbouring fault levels tend to blur together in real-world SFRA analysis too. Practically, that kind of prediction still tells the engineer something useful: a fault is present, even if its exact severity is a little uncertain.</w:t>
      </w:r>
    </w:p>
    <w:p>
      <w:pPr>
        <w:spacing w:line="240" w:lineRule="auto" w:before="80" w:after="30"/>
        <w:jc w:val="left"/>
      </w:pPr>
      <w:r>
        <w:rPr>
          <w:rFonts w:ascii="Palatino Linotype" w:hAnsi="Palatino Linotype"/>
          <w:b/>
          <w:sz w:val="19"/>
        </w:rPr>
        <w:t>7.2  Autoencoder anomaly detection performance</w:t>
      </w:r>
    </w:p>
    <w:p>
      <w:pPr>
        <w:spacing w:line="235" w:lineRule="auto" w:before="0" w:after="40"/>
        <w:jc w:val="both"/>
      </w:pPr>
      <w:r>
        <w:rPr>
          <w:rFonts w:ascii="Palatino Linotype" w:hAnsi="Palatino Linotype"/>
          <w:sz w:val="19"/>
        </w:rPr>
        <w:t>Table 4 makes the autoencoder's usefulness pretty clear: high accuracy and F1-score, driven by a recall that catches essentially all the faulty data and a precision that keeps false alarms in check. The separation itself comes from a decision threshold set where reconstruction error diverges sharply between faulty and normal-baseline curves.</w:t>
      </w:r>
    </w:p>
    <w:p>
      <w:pPr>
        <w:spacing w:line="240" w:lineRule="auto" w:before="60" w:after="40"/>
        <w:jc w:val="left"/>
      </w:pPr>
      <w:r>
        <w:rPr>
          <w:rFonts w:ascii="Palatino Linotype" w:hAnsi="Palatino Linotype"/>
          <w:b/>
          <w:sz w:val="17"/>
        </w:rPr>
        <w:t xml:space="preserve">Table. 4: </w:t>
      </w:r>
      <w:r>
        <w:rPr>
          <w:rFonts w:ascii="Palatino Linotype" w:hAnsi="Palatino Linotype"/>
          <w:sz w:val="17"/>
        </w:rPr>
        <w:t>Autoencoder evaluation metrics</w:t>
      </w:r>
    </w:p>
    <w:tbl>
      <w:tblPr>
        <w:tblW w:type="auto" w:w="0"/>
        <w:jc w:val="center"/>
        <w:tblLayout w:type="fixed"/>
        <w:tblLook w:firstColumn="1" w:firstRow="1" w:lastColumn="0" w:lastRow="0" w:noHBand="0" w:noVBand="1" w:val="04A0"/>
      </w:tblPr>
      <w:tblGrid>
        <w:gridCol w:w="5239"/>
        <w:gridCol w:w="5239"/>
      </w:tblGrid>
      <w:tr>
        <w:tc>
          <w:tcPr>
            <w:tcW w:type="dxa" w:w="3168"/>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Metric</w:t>
            </w:r>
          </w:p>
        </w:tc>
        <w:tc>
          <w:tcPr>
            <w:tcW w:type="dxa" w:w="1440"/>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Value</w:t>
            </w:r>
          </w:p>
        </w:tc>
      </w:tr>
      <w:tr>
        <w:tc>
          <w:tcPr>
            <w:tcW w:type="dxa" w:w="3168"/>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Decision threshold τ</w:t>
            </w:r>
          </w:p>
        </w:tc>
        <w:tc>
          <w:tcPr>
            <w:tcW w:type="dxa" w:w="144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0.022530</w:t>
            </w:r>
          </w:p>
        </w:tc>
      </w:tr>
      <w:tr>
        <w:tc>
          <w:tcPr>
            <w:tcW w:type="dxa" w:w="3168"/>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Accuracy (Normal vs. Fault)</w:t>
            </w:r>
          </w:p>
        </w:tc>
        <w:tc>
          <w:tcPr>
            <w:tcW w:type="dxa" w:w="144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0.9847</w:t>
            </w:r>
          </w:p>
        </w:tc>
      </w:tr>
      <w:tr>
        <w:tc>
          <w:tcPr>
            <w:tcW w:type="dxa" w:w="3168"/>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Precision</w:t>
            </w:r>
          </w:p>
        </w:tc>
        <w:tc>
          <w:tcPr>
            <w:tcW w:type="dxa" w:w="144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0.9800</w:t>
            </w:r>
          </w:p>
        </w:tc>
      </w:tr>
      <w:tr>
        <w:tc>
          <w:tcPr>
            <w:tcW w:type="dxa" w:w="3168"/>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Recall</w:t>
            </w:r>
          </w:p>
        </w:tc>
        <w:tc>
          <w:tcPr>
            <w:tcW w:type="dxa" w:w="144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1.0000</w:t>
            </w:r>
          </w:p>
        </w:tc>
      </w:tr>
      <w:tr>
        <w:tc>
          <w:tcPr>
            <w:tcW w:type="dxa" w:w="3168"/>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F1-score</w:t>
            </w:r>
          </w:p>
        </w:tc>
        <w:tc>
          <w:tcPr>
            <w:tcW w:type="dxa" w:w="144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0.9899</w:t>
            </w:r>
          </w:p>
        </w:tc>
      </w:tr>
      <w:tr>
        <w:tc>
          <w:tcPr>
            <w:tcW w:type="dxa" w:w="3168"/>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Mean reconstruction error – Normal</w:t>
            </w:r>
          </w:p>
        </w:tc>
        <w:tc>
          <w:tcPr>
            <w:tcW w:type="dxa" w:w="144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0.010116</w:t>
            </w:r>
          </w:p>
        </w:tc>
      </w:tr>
      <w:tr>
        <w:tc>
          <w:tcPr>
            <w:tcW w:type="dxa" w:w="3168"/>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left"/>
            </w:pPr>
            <w:r>
              <w:rPr>
                <w:rFonts w:ascii="Palatino Linotype" w:hAnsi="Palatino Linotype"/>
                <w:color w:val="000000"/>
                <w:sz w:val="16"/>
              </w:rPr>
              <w:t>Mean reconstruction error – Fault (val.)</w:t>
            </w:r>
          </w:p>
        </w:tc>
        <w:tc>
          <w:tcPr>
            <w:tcW w:type="dxa" w:w="1440"/>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0.273091</w:t>
            </w:r>
          </w:p>
        </w:tc>
      </w:tr>
    </w:tbl>
    <w:tbl>
      <w:tblPr>
        <w:tblW w:type="auto" w:w="0"/>
        <w:jc w:val="center"/>
        <w:tblLayout w:type="fixed"/>
        <w:tblLook w:firstColumn="1" w:firstRow="1" w:lastColumn="0" w:lastRow="0" w:noHBand="0" w:noVBand="1" w:val="04A0"/>
      </w:tblPr>
      <w:tblGrid>
        <w:gridCol w:w="5239"/>
        <w:gridCol w:w="5239"/>
      </w:tblGrid>
      <w:tr>
        <w:tc>
          <w:tcPr>
            <w:tcW w:type="dxa" w:w="2376"/>
            <w:tcBorders>
              <w:top w:val="none" w:sz="0" w:space="0" w:color="auto"/>
              <w:bottom w:val="none" w:sz="0" w:space="0" w:color="auto"/>
              <w:left w:val="none" w:sz="0" w:space="0" w:color="auto"/>
              <w:right w:val="none" w:sz="0" w:space="0" w:color="auto"/>
            </w:tcBorders>
            <w:tcMar>
              <w:top w:w="10" w:type="dxa"/>
              <w:bottom w:w="10" w:type="dxa"/>
              <w:left w:w="20" w:type="dxa"/>
              <w:right w:w="20" w:type="dxa"/>
            </w:tcMar>
          </w:tcPr>
          <w:p>
            <w:pPr>
              <w:spacing w:before="20" w:after="20"/>
              <w:jc w:val="center"/>
            </w:pPr>
            <w:r>
              <w:drawing>
                <wp:inline xmlns:a="http://schemas.openxmlformats.org/drawingml/2006/main" xmlns:pic="http://schemas.openxmlformats.org/drawingml/2006/picture">
                  <wp:extent cx="1389888" cy="1258645"/>
                  <wp:docPr id="398200273" name="Picture 398200273"/>
                  <wp:cNvGraphicFramePr>
                    <a:graphicFrameLocks noChangeAspect="1"/>
                  </wp:cNvGraphicFramePr>
                  <a:graphic>
                    <a:graphicData uri="http://schemas.openxmlformats.org/drawingml/2006/picture">
                      <pic:pic>
                        <pic:nvPicPr>
                          <pic:cNvPr id="0" name="image8.png"/>
                          <pic:cNvPicPr/>
                        </pic:nvPicPr>
                        <pic:blipFill>
                          <a:blip r:embed="rId34"/>
                          <a:stretch>
                            <a:fillRect/>
                          </a:stretch>
                        </pic:blipFill>
                        <pic:spPr>
                          <a:xfrm>
                            <a:off x="0" y="0"/>
                            <a:ext cx="1389888" cy="1258645"/>
                          </a:xfrm>
                          <a:prstGeom prst="rect"/>
                        </pic:spPr>
                      </pic:pic>
                    </a:graphicData>
                  </a:graphic>
                </wp:inline>
              </w:drawing>
            </w:r>
          </w:p>
          <w:p>
            <w:pPr>
              <w:spacing w:before="20" w:after="40" w:line="228" w:lineRule="auto"/>
              <w:jc w:val="center"/>
            </w:pPr>
            <w:r>
              <w:rPr>
                <w:rFonts w:ascii="Palatino Linotype" w:hAnsi="Palatino Linotype"/>
                <w:b/>
                <w:sz w:val="16"/>
              </w:rPr>
              <w:t xml:space="preserve">Fig. 8: </w:t>
            </w:r>
            <w:r>
              <w:rPr>
                <w:rFonts w:ascii="Palatino Linotype" w:hAnsi="Palatino Linotype"/>
                <w:sz w:val="16"/>
              </w:rPr>
              <w:t>Autoencoder Normal-vs-Fault confusion matrix</w:t>
            </w:r>
          </w:p>
        </w:tc>
        <w:tc>
          <w:tcPr>
            <w:tcW w:type="dxa" w:w="2376"/>
            <w:tcBorders>
              <w:top w:val="none" w:sz="0" w:space="0" w:color="auto"/>
              <w:bottom w:val="none" w:sz="0" w:space="0" w:color="auto"/>
              <w:left w:val="none" w:sz="0" w:space="0" w:color="auto"/>
              <w:right w:val="none" w:sz="0" w:space="0" w:color="auto"/>
            </w:tcBorders>
            <w:tcMar>
              <w:top w:w="10" w:type="dxa"/>
              <w:bottom w:w="10" w:type="dxa"/>
              <w:left w:w="20" w:type="dxa"/>
              <w:right w:w="20" w:type="dxa"/>
            </w:tcMar>
          </w:tcPr>
          <w:p>
            <w:pPr>
              <w:spacing w:before="20" w:after="20"/>
              <w:jc w:val="center"/>
            </w:pPr>
            <w:r>
              <w:drawing>
                <wp:inline xmlns:a="http://schemas.openxmlformats.org/drawingml/2006/main" xmlns:pic="http://schemas.openxmlformats.org/drawingml/2006/picture">
                  <wp:extent cx="1389888" cy="943138"/>
                  <wp:docPr id="398200274" name="Picture 398200274"/>
                  <wp:cNvGraphicFramePr>
                    <a:graphicFrameLocks noChangeAspect="1"/>
                  </wp:cNvGraphicFramePr>
                  <a:graphic>
                    <a:graphicData uri="http://schemas.openxmlformats.org/drawingml/2006/picture">
                      <pic:pic>
                        <pic:nvPicPr>
                          <pic:cNvPr id="0" name="image9.png"/>
                          <pic:cNvPicPr/>
                        </pic:nvPicPr>
                        <pic:blipFill>
                          <a:blip r:embed="rId35"/>
                          <a:stretch>
                            <a:fillRect/>
                          </a:stretch>
                        </pic:blipFill>
                        <pic:spPr>
                          <a:xfrm>
                            <a:off x="0" y="0"/>
                            <a:ext cx="1389888" cy="943138"/>
                          </a:xfrm>
                          <a:prstGeom prst="rect"/>
                        </pic:spPr>
                      </pic:pic>
                    </a:graphicData>
                  </a:graphic>
                </wp:inline>
              </w:drawing>
            </w:r>
          </w:p>
          <w:p>
            <w:pPr>
              <w:spacing w:before="20" w:after="40" w:line="228" w:lineRule="auto"/>
              <w:jc w:val="center"/>
            </w:pPr>
            <w:r>
              <w:rPr>
                <w:rFonts w:ascii="Palatino Linotype" w:hAnsi="Palatino Linotype"/>
                <w:b/>
                <w:sz w:val="16"/>
              </w:rPr>
              <w:t xml:space="preserve">Fig. 9: </w:t>
            </w:r>
            <w:r>
              <w:rPr>
                <w:rFonts w:ascii="Palatino Linotype" w:hAnsi="Palatino Linotype"/>
                <w:sz w:val="16"/>
              </w:rPr>
              <w:t>Mean reconstruction error vs. threshold τ</w:t>
            </w:r>
          </w:p>
        </w:tc>
      </w:tr>
    </w:tbl>
    <w:p>
      <w:pPr>
        <w:spacing w:line="235" w:lineRule="auto" w:before="0" w:after="40"/>
        <w:jc w:val="both"/>
      </w:pPr>
      <w:r>
        <w:rPr>
          <w:rFonts w:ascii="Palatino Linotype" w:hAnsi="Palatino Linotype"/>
          <w:sz w:val="19"/>
        </w:rPr>
        <w:t>The autoencoder posts zero false negatives on the validation split — every genuine fault sample gets flagged as anomalous — which gives a confusion matrix of [[2350, 153], [0, 7497]], at the cost of 153 false positives among the 2,503 Normal validation curves (about 6.1%). The mean Fault reconstruction error (0.273) runs roughly 27 times the mean Normal error (0.010), so the threshold has plenty of headroom; the false positives that do occur trace back to the upper tail of the intentional NF repeatability-noise band (σ up to 0.025) occasionally creeping past the 95th-percentile threshold computed on the training subset.</w:t>
      </w:r>
    </w:p>
    <w:p>
      <w:pPr>
        <w:spacing w:line="235" w:lineRule="auto" w:before="0" w:after="40"/>
        <w:jc w:val="both"/>
      </w:pPr>
      <w:r>
        <w:rPr>
          <w:rFonts w:ascii="Palatino Linotype" w:hAnsi="Palatino Linotype"/>
          <w:sz w:val="19"/>
        </w:rPr>
        <w:t>Those 153 false positives, about 6.1% of the Normal validation category, aren't really a modelling failure — they stem directly from how the Normal synthesis process was designed (Section 5.2). Normal-class curves receive Gaussian noise with σ drawn uniformly from [0.002, 0.025], and curves generated toward the upper end of that range will inevitably produce reconstruction errors that approach, or occasionally exceed, the 95th-percentile threshold τ computed on the training set. So the false positives are a property of the data distribution, not a flaw in the autoencoder's architecture. And practically speaking, that's the right trade-off to make: a false positive on a genuinely healthy transformer just costs a wasted expert review, which is annoying but harmless, whereas a false negative on a defective one could let a real fault slip through unnoticed. Zero false negatives on the validation set reflects exactly that operational asymmetry.</w:t>
      </w:r>
    </w:p>
    <w:p>
      <w:pPr>
        <w:spacing w:line="240" w:lineRule="auto" w:before="80" w:after="30"/>
        <w:jc w:val="left"/>
      </w:pPr>
      <w:r>
        <w:rPr>
          <w:rFonts w:ascii="Palatino Linotype" w:hAnsi="Palatino Linotype"/>
          <w:b/>
          <w:sz w:val="19"/>
        </w:rPr>
        <w:t>7.3  Effect of the shape override and rule/FFT fallback</w:t>
      </w:r>
    </w:p>
    <w:p>
      <w:pPr>
        <w:spacing w:line="235" w:lineRule="auto" w:before="0" w:after="40"/>
        <w:jc w:val="both"/>
      </w:pPr>
      <w:r>
        <w:rPr>
          <w:rFonts w:ascii="Palatino Linotype" w:hAnsi="Palatino Linotype"/>
          <w:sz w:val="19"/>
        </w:rPr>
        <w:t>The shape-override thresholds are domain-informed heuristic constants designed as a conservative post-processing safeguard. In our calibrated decision flow (ml_model.py), tightening the Normal protection thresholds (smoothness &lt; 0.22, monotonic_ratio &gt; 0.88, peaks ≤ 1) and high-fault escalation criteria (peaks ≥ 5, smoothness &gt; 0.85) prevents false escalations on benign resonant ripples while preserving sensitivity to severe multi-peak distortions. Because this stage can adjust the CNN's raw argmax prediction when strong morphological cues are present, the final operational label combines learned spectral representations with deterministic structural constraints. The rule/FFT fallback (model_source: "rule_fallback") is not invoked during the validation experiments reported above; it activates only when the PyTorch runtime or model weight artefacts (.pth/ml_meta.json) are unavailable, assigning a fixed heuristic confidence distribution (0.85 for the predicted class and 0.05 for the remaining classes).</w:t>
      </w:r>
    </w:p>
    <w:p>
      <w:pPr>
        <w:spacing w:line="235" w:lineRule="auto" w:before="0" w:after="40"/>
        <w:jc w:val="both"/>
      </w:pPr>
      <w:r>
        <w:rPr>
          <w:rFonts w:ascii="Palatino Linotype" w:hAnsi="Palatino Linotype"/>
          <w:sz w:val="19"/>
        </w:rPr>
        <w:t>Taken together, CNN, shape-override, and FFT fallback form a hierarchy of failure modes rather than a menu of alternatives. Under normal operation, with PyTorch available, the CNN and autoencoder work together, the shape-override runs as an extra post-processing pass, and the FFT fallback never fires at all. Only if the model artefacts become inaccessible does the process fail over to a deterministic, rule-based result, a useful safety net for a diagnostic system that has to keep working even when its software dependencies can't be guaranteed. The model_source field on the FRAResult JSON object records which route actually got taken, so it's possible to tell whether a given result came from machine learning or from rules, provided that field makes it into the UI (Section 9).</w:t>
      </w:r>
    </w:p>
    <w:p>
      <w:pPr>
        <w:spacing w:line="240" w:lineRule="auto" w:before="80" w:after="30"/>
        <w:jc w:val="left"/>
      </w:pPr>
      <w:r>
        <w:rPr>
          <w:rFonts w:ascii="Palatino Linotype" w:hAnsi="Palatino Linotype"/>
          <w:b/>
          <w:sz w:val="19"/>
        </w:rPr>
        <w:t>7.4 Comparative baselines, ablation, OOD robustness, and CPU latency</w:t>
      </w:r>
    </w:p>
    <w:p>
      <w:pPr>
        <w:spacing w:line="235" w:lineRule="auto" w:before="0" w:after="40"/>
        <w:jc w:val="both"/>
      </w:pPr>
      <w:r>
        <w:rPr>
          <w:rFonts w:ascii="Palatino Linotype" w:hAnsi="Palatino Linotype"/>
          <w:sz w:val="19"/>
        </w:rPr>
        <w:t>To evaluate whether the 1D-CNN's hierarchical feature extraction provides a statistically significant advantage over classical classifiers when the Normal-class monotonic step cap is removed, we conducted a 5-fold stratified cross-validation benchmark on an unconstrained synthesis corpus (12,000 sweeps; 2,000 per physical archetype). As summarized in Table 5, the 1D-CNN achieves a mean accuracy of 81.03% ± 1.60% (macro F1 = 0.8234 ± 0.0149), outperforming a 200-tree Random Forest (72.57% ± 1.28%, macro F1 = 0.7235) by +8.46%, an RBF-kernel Support Vector Machine (66.13% ± 1.14%, macro F1 = 0.6219) by +14.90%, and a two-layer Multi-Layer Perceptron (64.95% ± 1.00%, macro F1 = 0.6429) by +16.08%. Per-archetype sensitivity analysis reveals that localized structural perturbations — Short-Circuit Fault (SCF: 94.65%), Inter-Disk Fault (IDF: 92.03%), and Clamping Loss (CLF: 82.48%) — are resolved with high fidelity, whereas uniform global frequency scaling under Radial Deformation (RDF: 60.32%) occasionally overlaps with Dielectric Leakage (DLF: 76.02%).</w:t>
      </w:r>
    </w:p>
    <w:p>
      <w:pPr>
        <w:spacing w:line="240" w:lineRule="auto" w:before="60" w:after="40"/>
        <w:jc w:val="left"/>
      </w:pPr>
      <w:r>
        <w:rPr>
          <w:rFonts w:ascii="Palatino Linotype" w:hAnsi="Palatino Linotype"/>
          <w:b/>
          <w:sz w:val="17"/>
        </w:rPr>
        <w:t xml:space="preserve">Table. 5: </w:t>
      </w:r>
      <w:r>
        <w:rPr>
          <w:rFonts w:ascii="Palatino Linotype" w:hAnsi="Palatino Linotype"/>
          <w:sz w:val="17"/>
        </w:rPr>
        <w:t>5-fold cross-validation baseline comparison, component ablation, OOD shift, and CPU latency (1,000 runs)</w:t>
      </w:r>
    </w:p>
    <w:tbl>
      <w:tblPr>
        <w:tblW w:type="auto" w:w="0"/>
        <w:jc w:val="center"/>
        <w:tblLayout w:type="fixed"/>
        <w:tblLook w:firstColumn="1" w:firstRow="1" w:lastColumn="0" w:lastRow="0" w:noHBand="0" w:noVBand="1" w:val="04A0"/>
      </w:tblPr>
      <w:tblGrid>
        <w:gridCol w:w="2620"/>
        <w:gridCol w:w="2620"/>
        <w:gridCol w:w="2620"/>
        <w:gridCol w:w="2620"/>
      </w:tblGrid>
      <w:tr>
        <w:tc>
          <w:tcPr>
            <w:tcW w:type="dxa" w:w="1800"/>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Model / Pipeline Configuration</w:t>
            </w:r>
          </w:p>
        </w:tc>
        <w:tc>
          <w:tcPr>
            <w:tcW w:type="dxa" w:w="1224"/>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Unconstrained Acc. / F1</w:t>
            </w:r>
          </w:p>
        </w:tc>
        <w:tc>
          <w:tcPr>
            <w:tcW w:type="dxa" w:w="79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OOD (±15%) Acc.</w:t>
            </w:r>
          </w:p>
        </w:tc>
        <w:tc>
          <w:tcPr>
            <w:tcW w:type="dxa" w:w="936"/>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CPU Latency (Mean / p95)</w:t>
            </w:r>
          </w:p>
        </w:tc>
      </w:tr>
      <w:tr>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1D-CNN (140,644 params, 5-fold CV)</w:t>
            </w:r>
          </w:p>
        </w:tc>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81.03% ± 1.60% / 0.8234</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56.88%</w:t>
            </w:r>
          </w:p>
        </w:tc>
        <w:tc>
          <w:tcPr>
            <w:tcW w:type="dxa" w:w="93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0.218 ms / 0.247 ms</w:t>
            </w:r>
          </w:p>
        </w:tc>
      </w:tr>
      <w:tr>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Random Forest (200 trees, 5-fold CV)</w:t>
            </w:r>
          </w:p>
        </w:tc>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72.57% ± 1.28% / 0.7235</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51.21%</w:t>
            </w:r>
          </w:p>
        </w:tc>
        <w:tc>
          <w:tcPr>
            <w:tcW w:type="dxa" w:w="93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w:t>
            </w:r>
          </w:p>
        </w:tc>
      </w:tr>
      <w:tr>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RBF-SVM (C = 10, γ = scale, 5-fold CV)</w:t>
            </w:r>
          </w:p>
        </w:tc>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66.13% ± 1.14% / 0.6219</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50.83%</w:t>
            </w:r>
          </w:p>
        </w:tc>
        <w:tc>
          <w:tcPr>
            <w:tcW w:type="dxa" w:w="93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w:t>
            </w:r>
          </w:p>
        </w:tc>
      </w:tr>
      <w:tr>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Plain MLP (500→256→128→4, 5-fold CV)</w:t>
            </w:r>
          </w:p>
        </w:tc>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64.95% ± 1.00% / 0.6429</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49.33%</w:t>
            </w:r>
          </w:p>
        </w:tc>
        <w:tc>
          <w:tcPr>
            <w:tcW w:type="dxa" w:w="93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w:t>
            </w:r>
          </w:p>
        </w:tc>
      </w:tr>
      <w:tr>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Ablation: 1D-CNN Only (held-out)</w:t>
            </w:r>
          </w:p>
        </w:tc>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82.04% / 0.8288</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w:t>
            </w:r>
          </w:p>
        </w:tc>
        <w:tc>
          <w:tcPr>
            <w:tcW w:type="dxa" w:w="93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0.218 ms / 0.247 ms</w:t>
            </w:r>
          </w:p>
        </w:tc>
      </w:tr>
      <w:tr>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Ablation: 1D-CNN + Autoencoder Gate</w:t>
            </w:r>
          </w:p>
        </w:tc>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81.92% / 0.8271</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w:t>
            </w:r>
          </w:p>
        </w:tc>
        <w:tc>
          <w:tcPr>
            <w:tcW w:type="dxa" w:w="93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0.274 ms / 0.305 ms</w:t>
            </w:r>
          </w:p>
        </w:tc>
      </w:tr>
      <w:tr>
        <w:tc>
          <w:tcPr>
            <w:tcW w:type="dxa" w:w="1800"/>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left"/>
            </w:pPr>
            <w:r>
              <w:rPr>
                <w:rFonts w:ascii="Palatino Linotype" w:hAnsi="Palatino Linotype"/>
                <w:color w:val="000000"/>
                <w:sz w:val="16"/>
              </w:rPr>
              <w:t>Ablation: Uncalibrated Heuristic Override</w:t>
            </w:r>
          </w:p>
        </w:tc>
        <w:tc>
          <w:tcPr>
            <w:tcW w:type="dxa" w:w="1224"/>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63.67% / 0.6373</w:t>
            </w:r>
          </w:p>
        </w:tc>
        <w:tc>
          <w:tcPr>
            <w:tcW w:type="dxa" w:w="79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w:t>
            </w:r>
          </w:p>
        </w:tc>
        <w:tc>
          <w:tcPr>
            <w:tcW w:type="dxa" w:w="936"/>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0.274 ms / 0.305 ms</w:t>
            </w:r>
          </w:p>
        </w:tc>
      </w:tr>
    </w:tbl>
    <w:p>
      <w:pPr>
        <w:spacing w:line="235" w:lineRule="auto" w:before="0" w:after="40"/>
        <w:jc w:val="both"/>
      </w:pPr>
      <w:r>
        <w:rPr>
          <w:rFonts w:ascii="Palatino Linotype" w:hAnsi="Palatino Linotype"/>
          <w:sz w:val="19"/>
        </w:rPr>
        <w:t>Component ablation on unconstrained sweeps (Table 5) further clarifies the interplay between learned and heuristic stages: the standalone 1D-CNN achieves 82.04% accuracy (macro F1 = 0.8288) and 1D-CNN + Autoencoder achieves 81.92% (macro F1 = 0.8271), whereas applying uncalibrated peak-counting overrides (peaks ≥ 4, smoothness &gt; 0.80) triggers 599 high-fault overrides on naturally multi-modal curves and reduces accuracy to 63.67%, directly motivating our tightened threshold calibration in ml_model.py. Under an out-of-distribution (OOD) stress test (n = 2,400 sweeps with ±15% global resonance shifts), the 1D-CNN retains 56.88% accuracy — surpassing Random Forest (51.21%), SVM (50.83%), and MLP (49.33%) due to translation invariance provided by MaxPool1d and AdaptiveAvgPool1d(16). Finally, 1,000 sequential single-sample CPU forward passes confirm sub-millisecond execution: 0.218 ms mean (0.247 ms p95) for the 1D-CNN and 0.274 ms mean (0.305 ms p95) for the complete hybrid pipeline.</w:t>
      </w:r>
    </w:p>
    <w:p>
      <w:pPr>
        <w:pStyle w:val="ListParagraph"/>
        <w:numPr>
          <w:ilvl w:val="0"/>
          <w:numId w:val="1"/>
        </w:numPr>
        <w:spacing w:before="120" w:after="40" w:line="240" w:lineRule="auto"/>
      </w:pPr>
      <w:r>
        <w:rPr>
          <w:rFonts w:ascii="Palatino Linotype" w:hAnsi="Palatino Linotype"/>
          <w:b/>
          <w:sz w:val="20"/>
        </w:rPr>
        <w:t>System Implementation</w:t>
      </w:r>
    </w:p>
    <w:p>
      <w:pPr>
        <w:spacing w:line="235" w:lineRule="auto" w:before="0" w:after="40"/>
        <w:jc w:val="both"/>
      </w:pPr>
      <w:r>
        <w:rPr>
          <w:rFonts w:ascii="Palatino Linotype" w:hAnsi="Palatino Linotype"/>
          <w:sz w:val="19"/>
        </w:rPr>
        <w:t>To keep the interface responsive and modular, four main API endpoints are provided: POST /fra/upload to ingest sweep files in multipart form and return the diagnostic payload with a UUID result ID, GET /fra/results/{id} for querying user-scoped entries, GET /fra/history for listing paginated per-user execution logs filterable by classification and rolling time window (capped at 100 results per response), and GET /fra/metrics for exposing live model accuracy and latency telemetry. JWT bearer authentication obtained from the /auth/* endpoints is enforced on all user data routes.</w:t>
      </w:r>
    </w:p>
    <w:p>
      <w:pPr>
        <w:spacing w:line="235" w:lineRule="auto" w:before="0" w:after="40"/>
        <w:jc w:val="both"/>
      </w:pPr>
      <w:r>
        <w:rPr>
          <w:rFonts w:ascii="Palatino Linotype" w:hAnsi="Palatino Linotype"/>
          <w:sz w:val="19"/>
        </w:rPr>
        <w:t>Walking through the flow end to end: an engineer logs in and gets back a JWT token, which is stored locally and attached as a bearer header on every subsequent request. From the upload page, a CSV or TXT sweep file goes up via multipart form to POST /fra/upload. The backend validates the input, preprocesses the magnitude sequence, runs it through the hybrid inference pipeline, persists the resulting FRAResult row, and hands back the full analysis package in one JSON response (severity class, confidence, anomaly score, class probabilities, signal statistics, explanatory notes, and the preprocessed 500-point array), which the results page then renders without needing to ask for anything further. Older analyses stay retrievable through GET /fra/history, filterable by classification label and time window, so pulling every High Fault Risk result from the last month, say, is a couple of clicks rather than a database query. The whole point of the design is to let upload, assessment, and triage all happen in one sitting on a single page.</w:t>
      </w:r>
    </w:p>
    <w:p>
      <w:pPr>
        <w:spacing w:line="240" w:lineRule="auto" w:before="60" w:after="40"/>
        <w:jc w:val="left"/>
      </w:pPr>
      <w:r>
        <w:rPr>
          <w:rFonts w:ascii="Palatino Linotype" w:hAnsi="Palatino Linotype"/>
          <w:b/>
          <w:sz w:val="17"/>
        </w:rPr>
        <w:t xml:space="preserve">Table. 6: </w:t>
      </w:r>
      <w:r>
        <w:rPr>
          <w:rFonts w:ascii="Palatino Linotype" w:hAnsi="Palatino Linotype"/>
          <w:sz w:val="17"/>
        </w:rPr>
        <w:t>Technology stack</w:t>
      </w:r>
    </w:p>
    <w:tbl>
      <w:tblPr>
        <w:tblW w:type="auto" w:w="0"/>
        <w:jc w:val="center"/>
        <w:tblLayout w:type="fixed"/>
        <w:tblLook w:firstColumn="1" w:firstRow="1" w:lastColumn="0" w:lastRow="0" w:noHBand="0" w:noVBand="1" w:val="04A0"/>
      </w:tblPr>
      <w:tblGrid>
        <w:gridCol w:w="5239"/>
        <w:gridCol w:w="5239"/>
      </w:tblGrid>
      <w:tr>
        <w:tc>
          <w:tcPr>
            <w:tcW w:type="dxa" w:w="1224"/>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Layer</w:t>
            </w:r>
          </w:p>
        </w:tc>
        <w:tc>
          <w:tcPr>
            <w:tcW w:type="dxa" w:w="3456"/>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Technologies</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Frontend</w:t>
            </w:r>
          </w:p>
        </w:tc>
        <w:tc>
          <w:tcPr>
            <w:tcW w:type="dxa" w:w="34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React 19, Vite 8, React Router 7, Tailwind CSS 4, Framer Motion, Recharts 3, Three.js / @react-three/fiber</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Backend</w:t>
            </w:r>
          </w:p>
        </w:tc>
        <w:tc>
          <w:tcPr>
            <w:tcW w:type="dxa" w:w="34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FastAPI, Uvicorn, SQLAlchemy, python-jose (JWT), Passlib/bcrypt, pydantic-settings, /fra/metrics telemetry</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ML</w:t>
            </w:r>
          </w:p>
        </w:tc>
        <w:tc>
          <w:tcPr>
            <w:tcW w:type="dxa" w:w="34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PyTorch (140,644-param 1D-CNN + 312,436-param Autoencoder), NumPy, scikit-learn (5-fold CV/metrics), pandas</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Database</w:t>
            </w:r>
          </w:p>
        </w:tc>
        <w:tc>
          <w:tcPr>
            <w:tcW w:type="dxa" w:w="34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SQLite — User and multi-tenant FRAResult (indexed user_id foreign key) tables</w:t>
            </w:r>
          </w:p>
        </w:tc>
      </w:tr>
      <w:tr>
        <w:tc>
          <w:tcPr>
            <w:tcW w:type="dxa" w:w="1224"/>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left"/>
            </w:pPr>
            <w:r>
              <w:rPr>
                <w:rFonts w:ascii="Palatino Linotype" w:hAnsi="Palatino Linotype"/>
                <w:color w:val="000000"/>
                <w:sz w:val="16"/>
              </w:rPr>
              <w:t>Data synthesis</w:t>
            </w:r>
          </w:p>
        </w:tc>
        <w:tc>
          <w:tcPr>
            <w:tcW w:type="dxa" w:w="3456"/>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Custom physics-inspired ladder-mode generator (physics_fra_synthesis.py, generate_dataset.py)</w:t>
            </w:r>
          </w:p>
        </w:tc>
      </w:tr>
    </w:tbl>
    <w:p>
      <w:pPr>
        <w:pStyle w:val="ListParagraph"/>
        <w:numPr>
          <w:ilvl w:val="0"/>
          <w:numId w:val="1"/>
        </w:numPr>
        <w:spacing w:before="120" w:after="40" w:line="240" w:lineRule="auto"/>
      </w:pPr>
      <w:r>
        <w:rPr>
          <w:rFonts w:ascii="Palatino Linotype" w:hAnsi="Palatino Linotype"/>
          <w:b/>
          <w:sz w:val="20"/>
        </w:rPr>
        <w:t>Limitations and Future Work</w:t>
      </w:r>
    </w:p>
    <w:p>
      <w:pPr>
        <w:spacing w:line="235" w:lineRule="auto" w:before="0" w:after="40"/>
        <w:jc w:val="both"/>
      </w:pPr>
      <w:r>
        <w:rPr>
          <w:rFonts w:ascii="Palatino Linotype" w:hAnsi="Palatino Linotype"/>
          <w:sz w:val="19"/>
        </w:rPr>
        <w:t>While the experimental evaluation demonstrates strong classification and anomaly-detection performance across both standard and unconstrained synthetic benchmarks, several methodological and engineering considerations define clear directions for future work:</w:t>
      </w:r>
    </w:p>
    <w:p>
      <w:pPr>
        <w:spacing w:line="235" w:lineRule="auto" w:before="0" w:after="40"/>
        <w:jc w:val="both"/>
      </w:pPr>
      <w:r>
        <w:rPr>
          <w:rFonts w:ascii="Palatino Linotype" w:hAnsi="Palatino Linotype"/>
          <w:sz w:val="19"/>
        </w:rPr>
        <w:t>Validation on real (non-synthetic) SFRA corpora — IEEE DataPort field datasets or utility baselines, for instance — hasn't been done yet. Every accuracy figure reported here comes from synthetic held-out data generated by the same process used for training, so what it really measures is how well the model learned that synthetic process, not how well it generalizes to the field.</w:t>
      </w:r>
    </w:p>
    <w:p>
      <w:pPr>
        <w:spacing w:line="235" w:lineRule="auto" w:before="0" w:after="40"/>
        <w:jc w:val="both"/>
      </w:pPr>
      <w:r>
        <w:rPr>
          <w:rFonts w:ascii="Palatino Linotype" w:hAnsi="Palatino Linotype"/>
          <w:sz w:val="19"/>
        </w:rPr>
        <w:t>Real SFRA graphs carry variation the ladder model simply doesn't capture — cable effects, partial-discharge interference, core magnetization, installation-related grounding — and any of these could shift results in ways the present assessment can't see. Field validation against a public corpus, or against utility-provided baselines, is the single highest-priority item before this system sees any operational use.</w:t>
      </w:r>
    </w:p>
    <w:p>
      <w:pPr>
        <w:spacing w:line="235" w:lineRule="auto" w:before="0" w:after="40"/>
        <w:jc w:val="both"/>
      </w:pPr>
      <w:r>
        <w:rPr>
          <w:rFonts w:ascii="Palatino Linotype" w:hAnsi="Palatino Linotype"/>
          <w:sz w:val="19"/>
        </w:rPr>
        <w:t>While multi-tenant user isolation (FRAResult.user_id foreign-key partitioning) is implemented for individual engineers, enterprise utility deployments will benefit from hierarchical role-based access control (RBAC) supporting organization-wide substation asset groups and shared fleet baselines.</w:t>
      </w:r>
    </w:p>
    <w:p>
      <w:pPr>
        <w:spacing w:line="235" w:lineRule="auto" w:before="0" w:after="40"/>
        <w:jc w:val="both"/>
      </w:pPr>
      <w:r>
        <w:rPr>
          <w:rFonts w:ascii="Palatino Linotype" w:hAnsi="Palatino Linotype"/>
          <w:sz w:val="19"/>
        </w:rPr>
        <w:t>As demonstrated by our component ablation study (Section 7.4), fixed heuristic shape-override thresholds can degrade accuracy on unconstrained, highly non-monotonic sweeps if applied aggressively (63.67% vs. 82.04% for the standalone 1D-CNN). Replacing static threshold constants with a jointly learned meta-classifier or temperature-scaled gating network is a promising direction.</w:t>
      </w:r>
    </w:p>
    <w:p>
      <w:pPr>
        <w:spacing w:line="235" w:lineRule="auto" w:before="0" w:after="40"/>
        <w:jc w:val="both"/>
      </w:pPr>
      <w:r>
        <w:rPr>
          <w:rFonts w:ascii="Palatino Linotype" w:hAnsi="Palatino Linotype"/>
          <w:sz w:val="19"/>
        </w:rPr>
        <w:t>While the implemented fully connected autoencoder (500→256→96→32→96→256→500; 312,436 parameters) achieves 98.47% Normal-vs-Fault detection accuracy with 100% fault recall, replacing the dense encoder–decoder layers with strided 1D convolutional layers could better capture localized shift-invariant resonance distortions with fewer parameters.</w:t>
      </w:r>
    </w:p>
    <w:p>
      <w:pPr>
        <w:spacing w:line="235" w:lineRule="auto" w:before="0" w:after="40"/>
        <w:jc w:val="both"/>
      </w:pPr>
      <w:r>
        <w:rPr>
          <w:rFonts w:ascii="Palatino Linotype" w:hAnsi="Palatino Linotype"/>
          <w:sz w:val="19"/>
        </w:rPr>
        <w:t>Although single-sample CPU inference executes in under 0.31 ms (mean pipeline latency of 0.274 ms across 1,000 runs; Section 7.4), future work will benchmark end-to-end HTTP throughput under concurrent multi-user uploads alongside an external physical transformer testbed.</w:t>
      </w:r>
    </w:p>
    <w:p>
      <w:pPr>
        <w:spacing w:line="235" w:lineRule="auto" w:before="0" w:after="40"/>
        <w:jc w:val="both"/>
      </w:pPr>
      <w:r>
        <w:rPr>
          <w:rFonts w:ascii="Palatino Linotype" w:hAnsi="Palatino Linotype"/>
          <w:sz w:val="19"/>
        </w:rPr>
        <w:t>Although the model_source indicator (ml vs. rule_fallback) is computed and persisted by the backend and model telemetry is exposed via GET /fra/metrics, surfacing a per-trace provenance badge directly within the results UI card will further strengthen diagnostic auditability.</w:t>
      </w:r>
    </w:p>
    <w:p>
      <w:pPr>
        <w:spacing w:line="235" w:lineRule="auto" w:before="0" w:after="40"/>
        <w:jc w:val="both"/>
      </w:pPr>
      <w:r>
        <w:rPr>
          <w:rFonts w:ascii="Palatino Linotype" w:hAnsi="Palatino Linotype"/>
          <w:sz w:val="19"/>
        </w:rPr>
        <w:t>Additional platform extensions on the development roadmap include automated PDF diagnostic report export, interactive side-by-side sweep comparison against stored historical baselines, and three-phase cross-winding correlation analysis.</w:t>
      </w:r>
    </w:p>
    <w:p w:rsidR="008B3A5F" w:rsidRPr="009D24DC" w:rsidRDefault="008B3A5F" w:rsidP="00703F2A">
      <w:pPr>
        <w:pStyle w:val="ListParagraph"/>
        <w:numPr>
          <w:ilvl w:val="0"/>
          <w:numId w:val="1"/>
        </w:numPr>
        <w:pBdr>
          <w:top w:val="nil"/>
          <w:left w:val="nil"/>
          <w:bottom w:val="nil"/>
          <w:right w:val="nil"/>
          <w:between w:val="nil"/>
        </w:pBdr>
        <w:spacing w:line="240" w:lineRule="auto" w:before="120" w:after="40"/>
        <w:ind w:left="360"/>
        <w:rPr>
          <w:rFonts w:ascii="Palatino Linotype" w:hAnsi="Palatino Linotype" w:cs="Times New Roman"/>
          <w:b/>
          <w:sz w:val="20"/>
          <w:szCs w:val="20"/>
        </w:rPr>
      </w:pPr>
      <w:r/>
      <w:r>
        <w:rPr>
          <w:rFonts w:ascii="Palatino Linotype" w:hAnsi="Palatino Linotype"/>
          <w:b/>
          <w:sz w:val="20"/>
        </w:rPr>
        <w:t>Conclusion</w:t>
      </w:r>
    </w:p>
    <w:p w:rsidR="00AD7C6A" w:rsidRPr="009D24DC" w:rsidRDefault="00AD7C6A" w:rsidP="00703F2A">
      <w:pPr>
        <w:pBdr>
          <w:top w:val="nil"/>
          <w:left w:val="nil"/>
          <w:bottom w:val="nil"/>
          <w:right w:val="nil"/>
          <w:between w:val="nil"/>
        </w:pBdr>
        <w:spacing w:line="235" w:lineRule="auto" w:before="0" w:after="40"/>
        <w:ind w:firstLine="360"/>
        <w:jc w:val="both"/>
        <w:rPr>
          <w:rFonts w:ascii="Palatino Linotype" w:hAnsi="Palatino Linotype" w:cs="Times New Roman"/>
          <w:sz w:val="20"/>
          <w:szCs w:val="20"/>
        </w:rPr>
      </w:pPr>
      <w:r>
        <w:rPr>
          <w:rFonts w:ascii="Palatino Linotype" w:hAnsi="Palatino Linotype"/>
          <w:sz w:val="19"/>
        </w:rPr>
        <w:t>This paper presented IntelliFRA, an open-source, end-to-end diagnostic platform for automated power transformer fault detection using Sweep Frequency Response Analysis (SFRA). The system integrates a 140,644-parameter 1D-CNN and a 312,436-parameter fully connected autoencoder pipeline, reinforced by a calibrated morphological shape-override layer and an FFT-based rule fallback, trained on a reproducible 50,000-sample physics-inspired synthetic ladder-network dataset spanning six literature-derived fault archetypes mapped onto four severity labels. On held-out validation data (n = 10,000), the 1D-CNN reaches 94.41% classification accuracy (weighted F1 = 0.9443), and the autoencoder achieves 98.47% Normal-vs-Fault accuracy with 100% fault recall. Furthermore, 5-fold stratified cross-validation on unconstrained sweeps confirms that the 1D-CNN (81.03% ± 1.60%) significantly outperforms Random Forest (72.57%), RBF-SVM (66.13%), and MLP (64.95%) baselines while maintaining a mean full-pipeline CPU inference latency of 0.274 ms (p95 = 0.305 ms).</w:t>
        <w:br/>
        <w:br/>
        <w:t>Beyond transformer diagnostics specifically, IntelliFRA is really an example of an architecture that should transfer to other corners of non-destructive testing where labelled fault data is scarce but physics-driven simulation is feasible. Pairing a ladder-model-based synthetic data pipeline with a hybrid supervised/anomaly-detection inference stage and an authenticated web interface amounts to a reusable pattern for condition-monitoring work in power-system engineering more broadly. The full codebase — the physics-driven fault-simulation scripts, the training parameters and models, and the React-based frontend — has been released as open source specifically so the results reported here can be reproduced, and so the system can be extended with new fault categories or fed real-world field data in place of the synthetic training set.</w:t>
        <w:br/>
        <w:br/>
        <w:t>The most important thing left to do is validate the pipeline against real, measured SFRA data rather than synthetic curves. However carefully the physics-inspired synthetic data was constructed, strong performance on it is not a substitute for field validation before this kind of system is trusted with any operational or safety-critical decision.</w:t>
      </w:r>
    </w:p>
    <w:p w:rsidR="00AD7C6A" w:rsidRPr="009D24DC" w:rsidRDefault="00AD7C6A" w:rsidP="00703F2A">
      <w:pPr>
        <w:pBdr>
          <w:top w:val="nil"/>
          <w:left w:val="nil"/>
          <w:bottom w:val="nil"/>
          <w:right w:val="nil"/>
          <w:between w:val="nil"/>
        </w:pBdr>
        <w:spacing w:line="240" w:lineRule="auto" w:before="60" w:after="20"/>
        <w:jc w:val="both"/>
        <w:rPr>
          <w:rFonts w:ascii="Palatino Linotype" w:hAnsi="Palatino Linotype" w:cs="Times New Roman"/>
          <w:b/>
          <w:sz w:val="20"/>
          <w:szCs w:val="20"/>
        </w:rPr>
      </w:pPr>
      <w:r>
        <w:rPr>
          <w:rFonts w:ascii="Palatino Linotype" w:hAnsi="Palatino Linotype"/>
          <w:b/>
          <w:sz w:val="19"/>
        </w:rPr>
        <w:t>Acknowledgment</w:t>
      </w:r>
    </w:p>
    <w:p w:rsidR="00AD7C6A" w:rsidRDefault="00AD7C6A" w:rsidP="00703F2A">
      <w:pPr>
        <w:pBdr>
          <w:top w:val="nil"/>
          <w:left w:val="nil"/>
          <w:bottom w:val="nil"/>
          <w:right w:val="nil"/>
          <w:between w:val="nil"/>
        </w:pBdr>
        <w:spacing w:line="230" w:lineRule="auto" w:before="0" w:after="40"/>
        <w:ind w:firstLine="360"/>
        <w:jc w:val="both"/>
        <w:rPr>
          <w:rFonts w:ascii="Palatino Linotype" w:hAnsi="Palatino Linotype" w:cs="Times New Roman"/>
          <w:sz w:val="20"/>
          <w:szCs w:val="20"/>
        </w:rPr>
      </w:pPr>
      <w:r>
        <w:rPr>
          <w:rFonts w:ascii="Palatino Linotype" w:hAnsi="Palatino Linotype"/>
          <w:sz w:val="18"/>
        </w:rPr>
        <w:t>The authors thank Prof. Bhanu Tekwani for guidance throughout this project and Dr. Vidya Chitre, Head of the Department of Information Technology, Vidyalankar Institute of Technology, for providing the necessary academic infrastructure.</w:t>
      </w:r>
    </w:p>
    <w:p w:rsidR="00A62D38" w:rsidRDefault="00A62D38" w:rsidP="00703F2A">
      <w:pPr>
        <w:pBdr>
          <w:top w:val="nil"/>
          <w:left w:val="nil"/>
          <w:bottom w:val="nil"/>
          <w:right w:val="nil"/>
          <w:between w:val="nil"/>
        </w:pBdr>
        <w:spacing w:line="240" w:lineRule="auto" w:before="60" w:after="20"/>
        <w:jc w:val="both"/>
        <w:rPr>
          <w:rFonts w:ascii="Palatino Linotype" w:hAnsi="Palatino Linotype" w:cs="Times New Roman"/>
          <w:b/>
          <w:sz w:val="20"/>
          <w:szCs w:val="20"/>
        </w:rPr>
      </w:pPr>
      <w:r>
        <w:rPr>
          <w:rFonts w:ascii="Palatino Linotype" w:hAnsi="Palatino Linotype"/>
          <w:b/>
          <w:sz w:val="19"/>
        </w:rPr>
        <w:t>Funding</w:t>
      </w:r>
    </w:p>
    <w:p w:rsidR="00A62D38" w:rsidRPr="00A62D38" w:rsidRDefault="00AC3118" w:rsidP="00DA6643">
      <w:pPr>
        <w:pBdr>
          <w:top w:val="nil"/>
          <w:left w:val="nil"/>
          <w:bottom w:val="nil"/>
          <w:right w:val="nil"/>
          <w:between w:val="nil"/>
        </w:pBdr>
        <w:spacing w:line="230" w:lineRule="auto" w:before="0" w:after="40"/>
        <w:ind w:firstLine="426"/>
        <w:jc w:val="both"/>
        <w:rPr>
          <w:rFonts w:ascii="Palatino Linotype" w:hAnsi="Palatino Linotype" w:cs="Times New Roman"/>
          <w:b/>
          <w:sz w:val="20"/>
          <w:szCs w:val="20"/>
        </w:rPr>
      </w:pPr>
      <w:r>
        <w:rPr>
          <w:rFonts w:ascii="Palatino Linotype" w:hAnsi="Palatino Linotype"/>
          <w:sz w:val="18"/>
        </w:rPr>
        <w:t>This research received no external funding.</w:t>
      </w:r>
    </w:p>
    <w:p w:rsidR="00412B3F" w:rsidRDefault="00412B3F" w:rsidP="00412B3F">
      <w:pPr>
        <w:pBdr>
          <w:top w:val="nil"/>
          <w:left w:val="nil"/>
          <w:bottom w:val="nil"/>
          <w:right w:val="nil"/>
          <w:between w:val="nil"/>
        </w:pBdr>
        <w:spacing w:before="60" w:line="240" w:lineRule="auto" w:after="20"/>
        <w:jc w:val="both"/>
        <w:rPr>
          <w:rFonts w:ascii="Palatino Linotype" w:hAnsi="Palatino Linotype"/>
          <w:sz w:val="20"/>
          <w:szCs w:val="20"/>
        </w:rPr>
      </w:pPr>
      <w:r>
        <w:rPr>
          <w:rFonts w:ascii="Palatino Linotype" w:hAnsi="Palatino Linotype"/>
          <w:b/>
          <w:sz w:val="19"/>
        </w:rPr>
        <w:t>Data Availability Statement</w:t>
      </w:r>
    </w:p>
    <w:p w:rsidR="00A62D38" w:rsidRPr="00412B3F" w:rsidRDefault="00412B3F" w:rsidP="00AC3118">
      <w:pPr>
        <w:pBdr>
          <w:top w:val="nil"/>
          <w:left w:val="nil"/>
          <w:bottom w:val="nil"/>
          <w:right w:val="nil"/>
          <w:between w:val="nil"/>
        </w:pBdr>
        <w:spacing w:line="230" w:lineRule="auto" w:before="0" w:after="40"/>
        <w:ind w:firstLine="426"/>
        <w:jc w:val="both"/>
        <w:rPr>
          <w:rFonts w:ascii="Palatino Linotype" w:hAnsi="Palatino Linotype" w:cs="Times New Roman"/>
          <w:b/>
          <w:sz w:val="20"/>
          <w:szCs w:val="20"/>
        </w:rPr>
      </w:pPr>
      <w:r>
        <w:rPr>
          <w:rFonts w:ascii="Palatino Linotype" w:hAnsi="Palatino Linotype"/>
          <w:sz w:val="18"/>
        </w:rPr>
        <w:t>The datasets generated and analyzed during the current study, along with the physics-inspired synthesis scripts (physics_fra_synthesis.py, generate_dataset.py) and trained PyTorch model weights, are publicly available in the open-source IntelliFRA repository.</w:t>
      </w:r>
    </w:p>
    <w:p w:rsidR="009D24DC" w:rsidRDefault="009D24DC" w:rsidP="00703F2A">
      <w:pPr>
        <w:pBdr>
          <w:top w:val="nil"/>
          <w:left w:val="nil"/>
          <w:bottom w:val="nil"/>
          <w:right w:val="nil"/>
          <w:between w:val="nil"/>
        </w:pBdr>
        <w:spacing w:line="240" w:lineRule="auto" w:before="60" w:after="20"/>
        <w:jc w:val="both"/>
        <w:rPr>
          <w:rFonts w:ascii="Palatino Linotype" w:hAnsi="Palatino Linotype" w:cs="Times New Roman"/>
          <w:b/>
          <w:sz w:val="20"/>
          <w:szCs w:val="20"/>
        </w:rPr>
      </w:pPr>
      <w:r>
        <w:rPr>
          <w:rFonts w:ascii="Palatino Linotype" w:hAnsi="Palatino Linotype"/>
          <w:b/>
          <w:sz w:val="19"/>
        </w:rPr>
        <w:t>Conflict of Interest</w:t>
      </w:r>
    </w:p>
    <w:p w:rsidR="009D24DC" w:rsidRDefault="009D24DC" w:rsidP="00703F2A">
      <w:pPr>
        <w:pBdr>
          <w:top w:val="nil"/>
          <w:left w:val="nil"/>
          <w:bottom w:val="nil"/>
          <w:right w:val="nil"/>
          <w:between w:val="nil"/>
        </w:pBdr>
        <w:spacing w:line="230" w:lineRule="auto" w:before="0" w:after="40"/>
        <w:ind w:firstLine="360"/>
        <w:jc w:val="both"/>
        <w:rPr>
          <w:rFonts w:ascii="Palatino Linotype" w:hAnsi="Palatino Linotype" w:cs="Times New Roman"/>
          <w:sz w:val="20"/>
          <w:szCs w:val="20"/>
        </w:rPr>
      </w:pPr>
      <w:r>
        <w:rPr>
          <w:rFonts w:ascii="Palatino Linotype" w:hAnsi="Palatino Linotype"/>
          <w:sz w:val="18"/>
        </w:rPr>
        <w:t>The authors declare that they have no known competing financial interests, personal relationships, or affiliations that could have appeared to influence the work reported in this manuscript.</w:t>
      </w:r>
    </w:p>
    <w:p w:rsidR="00A50725" w:rsidRPr="00A50725" w:rsidRDefault="00A50725" w:rsidP="00A50725">
      <w:pPr>
        <w:pStyle w:val="MDPI62backmatter"/>
        <w:spacing w:before="60" w:after="20"/>
        <w:ind w:left="0"/>
        <w:rPr>
          <w:b/>
        </w:rPr>
      </w:pPr>
      <w:r>
        <w:rPr>
          <w:rFonts w:ascii="Palatino Linotype" w:hAnsi="Palatino Linotype"/>
          <w:b/>
          <w:sz w:val="19"/>
        </w:rPr>
        <w:t>CRediT Authorship Contribution Statement</w:t>
      </w:r>
    </w:p>
    <w:p w:rsidR="0004785D" w:rsidRPr="0004785D" w:rsidRDefault="0004785D" w:rsidP="00AC3118">
      <w:pPr>
        <w:pStyle w:val="MDPI62backmatter"/>
        <w:spacing w:before="0" w:after="40" w:line="230" w:lineRule="auto"/>
        <w:ind w:left="0" w:firstLine="426"/>
        <w:jc w:val="both"/>
        <w:rPr>
          <w:sz w:val="20"/>
        </w:rPr>
      </w:pPr>
      <w:r>
        <w:rPr>
          <w:rFonts w:ascii="Palatino Linotype" w:hAnsi="Palatino Linotype"/>
          <w:sz w:val="18"/>
        </w:rPr>
        <w:t>Conceptualization, H.P. and N.V.; methodology, H.P. and P.B.; software, H.P., N.V., P.B. and Y.G.; validation, H.P., N.V. and Y.G.; formal analysis, H.P. and P.B.; investigation, N.V. and Y.G.; data curation, P.B. and Y.G.; writing—original draft preparation, H.P., N.V., P.B. and Y.G.; writing—review and editing, B.T.; visualization, N.V. and P.B.; supervision, B.T.; project administration, B.T. All authors have read and agreed to the published version of the manuscript.</w:t>
      </w:r>
    </w:p>
    <w:p w:rsidR="00AD7C6A" w:rsidRDefault="00AD7C6A" w:rsidP="00703F2A">
      <w:pPr>
        <w:pBdr>
          <w:top w:val="nil"/>
          <w:left w:val="nil"/>
          <w:bottom w:val="nil"/>
          <w:right w:val="nil"/>
          <w:between w:val="nil"/>
        </w:pBdr>
        <w:spacing w:line="240" w:lineRule="auto" w:before="80" w:after="40"/>
        <w:jc w:val="both"/>
        <w:rPr>
          <w:rFonts w:ascii="Palatino Linotype" w:hAnsi="Palatino Linotype" w:cs="Times New Roman"/>
          <w:b/>
          <w:sz w:val="20"/>
          <w:szCs w:val="20"/>
        </w:rPr>
      </w:pPr>
      <w:r>
        <w:rPr>
          <w:rFonts w:ascii="Palatino Linotype" w:hAnsi="Palatino Linotype"/>
          <w:b/>
          <w:sz w:val="20"/>
        </w:rPr>
        <w:t>References</w:t>
      </w:r>
    </w:p>
    <w:p>
      <w:pPr>
        <w:spacing w:line="228" w:lineRule="auto" w:before="0" w:after="30"/>
        <w:jc w:val="both"/>
      </w:pPr>
      <w:r>
        <w:rPr>
          <w:rFonts w:ascii="Palatino Linotype" w:hAnsi="Palatino Linotype"/>
          <w:sz w:val="17"/>
        </w:rPr>
        <w:t>[1] S. A. Ryder, “Diagnosing Transformer Faults Using Frequency Response Analysis,” IEEE Electrical Insulation Magazine, Vol. 19, No. 2, pp. 16-22, 2003.</w:t>
      </w:r>
    </w:p>
    <w:p>
      <w:pPr>
        <w:spacing w:line="228" w:lineRule="auto" w:before="0" w:after="30"/>
        <w:jc w:val="both"/>
      </w:pPr>
      <w:r>
        <w:rPr>
          <w:rFonts w:ascii="Palatino Linotype" w:hAnsi="Palatino Linotype"/>
          <w:sz w:val="17"/>
        </w:rPr>
        <w:t>[2] IEC 60076-18, “Power Transformers - Part 18: Measurement of Frequency Response,” International Electrotechnical Commission (IEC), Geneva, Switzerland, 2012.</w:t>
      </w:r>
    </w:p>
    <w:p>
      <w:pPr>
        <w:spacing w:line="228" w:lineRule="auto" w:before="0" w:after="30"/>
        <w:jc w:val="both"/>
      </w:pPr>
      <w:r>
        <w:rPr>
          <w:rFonts w:ascii="Palatino Linotype" w:hAnsi="Palatino Linotype"/>
          <w:sz w:val="17"/>
        </w:rPr>
        <w:t>[3] A. Shintemirov, W. H. Tang and Q. H. Wu, “Transformer Winding Condition Assessment Using Frequency Response Analysis and Evidential Reasoning,” IET Electric Power Applications, Vol. 4, No. 3, pp. 198-212, 2010.</w:t>
      </w:r>
    </w:p>
    <w:p>
      <w:pPr>
        <w:spacing w:line="228" w:lineRule="auto" w:before="0" w:after="30"/>
        <w:jc w:val="both"/>
      </w:pPr>
      <w:r>
        <w:rPr>
          <w:rFonts w:ascii="Palatino Linotype" w:hAnsi="Palatino Linotype"/>
          <w:sz w:val="17"/>
        </w:rPr>
        <w:t>[4] M. Tahir and S. Tenbohlen, “Analysis of Transformer Winding Faults Using High-Frequency Models,” Energies, Vol. 12, No. 3, pp. 1-16, 2019.</w:t>
      </w:r>
    </w:p>
    <w:p>
      <w:pPr>
        <w:spacing w:line="228" w:lineRule="auto" w:before="0" w:after="30"/>
        <w:jc w:val="both"/>
      </w:pPr>
      <w:r>
        <w:rPr>
          <w:rFonts w:ascii="Palatino Linotype" w:hAnsi="Palatino Linotype"/>
          <w:sz w:val="17"/>
        </w:rPr>
        <w:t>[5] N. Abeywickrama, Y. V. Serdyuk and S. M. Gubanski, “Effect of Core Magnetization on Frequency Response Analysis of Power Transformers,” IEEE Transactions on Magnetics, Vol. 44, No. 6, pp. 1543-1550, 2008.</w:t>
      </w:r>
    </w:p>
    <w:p>
      <w:pPr>
        <w:spacing w:line="228" w:lineRule="auto" w:before="0" w:after="30"/>
        <w:jc w:val="both"/>
      </w:pPr>
      <w:r>
        <w:rPr>
          <w:rFonts w:ascii="Palatino Linotype" w:hAnsi="Palatino Linotype"/>
          <w:sz w:val="17"/>
        </w:rPr>
        <w:t>[6] Z. Zhang, H. Wen and Z. Li, “Deep Learning in FRA-Based Transformer Fault Diagnosis,” IET Generation, Transmission &amp; Distribution, Vol. 15, No. 12, pp. 1789-1799, 2021.</w:t>
      </w:r>
    </w:p>
    <w:p>
      <w:pPr>
        <w:spacing w:line="228" w:lineRule="auto" w:before="0" w:after="30"/>
        <w:jc w:val="both"/>
      </w:pPr>
      <w:r>
        <w:rPr>
          <w:rFonts w:ascii="Palatino Linotype" w:hAnsi="Palatino Linotype"/>
          <w:sz w:val="17"/>
        </w:rPr>
        <w:t>[7] V. Chandola, A. Banerjee and V. Kumar, “Anomaly Detection: A Survey,” ACM Computing Surveys, Vol. 41, No. 3, pp. 1-58, 2009.</w:t>
      </w:r>
    </w:p>
    <w:p>
      <w:pPr>
        <w:spacing w:line="228" w:lineRule="auto" w:before="0" w:after="30"/>
        <w:jc w:val="both"/>
      </w:pPr>
      <w:r>
        <w:rPr>
          <w:rFonts w:ascii="Palatino Linotype" w:hAnsi="Palatino Linotype"/>
          <w:sz w:val="17"/>
        </w:rPr>
        <w:t>[8] F. Chollet, “Deep Learning with Python,” 2nd ed., Manning Publications, Shelter Island, NY, USA, 2021.</w:t>
      </w:r>
    </w:p>
    <w:p>
      <w:pPr>
        <w:spacing w:line="228" w:lineRule="auto" w:before="0" w:after="30"/>
        <w:jc w:val="both"/>
      </w:pPr>
      <w:r>
        <w:rPr>
          <w:rFonts w:ascii="Palatino Linotype" w:hAnsi="Palatino Linotype"/>
          <w:sz w:val="17"/>
        </w:rPr>
        <w:t>[9] A. Géron, “Hands-On Machine Learning with Scikit-Learn, Keras, and TensorFlow,” 3rd ed., O’Reilly Media, Sebastopol, CA, USA, 2022.</w:t>
      </w:r>
    </w:p>
    <w:p>
      <w:pPr>
        <w:spacing w:line="228" w:lineRule="auto" w:before="0" w:after="30"/>
        <w:jc w:val="both"/>
      </w:pPr>
      <w:r>
        <w:rPr>
          <w:rFonts w:ascii="Palatino Linotype" w:hAnsi="Palatino Linotype"/>
          <w:sz w:val="17"/>
        </w:rPr>
        <w:t>[10] M. Phillip, A. Singh and C. J. Ramlal, “Narrow Band Frequency Response Analysis of Power Transformers with Deep Learning,” Energies, Vol. 16, No. 17, art. no. 6347, 2023.</w:t>
      </w:r>
    </w:p>
    <w:p>
      <w:pPr>
        <w:spacing w:line="228" w:lineRule="auto" w:before="0" w:after="30"/>
        <w:jc w:val="both"/>
      </w:pPr>
      <w:r>
        <w:rPr>
          <w:rFonts w:ascii="Palatino Linotype" w:hAnsi="Palatino Linotype"/>
          <w:sz w:val="17"/>
        </w:rPr>
        <w:t>[11] J. R. Secue and E. Mombello, “Sweep Frequency Response Analysis (SFRA) for the Assessment of Winding Displacements and Deformation in Power Transformers,” Electric Power Systems Research, Vol. 78, No. 6, pp. 1119-1128, 2008.</w:t>
      </w:r>
    </w:p>
    <w:p>
      <w:pPr>
        <w:spacing w:line="228" w:lineRule="auto" w:before="0" w:after="30"/>
        <w:jc w:val="both"/>
      </w:pPr>
      <w:r>
        <w:rPr>
          <w:rFonts w:ascii="Palatino Linotype" w:hAnsi="Palatino Linotype"/>
          <w:sz w:val="17"/>
        </w:rPr>
        <w:t>[12] M. Bagheri, M. S. Naderi, T. Blackburn and T. Phung, “Frequency Response Analysis and Short-Circuit Impedance Measurement in Detection of Winding Deformation Within Power Transformers,” IEEE Electrical Insulation Magazine, Vol. 29, No. 3, pp. 33-40, 2013.</w:t>
      </w:r>
    </w:p>
    <w:p>
      <w:pPr>
        <w:spacing w:line="228" w:lineRule="auto" w:before="0" w:after="30"/>
        <w:jc w:val="both"/>
      </w:pPr>
      <w:r>
        <w:rPr>
          <w:rFonts w:ascii="Palatino Linotype" w:hAnsi="Palatino Linotype"/>
          <w:sz w:val="17"/>
        </w:rPr>
        <w:t>[13] V. Behjat, A. Vahedi, A. Setayeshmehr, H. Borsi and E. Gockenbach, “Sweep Frequency Response Analysis for Diagnosis of Low-Level Short Circuit Faults on the Windings of Power Transformers: An Experimental Study,” International Journal of Electrical Power &amp; Energy Systems, Vol. 42, No. 1, pp. 78-90, 2012.</w:t>
      </w:r>
    </w:p>
    <w:p>
      <w:pPr>
        <w:spacing w:line="228" w:lineRule="auto" w:before="0" w:after="30"/>
        <w:jc w:val="both"/>
      </w:pPr>
      <w:r>
        <w:rPr>
          <w:rFonts w:ascii="Palatino Linotype" w:hAnsi="Palatino Linotype"/>
          <w:sz w:val="17"/>
        </w:rPr>
        <w:t>[14] H. Zhang, S. Wang, D. Yuan and X. Tao, “Double-Ladder Circuit Model of Transformer Winding for Frequency Response Analysis Considering Frequency-Dependent Losses,” IEEE Transactions on Magnetics, Vol. 51, No. 11, pp. 1-4, 2015.</w:t>
      </w:r>
    </w:p>
    <w:p>
      <w:pPr>
        <w:spacing w:line="228" w:lineRule="auto" w:before="0" w:after="30"/>
        <w:jc w:val="both"/>
      </w:pPr>
      <w:r>
        <w:rPr>
          <w:rFonts w:ascii="Palatino Linotype" w:hAnsi="Palatino Linotype"/>
          <w:sz w:val="17"/>
        </w:rPr>
        <w:t>[15] T. Ince, S. Kiranyaz, L. Eren, M. Askar and M. Gabbouj, “Real-Time Motor Fault Detection by 1-D Convolutional Neural Networks,” IEEE Transactions on Industrial Electronics, Vol. 63, No. 11, pp. 7067-7075, 2016.</w:t>
      </w:r>
    </w:p>
    <w:p>
      <w:pPr>
        <w:spacing w:line="228" w:lineRule="auto" w:before="0" w:after="30"/>
        <w:jc w:val="both"/>
      </w:pPr>
      <w:r>
        <w:rPr>
          <w:rFonts w:ascii="Palatino Linotype" w:hAnsi="Palatino Linotype"/>
          <w:sz w:val="17"/>
        </w:rPr>
        <w:t>[16] M. Sakurada and T. Yairi, “Anomaly Detection Using Autoencoders with Nonlinear Dimensionality Reduction,” 2nd Workshop on Machine Learning for Sensory Data Analysis (MLSDA), Gold Coast, Australia, pp. 4-11, 2014.</w:t>
      </w:r>
    </w:p>
    <w:p>
      <w:pPr>
        <w:spacing w:line="228" w:lineRule="auto" w:before="0" w:after="30"/>
        <w:jc w:val="both"/>
      </w:pPr>
      <w:r>
        <w:rPr>
          <w:rFonts w:ascii="Palatino Linotype" w:hAnsi="Palatino Linotype"/>
          <w:sz w:val="17"/>
        </w:rPr>
        <w:t>[17] D. P. Kingma and J. Ba, “Adam: A Method for Stochastic Optimization,” 3rd International Conference on Learning Representations (ICLR), San Diego, CA, USA, pp. 1-15, 2015.</w:t>
      </w:r>
    </w:p>
    <w:p>
      <w:pPr>
        <w:spacing w:line="228" w:lineRule="auto" w:before="0" w:after="30"/>
        <w:jc w:val="both"/>
      </w:pPr>
      <w:r>
        <w:rPr>
          <w:rFonts w:ascii="Palatino Linotype" w:hAnsi="Palatino Linotype"/>
          <w:sz w:val="17"/>
        </w:rPr>
        <w:t>[18] N. Srivastava, G. Hinton, A. Krizhevsky, I. Sutskever and R. Salakhutdinov, “Dropout: A Simple Way to Prevent Neural Networks from Overfitting,” Journal of Machine Learning Research, Vol. 15, No. 1, pp. 1929-1958, 2014.</w:t>
      </w:r>
    </w:p>
    <w:p>
      <w:pPr>
        <w:spacing w:line="228" w:lineRule="auto" w:before="0" w:after="30"/>
        <w:jc w:val="both"/>
      </w:pPr>
      <w:r>
        <w:rPr>
          <w:rFonts w:ascii="Palatino Linotype" w:hAnsi="Palatino Linotype"/>
          <w:sz w:val="17"/>
        </w:rPr>
        <w:t>[19] F. Pedregosa et al., “Scikit-Learn: Machine Learning in Python,” Journal of Machine Learning Research, Vol. 12, pp. 2825-2830, 2011.</w:t>
      </w:r>
    </w:p>
    <w:p>
      <w:pPr>
        <w:spacing w:line="228" w:lineRule="auto" w:before="0" w:after="30"/>
        <w:jc w:val="both"/>
      </w:pPr>
      <w:r>
        <w:rPr>
          <w:rFonts w:ascii="Palatino Linotype" w:hAnsi="Palatino Linotype"/>
          <w:sz w:val="17"/>
        </w:rPr>
        <w:t>[20] A. Paszke et al., “PyTorch: An Imperative Style, High-Performance Deep Learning Library,” Advances in Neural Information Processing Systems (NeurIPS), Vol. 32, pp. 8024-8035, 2019.</w:t>
      </w:r>
    </w:p>
    <w:p w:rsidR="009E0D69" w:rsidRPr="009E0D69" w:rsidRDefault="009E0D69" w:rsidP="00703F2A">
      <w:pPr>
        <w:pStyle w:val="ListParagraph"/>
        <w:pBdr>
          <w:top w:val="nil"/>
          <w:left w:val="nil"/>
          <w:bottom w:val="nil"/>
          <w:right w:val="nil"/>
          <w:between w:val="nil"/>
        </w:pBdr>
        <w:tabs>
          <w:tab w:val="left" w:pos="360"/>
        </w:tabs>
        <w:spacing w:line="240" w:lineRule="auto" w:before="0" w:after="0"/>
        <w:ind w:left="360"/>
        <w:jc w:val="both"/>
        <w:rPr>
          <w:rFonts w:ascii="Times New Roman" w:hAnsi="Times New Roman" w:cs="Times New Roman"/>
          <w:b/>
          <w:sz w:val="20"/>
          <w:szCs w:val="20"/>
        </w:rPr>
        <w:sectPr w:rsidR="009E0D69" w:rsidRPr="009E0D69" w:rsidSect="005A474D">
          <w:type w:val="continuous"/>
          <w:pgSz w:w="12240" w:h="15840"/>
          <w:pgMar w:top="1080" w:right="1080" w:bottom="1080" w:left="1080" w:header="540" w:footer="720" w:gutter="0"/>
          <w:cols w:num="2" w:space="360"/>
          <w:docGrid w:linePitch="360"/>
        </w:sectPr>
      </w:pPr>
      <w:r/>
    </w:p>
    <w:p w:rsidR="000573BB" w:rsidRDefault="000573BB" w:rsidP="00703F2A">
      <w:pPr>
        <w:spacing w:before="240" w:line="240" w:lineRule="auto"/>
        <w:jc w:val="center"/>
        <w:rPr>
          <w:rFonts w:ascii="Times New Roman" w:hAnsi="Times New Roman" w:cs="Times New Roman"/>
          <w:sz w:val="20"/>
          <w:szCs w:val="20"/>
        </w:rPr>
      </w:pPr>
    </w:p>
    <w:p w:rsidR="000573BB" w:rsidRPr="00B6748F" w:rsidRDefault="000573BB" w:rsidP="000573BB">
      <w:pPr>
        <w:pStyle w:val="ListParagraph"/>
        <w:spacing w:after="0" w:line="240" w:lineRule="auto"/>
        <w:ind w:left="0"/>
        <w:jc w:val="both"/>
        <w:rPr>
          <w:rFonts w:ascii="Palatino Linotype" w:hAnsi="Palatino Linotype"/>
          <w:sz w:val="20"/>
          <w:szCs w:val="20"/>
        </w:rPr>
      </w:pPr>
      <w:r w:rsidRPr="00B6748F">
        <w:rPr>
          <w:rFonts w:ascii="Palatino Linotype" w:eastAsia="DengXian" w:hAnsi="Palatino Linotype"/>
          <w:b/>
          <w:bCs/>
          <w:noProof/>
          <w:sz w:val="20"/>
          <w:szCs w:val="20"/>
          <w:lang w:val="en-IN" w:eastAsia="en-IN"/>
        </w:rPr>
        <w:drawing>
          <wp:anchor distT="0" distB="0" distL="114300" distR="114300" simplePos="0" relativeHeight="251659264" behindDoc="0" locked="0" layoutInCell="1" allowOverlap="1" wp14:anchorId="2BD86FBE" wp14:editId="2943911C">
            <wp:simplePos x="0" y="0"/>
            <wp:positionH relativeFrom="column">
              <wp:posOffset>313055</wp:posOffset>
            </wp:positionH>
            <wp:positionV relativeFrom="paragraph">
              <wp:posOffset>3353</wp:posOffset>
            </wp:positionV>
            <wp:extent cx="1298575" cy="454025"/>
            <wp:effectExtent l="0" t="0" r="0" b="0"/>
            <wp:wrapSquare wrapText="bothSides"/>
            <wp:docPr id="3982002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98575" cy="454025"/>
                    </a:xfrm>
                    <a:prstGeom prst="rect">
                      <a:avLst/>
                    </a:prstGeom>
                    <a:noFill/>
                  </pic:spPr>
                </pic:pic>
              </a:graphicData>
            </a:graphic>
          </wp:anchor>
        </w:drawing>
      </w:r>
      <w:r w:rsidRPr="00B6748F">
        <w:rPr>
          <w:rFonts w:ascii="Palatino Linotype" w:eastAsia="DengXian" w:hAnsi="Palatino Linotype"/>
          <w:b/>
          <w:bCs/>
          <w:sz w:val="20"/>
          <w:szCs w:val="20"/>
          <w:lang w:bidi="en-US"/>
        </w:rPr>
        <w:t xml:space="preserve">Copyright: </w:t>
      </w:r>
      <w:r w:rsidRPr="00B6748F">
        <w:rPr>
          <w:rFonts w:ascii="Palatino Linotype" w:hAnsi="Palatino Linotype"/>
          <w:sz w:val="20"/>
          <w:szCs w:val="20"/>
        </w:rPr>
        <w:t xml:space="preserve">© 2025 by the authors, Licensee ITEECS, India. This article is an open access article distributed under the terms and conditions of the Creative Commons Attribution (CC BY) </w:t>
      </w:r>
      <w:r w:rsidRPr="00496567">
        <w:rPr>
          <w:rFonts w:ascii="Palatino Linotype" w:hAnsi="Palatino Linotype"/>
          <w:sz w:val="20"/>
          <w:szCs w:val="20"/>
        </w:rPr>
        <w:t>license (</w:t>
      </w:r>
      <w:hyperlink r:id="rId24" w:history="1">
        <w:r w:rsidRPr="00496567">
          <w:rPr>
            <w:rStyle w:val="Hyperlink"/>
            <w:rFonts w:ascii="Palatino Linotype" w:hAnsi="Palatino Linotype"/>
            <w:sz w:val="20"/>
            <w:szCs w:val="20"/>
            <w:u w:val="none"/>
          </w:rPr>
          <w:t>https://creativecommons.org/licenses/by/4.0/</w:t>
        </w:r>
      </w:hyperlink>
      <w:r w:rsidRPr="00496567">
        <w:rPr>
          <w:rFonts w:ascii="Palatino Linotype" w:hAnsi="Palatino Linotype"/>
          <w:sz w:val="20"/>
          <w:szCs w:val="20"/>
        </w:rPr>
        <w:t>).</w:t>
      </w:r>
    </w:p>
    <w:p w:rsidR="000573BB" w:rsidRPr="00B6748F" w:rsidRDefault="000573BB" w:rsidP="000573BB">
      <w:pPr>
        <w:spacing w:after="0" w:line="240" w:lineRule="auto"/>
        <w:jc w:val="center"/>
        <w:rPr>
          <w:rFonts w:ascii="Times New Roman" w:hAnsi="Times New Roman" w:cs="Times New Roman"/>
          <w:sz w:val="20"/>
          <w:szCs w:val="20"/>
        </w:rPr>
      </w:pPr>
      <w:r w:rsidRPr="00B6748F">
        <w:rPr>
          <w:rFonts w:ascii="Times New Roman" w:hAnsi="Times New Roman" w:cs="Times New Roman"/>
          <w:sz w:val="20"/>
          <w:szCs w:val="20"/>
        </w:rPr>
        <w:t>***</w:t>
      </w:r>
    </w:p>
    <w:sectPr w:rsidR="000573BB" w:rsidRPr="00B6748F" w:rsidSect="000573BB">
      <w:type w:val="continuous"/>
      <w:pgSz w:w="12240" w:h="15840"/>
      <w:pgMar w:top="720" w:right="1041" w:bottom="720" w:left="720" w:header="27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D1909" w:rsidRDefault="001D1909" w:rsidP="0060487A">
      <w:pPr>
        <w:spacing w:after="0" w:line="240" w:lineRule="auto"/>
      </w:pPr>
      <w:r>
        <w:separator/>
      </w:r>
    </w:p>
  </w:endnote>
  <w:endnote w:type="continuationSeparator" w:id="0">
    <w:p w:rsidR="001D1909" w:rsidRDefault="001D1909" w:rsidP="00604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DengXian">
    <w:altName w:val="SimSun"/>
    <w:panose1 w:val="02010600030101010101"/>
    <w:charset w:val="86"/>
    <w:family w:val="auto"/>
    <w:pitch w:val="default"/>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D1909" w:rsidRDefault="001D1909" w:rsidP="0060487A">
      <w:pPr>
        <w:spacing w:after="0" w:line="240" w:lineRule="auto"/>
      </w:pPr>
      <w:r>
        <w:separator/>
      </w:r>
    </w:p>
  </w:footnote>
  <w:footnote w:type="continuationSeparator" w:id="0">
    <w:p w:rsidR="001D1909" w:rsidRDefault="001D1909" w:rsidP="006048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0487A" w:rsidRPr="0096233C" w:rsidRDefault="00FF1092" w:rsidP="0060487A">
    <w:pPr>
      <w:spacing w:after="0"/>
      <w:rPr>
        <w:rFonts w:ascii="Palatino Linotype" w:hAnsi="Palatino Linotype" w:cs="Arial"/>
        <w:sz w:val="20"/>
        <w:szCs w:val="20"/>
      </w:rPr>
    </w:pPr>
    <w:r>
      <w:rPr>
        <w:rFonts w:ascii="Palatino Linotype" w:hAnsi="Palatino Linotype" w:cs="Arial"/>
        <w:sz w:val="20"/>
        <w:szCs w:val="20"/>
      </w:rPr>
      <w:t xml:space="preserve">International </w:t>
    </w:r>
    <w:r w:rsidR="0060487A" w:rsidRPr="0096233C">
      <w:rPr>
        <w:rFonts w:ascii="Palatino Linotype" w:hAnsi="Palatino Linotype" w:cs="Arial"/>
        <w:sz w:val="20"/>
        <w:szCs w:val="20"/>
      </w:rPr>
      <w:t>Transactions on Electrical Engineering and Computer Science</w:t>
    </w:r>
  </w:p>
  <w:p w:rsidR="0060487A" w:rsidRPr="0096233C" w:rsidRDefault="0060487A" w:rsidP="0060487A">
    <w:pPr>
      <w:rPr>
        <w:rFonts w:ascii="Palatino Linotype" w:hAnsi="Palatino Linotype" w:cs="Arial"/>
        <w:sz w:val="20"/>
        <w:szCs w:val="20"/>
      </w:rPr>
    </w:pPr>
    <w:r/>
    <w:r>
      <w:rPr>
        <w:rFonts w:ascii="Palatino Linotype" w:hAnsi="Palatino Linotype"/>
        <w:i/>
        <w:sz w:val="18"/>
      </w:rPr>
      <w:t>Harini Panigrahi et.al., Vol: X, No: X, pp: xxx-xxx, YYYY</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A3212F"/>
    <w:multiLevelType w:val="hybridMultilevel"/>
    <w:tmpl w:val="F0FC87C6"/>
    <w:lvl w:ilvl="0" w:tplc="16AE5B36">
      <w:start w:val="1"/>
      <w:numFmt w:val="decimal"/>
      <w:lvlText w:val="[%1]"/>
      <w:lvlJc w:val="left"/>
      <w:pPr>
        <w:ind w:left="720" w:hanging="360"/>
      </w:pPr>
      <w:rPr>
        <w:rFonts w:hint="default"/>
        <w:i w:val="0"/>
        <w:color w:val="auto"/>
        <w:sz w:val="20"/>
        <w:szCs w:val="18"/>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D5B0816"/>
    <w:multiLevelType w:val="hybridMultilevel"/>
    <w:tmpl w:val="ED183736"/>
    <w:lvl w:ilvl="0" w:tplc="E0B03EB4">
      <w:start w:val="1"/>
      <w:numFmt w:val="decimal"/>
      <w:lvlText w:val="[%19]"/>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4FE7B78"/>
    <w:multiLevelType w:val="hybridMultilevel"/>
    <w:tmpl w:val="F0D22E24"/>
    <w:lvl w:ilvl="0" w:tplc="AA4A53E6">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FCB3983"/>
    <w:multiLevelType w:val="hybridMultilevel"/>
    <w:tmpl w:val="08805F3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789E0C94"/>
    <w:multiLevelType w:val="multilevel"/>
    <w:tmpl w:val="501CDA2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4"/>
  </w:num>
  <w:num w:numId="2">
    <w:abstractNumId w:val="2"/>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2"/>
  </w:compat>
  <w:docVars>
    <w:docVar w:name="__Grammarly_42____i" w:val="H4sIAAAAAAAEAKtWckksSQxILCpxzi/NK1GyMqwFAAEhoTITAAAA"/>
    <w:docVar w:name="__Grammarly_42___1" w:val="H4sIAAAAAAAEAKtWcslP9kxRslIyNDYysTAztjC3tDQ2MjQztjRS0lEKTi0uzszPAymwrAUAdM4AnywAAAA="/>
  </w:docVars>
  <w:rsids>
    <w:rsidRoot w:val="00AA23E7"/>
    <w:rsid w:val="00012226"/>
    <w:rsid w:val="0004785D"/>
    <w:rsid w:val="000561D5"/>
    <w:rsid w:val="000573BB"/>
    <w:rsid w:val="00066999"/>
    <w:rsid w:val="00090E16"/>
    <w:rsid w:val="000B0E7C"/>
    <w:rsid w:val="000C58D2"/>
    <w:rsid w:val="000D5028"/>
    <w:rsid w:val="00127978"/>
    <w:rsid w:val="001759D5"/>
    <w:rsid w:val="001D1909"/>
    <w:rsid w:val="00213274"/>
    <w:rsid w:val="00224C1F"/>
    <w:rsid w:val="002A5870"/>
    <w:rsid w:val="002F2A94"/>
    <w:rsid w:val="0037501A"/>
    <w:rsid w:val="00391A1B"/>
    <w:rsid w:val="003C4F48"/>
    <w:rsid w:val="003F2D59"/>
    <w:rsid w:val="00412B3F"/>
    <w:rsid w:val="00425FAB"/>
    <w:rsid w:val="00496567"/>
    <w:rsid w:val="004B20D4"/>
    <w:rsid w:val="004F3A41"/>
    <w:rsid w:val="005048DC"/>
    <w:rsid w:val="005467C7"/>
    <w:rsid w:val="0056595E"/>
    <w:rsid w:val="005779A5"/>
    <w:rsid w:val="005A222E"/>
    <w:rsid w:val="005A474D"/>
    <w:rsid w:val="005E6AE8"/>
    <w:rsid w:val="005F1D37"/>
    <w:rsid w:val="0060487A"/>
    <w:rsid w:val="00696566"/>
    <w:rsid w:val="00697F5D"/>
    <w:rsid w:val="006B3171"/>
    <w:rsid w:val="006B7274"/>
    <w:rsid w:val="006D7AAF"/>
    <w:rsid w:val="006E057F"/>
    <w:rsid w:val="007000AE"/>
    <w:rsid w:val="00703F2A"/>
    <w:rsid w:val="00710FFA"/>
    <w:rsid w:val="00724D25"/>
    <w:rsid w:val="00802D5E"/>
    <w:rsid w:val="0084002E"/>
    <w:rsid w:val="008B3A5F"/>
    <w:rsid w:val="008C606A"/>
    <w:rsid w:val="008F4FDA"/>
    <w:rsid w:val="00926A4D"/>
    <w:rsid w:val="0096233C"/>
    <w:rsid w:val="009A0A2D"/>
    <w:rsid w:val="009A6352"/>
    <w:rsid w:val="009B2041"/>
    <w:rsid w:val="009D194E"/>
    <w:rsid w:val="009D24DC"/>
    <w:rsid w:val="009E0D69"/>
    <w:rsid w:val="00A1748C"/>
    <w:rsid w:val="00A50725"/>
    <w:rsid w:val="00A62D38"/>
    <w:rsid w:val="00AA23E7"/>
    <w:rsid w:val="00AC3118"/>
    <w:rsid w:val="00AD7C6A"/>
    <w:rsid w:val="00B313DF"/>
    <w:rsid w:val="00B3239D"/>
    <w:rsid w:val="00B32B6E"/>
    <w:rsid w:val="00B36C06"/>
    <w:rsid w:val="00B81EE5"/>
    <w:rsid w:val="00BA326A"/>
    <w:rsid w:val="00C0602E"/>
    <w:rsid w:val="00C31611"/>
    <w:rsid w:val="00C65066"/>
    <w:rsid w:val="00C91BC9"/>
    <w:rsid w:val="00CA35E5"/>
    <w:rsid w:val="00D63FD8"/>
    <w:rsid w:val="00D729C8"/>
    <w:rsid w:val="00D85BDD"/>
    <w:rsid w:val="00D86199"/>
    <w:rsid w:val="00DA6643"/>
    <w:rsid w:val="00DD2C8F"/>
    <w:rsid w:val="00E257B1"/>
    <w:rsid w:val="00E45159"/>
    <w:rsid w:val="00EE15E8"/>
    <w:rsid w:val="00EF7820"/>
    <w:rsid w:val="00F761D6"/>
    <w:rsid w:val="00F8270A"/>
    <w:rsid w:val="00FA2399"/>
    <w:rsid w:val="00FA5091"/>
    <w:rsid w:val="00FB0A6D"/>
    <w:rsid w:val="00FF10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F82758"/>
  <w15:docId w15:val="{0FCFE930-12D9-4962-9B7D-06BC99340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467C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60487A"/>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60487A"/>
  </w:style>
  <w:style w:type="paragraph" w:styleId="Footer">
    <w:name w:val="footer"/>
    <w:basedOn w:val="Normal"/>
    <w:link w:val="FooterChar"/>
    <w:uiPriority w:val="99"/>
    <w:semiHidden/>
    <w:unhideWhenUsed/>
    <w:rsid w:val="0060487A"/>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60487A"/>
  </w:style>
  <w:style w:type="table" w:styleId="TableGrid">
    <w:name w:val="Table Grid"/>
    <w:basedOn w:val="TableNormal"/>
    <w:uiPriority w:val="59"/>
    <w:rsid w:val="007000AE"/>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FB0A6D"/>
    <w:pPr>
      <w:ind w:left="720"/>
      <w:contextualSpacing/>
    </w:pPr>
  </w:style>
  <w:style w:type="character" w:styleId="Hyperlink">
    <w:name w:val="Hyperlink"/>
    <w:basedOn w:val="DefaultParagraphFont"/>
    <w:uiPriority w:val="99"/>
    <w:unhideWhenUsed/>
    <w:rsid w:val="000573BB"/>
    <w:rPr>
      <w:color w:val="351AFE"/>
      <w:u w:val="single"/>
    </w:rPr>
  </w:style>
  <w:style w:type="paragraph" w:customStyle="1" w:styleId="MDPI62backmatter">
    <w:name w:val="MDPI_6.2_back_matter"/>
    <w:qFormat/>
    <w:rsid w:val="0004785D"/>
    <w:pPr>
      <w:adjustRightInd w:val="0"/>
      <w:snapToGrid w:val="0"/>
      <w:spacing w:after="120" w:line="280" w:lineRule="atLeast"/>
      <w:ind w:left="2608"/>
      <w:jc w:val="both"/>
    </w:pPr>
    <w:rPr>
      <w:rFonts w:ascii="Palatino Linotype" w:eastAsia="Times New Roman" w:hAnsi="Palatino Linotype" w:cs="Times New Roman"/>
      <w:snapToGrid w:val="0"/>
      <w:color w:val="000000"/>
      <w:sz w:val="18"/>
      <w:szCs w:val="20"/>
      <w:lang w:bidi="en-US"/>
    </w:rPr>
  </w:style>
  <w:style w:type="character" w:styleId="Emphasis">
    <w:name w:val="Emphasis"/>
    <w:basedOn w:val="DefaultParagraphFont"/>
    <w:uiPriority w:val="20"/>
    <w:qFormat/>
    <w:rsid w:val="00AC311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3782776">
      <w:bodyDiv w:val="1"/>
      <w:marLeft w:val="0"/>
      <w:marRight w:val="0"/>
      <w:marTop w:val="0"/>
      <w:marBottom w:val="0"/>
      <w:divBdr>
        <w:top w:val="none" w:sz="0" w:space="0" w:color="auto"/>
        <w:left w:val="none" w:sz="0" w:space="0" w:color="auto"/>
        <w:bottom w:val="none" w:sz="0" w:space="0" w:color="auto"/>
        <w:right w:val="none" w:sz="0" w:space="0" w:color="auto"/>
      </w:divBdr>
    </w:div>
    <w:div w:id="419183304">
      <w:bodyDiv w:val="1"/>
      <w:marLeft w:val="0"/>
      <w:marRight w:val="0"/>
      <w:marTop w:val="0"/>
      <w:marBottom w:val="0"/>
      <w:divBdr>
        <w:top w:val="none" w:sz="0" w:space="0" w:color="auto"/>
        <w:left w:val="none" w:sz="0" w:space="0" w:color="auto"/>
        <w:bottom w:val="none" w:sz="0" w:space="0" w:color="auto"/>
        <w:right w:val="none" w:sz="0" w:space="0" w:color="auto"/>
      </w:divBdr>
    </w:div>
    <w:div w:id="475074413">
      <w:bodyDiv w:val="1"/>
      <w:marLeft w:val="0"/>
      <w:marRight w:val="0"/>
      <w:marTop w:val="0"/>
      <w:marBottom w:val="0"/>
      <w:divBdr>
        <w:top w:val="none" w:sz="0" w:space="0" w:color="auto"/>
        <w:left w:val="none" w:sz="0" w:space="0" w:color="auto"/>
        <w:bottom w:val="none" w:sz="0" w:space="0" w:color="auto"/>
        <w:right w:val="none" w:sz="0" w:space="0" w:color="auto"/>
      </w:divBdr>
    </w:div>
    <w:div w:id="499661140">
      <w:bodyDiv w:val="1"/>
      <w:marLeft w:val="0"/>
      <w:marRight w:val="0"/>
      <w:marTop w:val="0"/>
      <w:marBottom w:val="0"/>
      <w:divBdr>
        <w:top w:val="none" w:sz="0" w:space="0" w:color="auto"/>
        <w:left w:val="none" w:sz="0" w:space="0" w:color="auto"/>
        <w:bottom w:val="none" w:sz="0" w:space="0" w:color="auto"/>
        <w:right w:val="none" w:sz="0" w:space="0" w:color="auto"/>
      </w:divBdr>
    </w:div>
    <w:div w:id="1068454180">
      <w:bodyDiv w:val="1"/>
      <w:marLeft w:val="0"/>
      <w:marRight w:val="0"/>
      <w:marTop w:val="0"/>
      <w:marBottom w:val="0"/>
      <w:divBdr>
        <w:top w:val="none" w:sz="0" w:space="0" w:color="auto"/>
        <w:left w:val="none" w:sz="0" w:space="0" w:color="auto"/>
        <w:bottom w:val="none" w:sz="0" w:space="0" w:color="auto"/>
        <w:right w:val="none" w:sz="0" w:space="0" w:color="auto"/>
      </w:divBdr>
    </w:div>
    <w:div w:id="1146581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orcid.org/0009-0008-9039-6219" TargetMode="External"/><Relationship Id="rId13" Type="http://schemas.openxmlformats.org/officeDocument/2006/relationships/hyperlink" Target="mailto:sahithikandhukuri37@gmail.com" TargetMode="External"/><Relationship Id="rId18" Type="http://schemas.openxmlformats.org/officeDocument/2006/relationships/hyperlink" Target="https://doi.org/10.1109/TIA.2024.3360372"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1007/978-981-13-1921-1_55"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oleObject" Target="embeddings/oleObject2.bin"/><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emf"/><Relationship Id="rId20" Type="http://schemas.openxmlformats.org/officeDocument/2006/relationships/hyperlink" Target="https://doi.org/10.1109/EPQU.2007.442421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creativecommons.org/licenses/by/4.0/" TargetMode="External"/><Relationship Id="rId5" Type="http://schemas.openxmlformats.org/officeDocument/2006/relationships/webSettings" Target="webSettings.xml"/><Relationship Id="rId15" Type="http://schemas.openxmlformats.org/officeDocument/2006/relationships/oleObject" Target="embeddings/oleObject1.bin"/><Relationship Id="rId23" Type="http://schemas.openxmlformats.org/officeDocument/2006/relationships/image" Target="media/image5.png"/><Relationship Id="rId10" Type="http://schemas.openxmlformats.org/officeDocument/2006/relationships/image" Target="media/image1.png"/><Relationship Id="rId19" Type="http://schemas.openxmlformats.org/officeDocument/2006/relationships/hyperlink" Target="https://doi.org/10.1016/j.suscom.2024.100978" TargetMode="External"/><Relationship Id="rId4" Type="http://schemas.openxmlformats.org/officeDocument/2006/relationships/settings" Target="settings.xml"/><Relationship Id="rId9" Type="http://schemas.openxmlformats.org/officeDocument/2006/relationships/hyperlink" Target="https://orcid.org/0009-0001-9512-772X" TargetMode="External"/><Relationship Id="rId14" Type="http://schemas.openxmlformats.org/officeDocument/2006/relationships/image" Target="media/image3.wmf"/><Relationship Id="rId22" Type="http://schemas.openxmlformats.org/officeDocument/2006/relationships/hyperlink" Target="https://doi.org/10.1109/IEEESTD.2018.8332112" TargetMode="External"/><Relationship Id="rId27" Type="http://schemas.openxmlformats.org/officeDocument/2006/relationships/image" Target="media/image6.png"/><Relationship Id="rId28" Type="http://schemas.openxmlformats.org/officeDocument/2006/relationships/image" Target="media/image7.png"/><Relationship Id="rId29" Type="http://schemas.openxmlformats.org/officeDocument/2006/relationships/image" Target="media/image8.png"/><Relationship Id="rId30" Type="http://schemas.openxmlformats.org/officeDocument/2006/relationships/image" Target="media/image9.png"/><Relationship Id="rId31" Type="http://schemas.openxmlformats.org/officeDocument/2006/relationships/image" Target="media/image10.png"/><Relationship Id="rId32"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ED4E74-2903-4448-A986-52FBE3BC00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4</Pages>
  <Words>1499</Words>
  <Characters>9135</Characters>
  <Application>Microsoft Office Word</Application>
  <DocSecurity>0</DocSecurity>
  <Lines>234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abc</dc:creator>
  <cp:keywords/>
  <dc:description/>
  <cp:lastModifiedBy>R &amp; D</cp:lastModifiedBy>
  <cp:revision>35</cp:revision>
  <dcterms:created xsi:type="dcterms:W3CDTF">2020-10-31T17:26:00Z</dcterms:created>
  <dcterms:modified xsi:type="dcterms:W3CDTF">2025-11-24T05:36:00Z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5ace3d91-da6a-4beb-86cf-14328c97c319</vt:lpwstr>
  </property>
</Properties>
</file>