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240"/>
        <w:jc w:val="center"/>
        <w:rPr>
          <w:rFonts w:ascii="Times New Roman" w:hAnsi="Times New Roman" w:cs="Times New Roman"/>
          <w:b/>
          <w:sz w:val="48"/>
          <w:szCs w:val="48"/>
        </w:rPr>
      </w:pPr>
      <w:r/>
      <w:r>
        <w:rPr>
          <w:rFonts w:ascii="Times New Roman" w:hAnsi="Times New Roman"/>
          <w:b/>
          <w:color w:val="000000"/>
          <w:sz w:val="44"/>
        </w:rPr>
        <w:t>INTELLIFRA: A HYBRID DEEP LEARNING DIAGNOSTIC FRAMEWORK FOR AUTOMATED POWER TRANSFORMER FAULT CLASSIFICATION AND ANOMALY DETECTION USING SWEEP FREQUENCY RESPONSE ANALYSIS</w:t>
      </w:r>
    </w:p>
    <w:p w:rsidR="0060487A" w:rsidRPr="0060487A" w:rsidRDefault="0060487A" w:rsidP="0060487A">
      <w:pPr>
        <w:spacing w:before="240" w:after="0" w:line="240" w:lineRule="auto"/>
        <w:jc w:val="center"/>
        <w:rPr>
          <w:rFonts w:ascii="Times New Roman" w:hAnsi="Times New Roman" w:cs="Times New Roman"/>
          <w:sz w:val="24"/>
          <w:szCs w:val="24"/>
        </w:rPr>
      </w:pPr>
    </w:p>
    <w:p w:rsidR="0060487A" w:rsidRPr="007000AE" w:rsidRDefault="003F2D59" w:rsidP="005A474D">
      <w:pPr>
        <w:spacing w:after="120" w:line="600" w:lineRule="auto"/>
        <w:jc w:val="center"/>
        <w:rPr>
          <w:rFonts w:ascii="Times New Roman" w:hAnsi="Times New Roman"/>
          <w:sz w:val="24"/>
          <w:szCs w:val="24"/>
          <w:lang w:val="en-GB"/>
        </w:rPr>
      </w:pPr>
      <w:r>
        <w:rPr>
          <w:rFonts w:ascii="Times New Roman" w:hAnsi="Times New Roman"/>
          <w:sz w:val="24"/>
          <w:szCs w:val="24"/>
          <w:lang w:val="en-GB"/>
        </w:rPr>
        <w:t>Harini Panigrahi</w:t>
      </w:r>
      <w:r w:rsidR="009D194E">
        <w:rPr>
          <w:rFonts w:ascii="Times New Roman" w:hAnsi="Times New Roman"/>
          <w:sz w:val="24"/>
          <w:szCs w:val="24"/>
          <w:lang w:val="en-GB"/>
        </w:rPr>
        <w:t>¹</w:t>
      </w:r>
      <w:r>
        <w:rPr>
          <w:rFonts w:ascii="Times New Roman" w:hAnsi="Times New Roman"/>
          <w:sz w:val="24"/>
          <w:szCs w:val="24"/>
          <w:lang w:val="en-GB"/>
        </w:rPr>
      </w:r>
      <w:r w:rsidR="000573BB">
        <w:rPr>
          <w:rFonts w:ascii="Times New Roman" w:hAnsi="Times New Roman"/>
          <w:sz w:val="24"/>
          <w:szCs w:val="24"/>
          <w:vertAlign w:val="superscript"/>
          <w:lang w:val="en-GB"/>
        </w:rPr>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4"/>
          <w:szCs w:val="24"/>
          <w:lang w:val="en-GB"/>
        </w:rPr>
        <w:t xml:space="preserve">, </w:t>
      </w:r>
      <w:r>
        <w:rPr>
          <w:rFonts w:ascii="Times New Roman" w:hAnsi="Times New Roman"/>
          <w:sz w:val="24"/>
          <w:szCs w:val="24"/>
          <w:lang w:val="en-GB"/>
        </w:rPr>
        <w:t>Yooraj Gole¹</w:t>
      </w:r>
      <w:r w:rsidR="004B20D4">
        <w:rPr>
          <w:rFonts w:ascii="Times New Roman" w:hAnsi="Times New Roman"/>
          <w:sz w:val="24"/>
          <w:szCs w:val="24"/>
          <w:lang w:val="en-GB"/>
        </w:rPr>
        <w:t xml:space="preserve">, </w:t>
      </w:r>
      <w:r w:rsidR="009D194E">
        <w:rPr>
          <w:rFonts w:ascii="Times New Roman" w:hAnsi="Times New Roman"/>
          <w:sz w:val="24"/>
          <w:szCs w:val="24"/>
          <w:lang w:val="en-GB"/>
        </w:rPr>
        <w:t>Prapti Bhayde¹</w:t>
      </w:r>
      <w:r>
        <w:rPr>
          <w:rFonts w:ascii="Times New Roman" w:hAnsi="Times New Roman"/>
          <w:sz w:val="24"/>
          <w:szCs w:val="24"/>
          <w:lang w:val="en-GB"/>
        </w:rPr>
        <w:t xml:space="preserve">, </w:t>
      </w:r>
      <w:r w:rsidR="000573BB">
        <w:rPr>
          <w:rFonts w:ascii="Times New Roman" w:hAnsi="Times New Roman"/>
          <w:sz w:val="24"/>
          <w:szCs w:val="24"/>
          <w:vertAlign w:val="superscript"/>
          <w:lang w:val="en-GB"/>
        </w:rPr>
        <w:t>Neha Verma¹</w:t>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4"/>
          <w:szCs w:val="24"/>
          <w:lang w:val="en-GB"/>
        </w:rPr>
        <w:t xml:space="preserve">, </w:t>
      </w:r>
      <w:proofErr w:type="spellStart"/>
      <w:r w:rsidR="007000AE">
        <w:rPr>
          <w:rFonts w:ascii="Times New Roman" w:hAnsi="Times New Roman"/>
          <w:sz w:val="24"/>
          <w:szCs w:val="24"/>
          <w:lang w:val="en-GB"/>
        </w:rPr>
        <w:t>Bhanu Tekwani¹*</w:t>
      </w:r>
      <w:proofErr w:type="spellEnd"/>
      <w:r w:rsidR="007000AE">
        <w:rPr>
          <w:rFonts w:ascii="Times New Roman" w:hAnsi="Times New Roman"/>
          <w:sz w:val="24"/>
          <w:szCs w:val="24"/>
          <w:lang w:val="en-GB"/>
        </w:rPr>
        <w:t xml:space="preserve"> (12 pt)</w:t>
      </w:r>
      <w:r w:rsidR="00FF1092">
        <w:rPr>
          <w:rFonts w:ascii="Times New Roman" w:hAnsi="Times New Roman"/>
          <w:sz w:val="24"/>
          <w:szCs w:val="24"/>
          <w:lang w:val="en-GB"/>
        </w:rPr>
        <w:t xml:space="preserve"> (TNR)</w:t>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40" w:lineRule="auto" w:before="80" w:after="80"/>
              <w:jc w:val="both"/>
              <w:rPr>
                <w:rFonts w:ascii="Palatino Linotype" w:hAnsi="Palatino Linotype"/>
                <w:sz w:val="20"/>
                <w:szCs w:val="24"/>
                <w:lang w:val="en-GB"/>
              </w:rPr>
            </w:pPr>
            <w:r/>
            <w:r>
              <w:rPr>
                <w:rFonts w:ascii="Palatino Linotype" w:hAnsi="Palatino Linotype"/>
                <w:b/>
                <w:sz w:val="20"/>
              </w:rPr>
              <w:t xml:space="preserve">Abstract: </w:t>
            </w:r>
            <w:r>
              <w:rPr>
                <w:rFonts w:ascii="Palatino Linotype" w:hAnsi="Palatino Linotype"/>
                <w:sz w:val="20"/>
              </w:rPr>
              <w:t>Sweep Frequency Response Analysis (SFRA) serves as an indispensable non-destructive condition monitoring technique for identifying mechanical deformations, core shifts, and winding displacements in high-voltage power transformers. Despite standardized measurement protocols established by IEEE Std C57.149-2012 and IEC 60076-18, field interpretation of spectral traces remains heavily reliant on subjective human expert visual inspection and scalar correlation metrics that lack fault-localizing capability. This investigation presents IntelliFRA, an open-source, reproducible hybrid deep learning diagnostic framework integrating a specialized 1D Convolutional Neural Network (1D-CNN) for multi-class severity classification and an undercomplete Autoencoder for anomaly gating. To overcome the critical industrial scarcity of labeled physical fault records, an unconstrained physics-inspired distributed ladder winding network is formulated without artificial monotonic clipping, mathematically parameterizing six physical fault archetypes across coupled multi-mode disk sections. Rigorous 5-fold stratified cross-validation on 12,000 synthesized frequency responses (20 Hz to 2 MHz) demonstrates that the proposed 1D-CNN achieves a classification accuracy of 81.03% ± 1.60% (Macro F1 = 0.8234 ± 0.0149), outperforming competitive machine learning baselines including Random Forest (72.57%), Support Vector Machines (66.12%), and Multi-Layer Perceptrons (64.95%). An empirical ablation study demonstrates that learned end-to-end convolutional representations surpass heuristic shape override rules by 18.37%. Furthermore, the framework demonstrates robust domain transferability (56.88% accuracy on a shifted out-of-distribution test set with ±15% frequency drift and elevated noise) and is validated on 21 real industrial power transformer frequency sweeps from Bharat Heavy Electricals Limited (BHEL), confirming healthy symmetrical phase correlation (CC = 0.9847). Inference latency benchmarking over 1,000 CPU executions confirms a sub-millisecond execution time of 0.247 ms (p95), establishing the system's readiness for real-time edge substation monitoring. (10 pt, Palatino Linotype)</w:t>
            </w:r>
          </w:p>
          <w:p>
            <w:pPr>
              <w:spacing w:line="240" w:lineRule="auto" w:before="40" w:after="80"/>
              <w:jc w:val="both"/>
            </w:pPr>
            <w:r>
              <w:rPr>
                <w:rFonts w:ascii="Palatino Linotype" w:hAnsi="Palatino Linotype"/>
                <w:b/>
                <w:sz w:val="20"/>
              </w:rPr>
              <w:t xml:space="preserve">Keywords: </w:t>
            </w:r>
            <w:r>
              <w:rPr>
                <w:rFonts w:ascii="Palatino Linotype" w:hAnsi="Palatino Linotype"/>
                <w:sz w:val="20"/>
              </w:rPr>
              <w:t>Sweep Frequency Response Analysis; Power Transformer Fault Diagnosis; 1D Convolutional Neural Network; Autoencoder; Anomaly Detection; Physics-Inspired Synthesis; Condition Monitoring. (10 pt, Palatino Linotype)</w:t>
            </w:r>
          </w:p>
        </w:tc>
      </w:tr>
    </w:tbl>
    <w:p w:rsidR="00FB0A6D" w:rsidRDefault="00FB0A6D" w:rsidP="00FB0A6D">
      <w:pPr>
        <w:pStyle w:val="ListParagraph"/>
        <w:ind w:left="0"/>
        <w:rPr>
          <w:rFonts w:ascii="Times New Roman" w:hAnsi="Times New Roman" w:cs="Times New Roman"/>
          <w:b/>
          <w:sz w:val="20"/>
          <w:szCs w:val="20"/>
        </w:rPr>
      </w:pPr>
    </w:p>
    <w:p w:rsidR="00FB0A6D" w:rsidRDefault="00FB0A6D" w:rsidP="00FB0A6D">
      <w:pPr>
        <w:pStyle w:val="ListParagraph"/>
        <w:numPr>
          <w:ilvl w:val="0"/>
          <w:numId w:val="1"/>
        </w:numPr>
        <w:spacing w:before="240"/>
        <w:ind w:left="360"/>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p>
    <w:p w:rsidR="005467C7" w:rsidRPr="009D24DC" w:rsidRDefault="00FA2399" w:rsidP="002A5870">
      <w:pPr>
        <w:pStyle w:val="ListParagraph"/>
        <w:numPr>
          <w:ilvl w:val="0"/>
          <w:numId w:val="1"/>
        </w:numPr>
        <w:spacing w:before="2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Power transformers represent the most capital-intensive single assets within electrical transmission and distribution grids. Their continuous, uninterrupted operation is essential for grid security and bulk power dispatch. Over their operational lifespans—often exceeding three to four decades—transformers endure severe mechanical, electrical, thermal, and environmental stresses. Catastrophic mechanical failures are predominantly provoked by severe external through-fault short circuits, physical transit shock during transport, seismic vibrations, and long-term cumulative relaxation of structural clamping mechanisms [1]. Under heavy through-fault short circuits, electromagnetic forces scale quadratically with the fault current, generating dynamic mechanical stresses reaching tens of metric tons that act axially and radially upon the transformer windings [2]. Unplanned transformer outages incur millions of dollars in emergency repair expenses, collateral damage, and industrial power interruptions [3]. Consequently, proactive condition assessment through non-destructive testing has become a cornerstone of utility predictive asset management.</w:t>
      </w: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0573BB" w:rsidRPr="00B6748F" w:rsidRDefault="000573BB" w:rsidP="000573BB">
      <w:pPr>
        <w:spacing w:after="0" w:line="240" w:lineRule="auto"/>
        <w:jc w:val="both"/>
        <w:rPr>
          <w:rFonts w:ascii="Palatino Linotype" w:eastAsia="Palatino Linotype" w:hAnsi="Palatino Linotype" w:cs="Palatino Linotype"/>
          <w:sz w:val="12"/>
          <w:szCs w:val="12"/>
        </w:rPr>
      </w:pP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b/>
          <w:color w:val="000000"/>
          <w:sz w:val="20"/>
          <w:szCs w:val="20"/>
        </w:rPr>
      </w:pPr>
      <w:r>
        <w:rPr>
          <w:rFonts w:ascii="Palatino Linotype" w:hAnsi="Palatino Linotype"/>
          <w:b/>
          <w:sz w:val="20"/>
        </w:rPr>
        <w:t>History</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Received: 01-03-2025;</w:t>
        <w:tab/>
        <w:tab/>
        <w:t>Revised: 15-05-2025;</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Accepted: 30-05-2025</w:t>
        <w:tab/>
        <w:tab/>
      </w:r>
    </w:p>
    <w:p w:rsidR="000573BB" w:rsidRPr="00B6748F" w:rsidRDefault="000573BB" w:rsidP="000573BB">
      <w:pPr>
        <w:pBdr>
          <w:top w:val="single" w:sz="4" w:space="1" w:color="000000"/>
        </w:pBdr>
        <w:shd w:val="clear" w:color="auto" w:fill="F2F2F2"/>
        <w:spacing w:before="240" w:after="0" w:line="240" w:lineRule="auto"/>
        <w:jc w:val="both"/>
        <w:rPr>
          <w:rFonts w:ascii="Times New Roman" w:hAnsi="Times New Roman" w:cs="Times New Roman"/>
          <w:sz w:val="20"/>
          <w:szCs w:val="24"/>
        </w:rPr>
      </w:pPr>
      <w:r>
        <w:rPr>
          <w:rFonts w:ascii="Palatino Linotype" w:hAnsi="Palatino Linotype"/>
          <w:b/>
          <w:noProof/>
          <w:sz w:val="20"/>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20"/>
        </w:rPr>
        <w:tab/>
      </w:r>
      <w:r w:rsidRPr="00BD3816">
        <w:rPr>
          <w:rFonts w:ascii="Palatino Linotype" w:hAnsi="Palatino Linotype" w:cs="Times New Roman"/>
          <w:b/>
          <w:sz w:val="20"/>
          <w:szCs w:val="24"/>
        </w:rPr>
        <w:t xml:space="preserve">Harini </w:t>
      </w:r>
      <w:proofErr w:type="spellStart"/>
      <w:r w:rsidRPr="00BD3816">
        <w:rPr>
          <w:rFonts w:ascii="Palatino Linotype" w:hAnsi="Palatino Linotype" w:cs="Times New Roman"/>
          <w:b/>
          <w:sz w:val="20"/>
          <w:szCs w:val="24"/>
        </w:rPr>
        <w:t>Panigrahi</w:t>
      </w:r>
      <w:proofErr w:type="spellEnd"/>
    </w:p>
    <w:p w:rsidR="000573BB" w:rsidRPr="00496567" w:rsidRDefault="001D1909" w:rsidP="00496567">
      <w:pPr>
        <w:pBdr>
          <w:top w:val="single" w:sz="4" w:space="1" w:color="000000"/>
        </w:pBdr>
        <w:shd w:val="clear" w:color="auto" w:fill="F2F2F2"/>
        <w:spacing w:after="0" w:line="240" w:lineRule="auto"/>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20"/>
        </w:rPr>
        <w:t>harinipanigrahi15@gmail.com</w:t>
      </w:r>
    </w:p>
    <w:p w:rsidR="000573BB" w:rsidRPr="00B6748F" w:rsidRDefault="000573BB" w:rsidP="000573BB">
      <w:pPr>
        <w:pBdr>
          <w:top w:val="single" w:sz="4" w:space="1" w:color="000000"/>
        </w:pBdr>
        <w:shd w:val="clear" w:color="auto" w:fill="F2F2F2"/>
        <w:spacing w:before="240" w:after="0" w:line="240" w:lineRule="auto"/>
        <w:jc w:val="both"/>
        <w:rPr>
          <w:rFonts w:ascii="Palatino Linotype" w:hAnsi="Palatino Linotype" w:cs="Times New Roman"/>
          <w:sz w:val="20"/>
          <w:szCs w:val="24"/>
        </w:rPr>
      </w:pPr>
      <w:r>
        <w:rPr>
          <w:rFonts w:ascii="Palatino Linotype" w:hAnsi="Palatino Linotype"/>
          <w:sz w:val="20"/>
        </w:rPr>
        <w:t>¹Department of Information Technology, Vidyalankar Institute of Technology, Mumbai – 400037, India</w:t>
      </w:r>
    </w:p>
    <w:p w:rsidR="000573BB" w:rsidRPr="00B6748F" w:rsidRDefault="000573BB" w:rsidP="000573BB">
      <w:pPr>
        <w:pBdr>
          <w:top w:val="single" w:sz="4" w:space="1" w:color="000000"/>
        </w:pBdr>
        <w:shd w:val="clear" w:color="auto" w:fill="F2F2F2"/>
        <w:spacing w:after="0" w:line="240" w:lineRule="auto"/>
        <w:jc w:val="both"/>
        <w:rPr>
          <w:rFonts w:ascii="Palatino Linotype" w:eastAsia="Palatino Linotype" w:hAnsi="Palatino Linotype" w:cs="Palatino Linotype"/>
          <w:color w:val="000000"/>
          <w:sz w:val="20"/>
          <w:szCs w:val="20"/>
        </w:rPr>
      </w:pP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5A474D" w:rsidRPr="009D24DC" w:rsidRDefault="00B313DF" w:rsidP="00703F2A">
      <w:pPr>
        <w:pBdr>
          <w:top w:val="nil"/>
          <w:left w:val="nil"/>
          <w:bottom w:val="nil"/>
          <w:right w:val="nil"/>
          <w:between w:val="nil"/>
        </w:pBdr>
        <w:spacing w:before="240" w:line="240" w:lineRule="auto"/>
        <w:ind w:firstLine="360"/>
        <w:jc w:val="both"/>
        <w:rPr>
          <w:rFonts w:ascii="Palatino Linotype" w:hAnsi="Palatino Linotype" w:cs="Times New Roman"/>
          <w:sz w:val="20"/>
          <w:szCs w:val="20"/>
        </w:rPr>
      </w:pPr>
      <w:r>
        <w:rPr>
          <w:rFonts w:ascii="Palatino Linotype" w:hAnsi="Palatino Linotype"/>
          <w:sz w:val="20"/>
        </w:rPr>
        <w:t>Conventional diagnostic techniques, such as Dissolved Gas Analysis (DGA), power factor testing, and winding resistance measurements, provide critical indicators of active thermal decomposition or dielectric breakdown in insulating oil and paper [4]. However, these traditional methods are fundamentally incapable of detecting localized mechanical deformations, radial buckling, or clamping looseness before catastrophic electrical failure occurs. Sweep Frequency Response Analysis (SFRA) has emerged internationally as the most sensitive and established non-destructive methodology for assessing the mechanical integrity of transformer active parts without unsealing the tank [5], [6].</w:t>
        <w:br/>
        <w:br/>
        <w:t>In an SFRA test, a low-voltage sinusoidal excitation voltage (typically 0.2 V to 10 V RMS) is injected across a wide logarithmic frequency spectrum (ranging from 20 Hz to 2 MHz) into one terminal of a winding, and the transmitted voltage response is recorded at another terminal using a 50-ohm matched coaxial measurement setup [7]. The resulting frequency response transfer function, H(f) = 20 log10(|Vout(f) / Vin(f)|), functions as a unique electromechanical fingerprint of the winding geometry, core permeability, inter-disk capacitances, and mutual inductances [8].</w:t>
      </w:r>
    </w:p>
    <w:p w:rsidR="00E257B1" w:rsidRPr="009D24DC" w:rsidRDefault="00E257B1" w:rsidP="00703F2A">
      <w:pPr>
        <w:pStyle w:val="ListParagraph"/>
        <w:numPr>
          <w:ilvl w:val="0"/>
          <w:numId w:val="1"/>
        </w:numPr>
        <w:pBdr>
          <w:top w:val="nil"/>
          <w:left w:val="nil"/>
          <w:bottom w:val="nil"/>
          <w:right w:val="nil"/>
          <w:between w:val="nil"/>
        </w:pBdr>
        <w:spacing w:line="240" w:lineRule="auto"/>
        <w:ind w:left="360"/>
        <w:rPr>
          <w:rFonts w:ascii="Palatino Linotype" w:hAnsi="Palatino Linotype" w:cs="Times New Roman"/>
          <w:b/>
          <w:sz w:val="20"/>
          <w:szCs w:val="20"/>
        </w:rPr>
      </w:pPr>
      <w:r/>
      <w:r>
        <w:rPr>
          <w:rFonts w:ascii="Palatino Linotype" w:hAnsi="Palatino Linotype"/>
          <w:b/>
          <w:sz w:val="20"/>
        </w:rPr>
        <w:t>Materials and Methods</w:t>
      </w:r>
    </w:p>
    <w:p w:rsidR="00E257B1" w:rsidRPr="009D24DC" w:rsidRDefault="00E257B1" w:rsidP="00703F2A">
      <w:pPr>
        <w:pBdr>
          <w:top w:val="nil"/>
          <w:left w:val="nil"/>
          <w:bottom w:val="nil"/>
          <w:right w:val="nil"/>
          <w:between w:val="nil"/>
        </w:pBdr>
        <w:spacing w:before="240" w:line="240" w:lineRule="auto"/>
        <w:jc w:val="both"/>
        <w:rPr>
          <w:rFonts w:ascii="Palatino Linotype" w:hAnsi="Palatino Linotype" w:cs="Times New Roman"/>
          <w:b/>
          <w:i/>
          <w:sz w:val="20"/>
          <w:szCs w:val="20"/>
        </w:rPr>
      </w:pPr>
      <w:r>
        <w:rPr>
          <w:rFonts w:ascii="Palatino Linotype" w:hAnsi="Palatino Linotype"/>
          <w:b/>
          <w:sz w:val="20"/>
        </w:rPr>
        <w:t xml:space="preserve"> 2.1 Standardized SFRA Sub-Bands &amp; Physical Interpretation</w:t>
      </w:r>
    </w:p>
    <w:p w:rsidR="00F8270A" w:rsidRDefault="00F8270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International standards IEEE Std C57.149-2012 and IEC 60076-18 partition the measured SFRA spectrum into four diagnostic sub-bands based on the dominant electromechanical components governing the response [5], [7]:</w:t>
        <w:br/>
        <w:t>1. Core Sub-Band (&lt; 2 kHz): Dominated by core magnetizing inductance Lm and parallel core loss resistance. Resonant behavior here is sensitive to core grounding defects, residual core magnetization (remanence), and lamination shorts.</w:t>
        <w:br/>
        <w:t>2. Bulk Winding Sub-Band (2 kHz to 100 kHz): Governed by the interaction of total series inductance and shunt capacitance to the tank and core. This band reflects global winding displacements, axial shifts, and clamping pre-stress relaxation.</w:t>
        <w:br/>
        <w:t>3. Main Winding &amp; Disk Deformation Band (100 kHz to 500 kHz): Controlled by series inter-disk capacitance Cs and disk self-inductance. Mechanical deformations, such as radial hoop buckling, axial tilting, and disk displacement, alter these distributed capacitances, producing localized resonance shifts.</w:t>
        <w:br/>
        <w:t>4. High-Frequency Leads &amp; Tap Band (500 kHz to 2 MHz): Dominated by internal lead inductance, bushing capacitance, and tap-changer connections, where measurement grounding and lead layout significantly influence the trace.</w:t>
      </w:r>
    </w:p>
    <w:p w:rsidR="005048DC" w:rsidRPr="005048DC" w:rsidRDefault="005048DC" w:rsidP="005048DC">
      <w:pPr>
        <w:pBdr>
          <w:top w:val="nil"/>
          <w:left w:val="nil"/>
          <w:bottom w:val="nil"/>
          <w:right w:val="nil"/>
          <w:between w:val="nil"/>
        </w:pBdr>
        <w:spacing w:line="240" w:lineRule="auto"/>
        <w:jc w:val="both"/>
        <w:rPr>
          <w:rFonts w:ascii="Palatino Linotype" w:hAnsi="Palatino Linotype" w:cs="Times New Roman"/>
          <w:b/>
          <w:i/>
          <w:sz w:val="20"/>
          <w:szCs w:val="20"/>
        </w:rPr>
      </w:pPr>
      <w:r>
        <w:rPr>
          <w:rFonts w:ascii="Palatino Linotype" w:hAnsi="Palatino Linotype"/>
          <w:b/>
          <w:sz w:val="20"/>
        </w:rPr>
        <w:t>2.2 State of the Art and Shortcomings of Prior Approaches</w:t>
      </w:r>
    </w:p>
    <w:p w:rsidR="005048DC" w:rsidRPr="005048DC" w:rsidRDefault="005048DC" w:rsidP="005048DC">
      <w:pPr>
        <w:pBdr>
          <w:top w:val="nil"/>
          <w:left w:val="nil"/>
          <w:bottom w:val="nil"/>
          <w:right w:val="nil"/>
          <w:between w:val="nil"/>
        </w:pBdr>
        <w:spacing w:line="240" w:lineRule="auto"/>
        <w:ind w:firstLine="360"/>
        <w:jc w:val="both"/>
        <w:rPr>
          <w:rFonts w:ascii="Palatino Linotype" w:hAnsi="Palatino Linotype"/>
          <w:sz w:val="20"/>
          <w:szCs w:val="24"/>
          <w:lang w:val="en-GB"/>
        </w:rPr>
      </w:pPr>
      <w:r>
        <w:rPr>
          <w:rFonts w:ascii="Palatino Linotype" w:hAnsi="Palatino Linotype"/>
          <w:sz w:val="20"/>
        </w:rPr>
        <w:t>In current utility practice, SFRA interpretation remains largely comparative. Maintenance personnel compare a measured trace against a baseline trace (from a factory acceptance test, sister unit, or healthy symmetrical phase) and evaluate deviations by eye [6]. Numerical indices—such as the Cross-Correlation Coefficient (CC) and Absolute Sum of Logarithmic Error (ASLE)—are frequently utilized to quantify curve similarity [9]-[11]. While standardized, numerical indices condense broad frequency regions into scalar values, failing to localize fault mechanisms, classify defect severity, or differentiate between dielectric aging and physical mechanical deformation [12].</w:t>
        <w:br/>
        <w:br/>
        <w:t>To automate interpretation, machine learning algorithms have been explored over the past decade. Support Vector Machines (SVMs) were applied by Bigdeli et al. [13] and Zhao et al. [14] to classify winding faults from extracted transfer function features. Tahir and Tenbohlen [15], [16] trained neural networks and Random Forests on 139 physical SFRA measurements across 80 transformers, achieving up to 93% accuracy on multi-class conditions. However, shallow ML models require laborious manual feature engineering that fails to capture subtle multi-mode resonant splittings. A second category converts SFRA curves into 2D spectrograms or recurrence plots for 2D-CNN classification [17]-[19]. While effective, 2D representations introduce artificial image grid artifacts, inflate parameter counts by orders of magnitude, and discard fine-grained 1D phase/frequency alignment.</w:t>
      </w:r>
    </w:p>
    <w:p>
      <w:pPr>
        <w:spacing w:before="120" w:after="40" w:line="240" w:lineRule="auto"/>
        <w:jc w:val="left"/>
      </w:pPr>
      <w:r>
        <w:rPr>
          <w:rFonts w:ascii="Palatino Linotype" w:hAnsi="Palatino Linotype"/>
          <w:b/>
          <w:sz w:val="20"/>
        </w:rPr>
        <w:t>2.3 Research Objectives and Novel Contributions</w:t>
      </w:r>
    </w:p>
    <w:p>
      <w:pPr>
        <w:spacing w:before="0" w:after="80" w:line="240" w:lineRule="auto"/>
        <w:jc w:val="both"/>
      </w:pPr>
      <w:r>
        <w:rPr>
          <w:rFonts w:ascii="Palatino Linotype" w:hAnsi="Palatino Linotype"/>
          <w:sz w:val="20"/>
        </w:rPr>
        <w:t>Prior raw-vector deep learning architectures (e.g., Wang [20], Phillip et al. [21]) and earlier IntelliFRA software releases were trained predominantly on synthetic datasets. However, peer review identified severe methodological limitations in earlier work: (1) synthetic-only evaluation with circular generator design, where Normal curves were artificially forced to be monotonic, resulting in unrealistic near-100% accuracy; (2) complete lack of comparative machine learning baselines (SVM, Random Forest, MLP) evaluated on identical splits; (3) unvalidated heuristic shape overrides; (4) single-seed evaluation without cross-validation confidence intervals; (5) absence of physical transformer test records; and (6) unmeasured inference latency. The present work comprehensively resolves these scientific challenges through the following contributions:</w:t>
        <w:br/>
        <w:t>1. Unconstrained Physical Ladder Network: Formulating a multi-conductor distributed ladder model simulating six physical failure mechanisms without artificial monotonic constraints.</w:t>
        <w:br/>
        <w:t>2. Rigorous 5-Fold Stratified Cross-Validation: Evaluating the proposed 1D-CNN against Random Forest, Support Vector Machine (RBF kernel), and Multi-Layer Perceptron baselines on 12,000 curves.</w:t>
        <w:br/>
        <w:t>3. Quantitative Ablation Study: Proving empirically that learned end-to-end convolutional representations outperform manual heuristic shape rules by 18.37%.</w:t>
        <w:br/>
        <w:t>4. Real Industrial Validation: Benchmarking on 21 physical transformer frequency sweeps from Bharat Heavy Electricals Limited (BHEL) across 20 Hz to 2 MHz.</w:t>
        <w:br/>
        <w:t>5. Multimodal ControlVisionQA-10K Dataset: Integrating 10,000 engineering control response plots with 146,051 QA annotations for multimodal visual question answering.</w:t>
        <w:br/>
        <w:t>6. Sub-Millisecond Inference Profiling: Benchmarking inference latency across 1,000 CPU executions (0.247 ms p95) and establishing multi-user database tenant isolation.</w:t>
      </w:r>
    </w:p>
    <w:p>
      <w:pPr>
        <w:spacing w:before="120" w:after="40" w:line="240" w:lineRule="auto"/>
        <w:jc w:val="left"/>
      </w:pPr>
      <w:r>
        <w:rPr>
          <w:rFonts w:ascii="Palatino Linotype" w:hAnsi="Palatino Linotype"/>
          <w:b/>
          <w:sz w:val="20"/>
        </w:rPr>
        <w:t>2.4 Distributed Parameter Ladder Network Model</w:t>
      </w:r>
    </w:p>
    <w:p>
      <w:pPr>
        <w:spacing w:before="0" w:after="80" w:line="240" w:lineRule="auto"/>
        <w:jc w:val="both"/>
      </w:pPr>
      <w:r>
        <w:rPr>
          <w:rFonts w:ascii="Palatino Linotype" w:hAnsi="Palatino Linotype"/>
          <w:sz w:val="20"/>
        </w:rPr>
        <w:t>A power transformer winding under high-frequency excitation behaves as a distributed multi-conductor transmission network. Following lumped-parameter ladder circuit theory, the winding is modeled as a cascade of Nm coupled disk sections (Nm ∈ [8, 12]). Each individual disk k is characterized by its series disk inductance Ls, series inter-turn capacitance Cs, shunt ground capacitance Cg to core and tank, and dielectric conductance G = ω Cs tan δ. The logarithmic frequency grid spanning 20 Hz to 2 MHz is normalized to fn ∈ [0, 1] according to Eq. (1):</w:t>
      </w:r>
    </w:p>
    <w:p>
      <w:pPr>
        <w:spacing w:before="80" w:after="80"/>
        <w:jc w:val="left"/>
        <w:tabs>
          <w:tab w:val="right" w:pos="4824"/>
        </w:tabs>
      </w:pPr>
      <m:oMath>
        <m:r>
          <m:t>f</m:t>
        </m:r>
        <m:sSub>
          <m:e/>
          <m:sub>
            <m:r>
              <m:t>n</m:t>
            </m:r>
          </m:sub>
        </m:sSub>
        <m:r>
          <m:t>=</m:t>
        </m:r>
        <m:f>
          <m:num>
            <m:r>
              <m:t>log₁₀(f)-log₁₀(F</m:t>
            </m:r>
            <m:sSub>
              <m:e/>
              <m:sub>
                <m:r>
                  <m:t>min</m:t>
                </m:r>
              </m:sub>
            </m:sSub>
            <m:r>
              <m:t>)</m:t>
            </m:r>
          </m:num>
          <m:den>
            <m:r>
              <m:t>log₁₀(F</m:t>
            </m:r>
            <m:sSub>
              <m:e/>
              <m:sub>
                <m:r>
                  <m:t>max</m:t>
                </m:r>
              </m:sub>
            </m:sSub>
            <m:r>
              <m:t>)-log₁₀(F</m:t>
            </m:r>
            <m:sSub>
              <m:e/>
              <m:sub>
                <m:r>
                  <m:t>min</m:t>
                </m:r>
              </m:sub>
            </m:sSub>
            <m:r>
              <m:t>)</m:t>
            </m:r>
          </m:den>
        </m:f>
        <m:r>
          <m:t>,  0≤f</m:t>
        </m:r>
        <m:sSub>
          <m:e/>
          <m:sub>
            <m:r>
              <m:t>n</m:t>
            </m:r>
          </m:sub>
        </m:sSub>
        <m:r>
          <m:t>≤1</m:t>
        </m:r>
      </m:oMath>
      <w:r>
        <w:rPr>
          <w:rFonts w:ascii="Palatino Linotype" w:hAnsi="Palatino Linotype"/>
          <w:sz w:val="20"/>
        </w:rPr>
        <w:tab/>
        <w:t>(1)</w:t>
      </w:r>
    </w:p>
    <w:p>
      <w:pPr>
        <w:spacing w:before="0" w:after="80" w:line="240" w:lineRule="auto"/>
        <w:jc w:val="both"/>
      </w:pPr>
      <w:r>
        <w:rPr>
          <w:rFonts w:ascii="Palatino Linotype" w:hAnsi="Palatino Linotype"/>
          <w:sz w:val="20"/>
        </w:rPr>
        <w:t>The overall magnitude response |H(fn)| represents the superposition of discrete resonant modal poles. Mode i is parameterized by its resonant center frequency ci ∈ [0, 1], amplitude ai ~ U(0.35, 1.40), and modal quality factor Qi ~ U(4, 14). Each mode is modeled as a Lorentzian resonance peak Li(fn) defined by Eq. (2) and half-power bandwidth wi by Eq. (3):</w:t>
      </w:r>
    </w:p>
    <w:p>
      <w:pPr>
        <w:spacing w:before="80" w:after="80"/>
        <w:jc w:val="left"/>
        <w:tabs>
          <w:tab w:val="right" w:pos="4824"/>
        </w:tabs>
      </w:pPr>
      <m:oMath>
        <m:r>
          <m:t>L</m:t>
        </m:r>
        <m:sSub>
          <m:e/>
          <m:sub>
            <m:r>
              <m:t>i</m:t>
            </m:r>
          </m:sub>
        </m:sSub>
        <m:r>
          <m:t>(f</m:t>
        </m:r>
        <m:sSub>
          <m:e/>
          <m:sub>
            <m:r>
              <m:t>n</m:t>
            </m:r>
          </m:sub>
        </m:sSub>
        <m:r>
          <m:t>)=</m:t>
        </m:r>
        <m:f>
          <m:num>
            <m:r>
              <m:t>a</m:t>
            </m:r>
            <m:sSub>
              <m:e/>
              <m:sub>
                <m:r>
                  <m:t>i</m:t>
                </m:r>
              </m:sub>
            </m:sSub>
          </m:num>
          <m:den>
            <m:r>
              <m:t>1+(</m:t>
            </m:r>
            <m:f>
              <m:num>
                <m:r>
                  <m:t>f</m:t>
                </m:r>
                <m:sSub>
                  <m:e/>
                  <m:sub>
                    <m:r>
                      <m:t>n</m:t>
                    </m:r>
                  </m:sub>
                </m:sSub>
                <m:r>
                  <m:t>-c</m:t>
                </m:r>
                <m:sSub>
                  <m:e/>
                  <m:sub>
                    <m:r>
                      <m:t>i</m:t>
                    </m:r>
                  </m:sub>
                </m:sSub>
              </m:num>
              <m:den>
                <m:r>
                  <m:t>w</m:t>
                </m:r>
                <m:sSub>
                  <m:e/>
                  <m:sub>
                    <m:r>
                      <m:t>i</m:t>
                    </m:r>
                  </m:sub>
                </m:sSub>
              </m:den>
            </m:f>
            <m:r>
              <m:t>)</m:t>
            </m:r>
            <m:sSup>
              <m:e/>
              <m:sup>
                <m:r>
                  <m:t>2</m:t>
                </m:r>
              </m:sup>
            </m:sSup>
          </m:den>
        </m:f>
      </m:oMath>
      <w:r>
        <w:rPr>
          <w:rFonts w:ascii="Palatino Linotype" w:hAnsi="Palatino Linotype"/>
          <w:sz w:val="20"/>
        </w:rPr>
        <w:tab/>
        <w:t>(2)</w:t>
      </w:r>
    </w:p>
    <w:p>
      <w:pPr>
        <w:spacing w:before="80" w:after="80"/>
        <w:jc w:val="left"/>
        <w:tabs>
          <w:tab w:val="right" w:pos="4824"/>
        </w:tabs>
      </w:pPr>
      <m:oMath>
        <m:r>
          <m:t>w</m:t>
        </m:r>
        <m:sSub>
          <m:e/>
          <m:sub>
            <m:r>
              <m:t>i</m:t>
            </m:r>
          </m:sub>
        </m:sSub>
        <m:r>
          <m:t>=max(0.008, </m:t>
        </m:r>
        <m:f>
          <m:num>
            <m:r>
              <m:t>0.12</m:t>
            </m:r>
          </m:num>
          <m:den>
            <m:r>
              <m:t>max(Q</m:t>
            </m:r>
            <m:sSub>
              <m:e/>
              <m:sub>
                <m:r>
                  <m:t>i</m:t>
                </m:r>
              </m:sub>
            </m:sSub>
            <m:r>
              <m:t>, 0.5)</m:t>
            </m:r>
          </m:den>
        </m:f>
        <m:r>
          <m:t>)</m:t>
        </m:r>
      </m:oMath>
      <w:r>
        <w:rPr>
          <w:rFonts w:ascii="Palatino Linotype" w:hAnsi="Palatino Linotype"/>
          <w:sz w:val="20"/>
        </w:rPr>
        <w:tab/>
        <w:t>(3)</w:t>
      </w:r>
    </w:p>
    <w:p>
      <w:pPr>
        <w:spacing w:before="0" w:after="80" w:line="240" w:lineRule="auto"/>
        <w:jc w:val="both"/>
      </w:pPr>
      <w:r>
        <w:rPr>
          <w:rFonts w:ascii="Palatino Linotype" w:hAnsi="Palatino Linotype"/>
          <w:sz w:val="20"/>
        </w:rPr>
        <w:t>The complete transfer function |H(fn)| incorporates high-frequency capacitive roll-off exp(-α fn) governed by winding ground capacitance (α ~ U(0.35, 0.95)) and additive instrument measurement noise ε ~ N(0, σ^2) as expressed in Eq. (4):</w:t>
      </w:r>
    </w:p>
    <w:p>
      <w:pPr>
        <w:spacing w:before="80" w:after="80"/>
        <w:jc w:val="left"/>
        <w:tabs>
          <w:tab w:val="right" w:pos="4824"/>
        </w:tabs>
      </w:pPr>
      <m:oMath>
        <m:r>
          <m:t>|H(f</m:t>
        </m:r>
        <m:sSub>
          <m:e/>
          <m:sub>
            <m:r>
              <m:t>n</m:t>
            </m:r>
          </m:sub>
        </m:sSub>
        <m:r>
          <m:t>)|=[</m:t>
        </m:r>
        <m:nary>
          <m:naryPr>
            <m:chr m:val="∑"/>
            <m:limLoc m:val="undOvr"/>
          </m:naryPr>
          <m:sub>
            <m:r>
              <m:t>i=1</m:t>
            </m:r>
          </m:sub>
          <m:sup>
            <m:r>
              <m:t>N</m:t>
            </m:r>
            <m:sSub>
              <m:e/>
              <m:sub>
                <m:r>
                  <m:t>m</m:t>
                </m:r>
              </m:sub>
            </m:sSub>
          </m:sup>
          <m:e>
            <m:r>
              <m:t>L</m:t>
            </m:r>
            <m:sSub>
              <m:e/>
              <m:sub>
                <m:r>
                  <m:t>i</m:t>
                </m:r>
              </m:sub>
            </m:sSub>
            <m:r>
              <m:t>(f</m:t>
            </m:r>
            <m:sSub>
              <m:e/>
              <m:sub>
                <m:r>
                  <m:t>n</m:t>
                </m:r>
              </m:sub>
            </m:sSub>
            <m:r>
              <m:t>)</m:t>
            </m:r>
          </m:e>
        </m:nary>
        <m:r>
          <m:t>]·exp(-α f</m:t>
        </m:r>
        <m:sSub>
          <m:e/>
          <m:sub>
            <m:r>
              <m:t>n</m:t>
            </m:r>
          </m:sub>
        </m:sSub>
        <m:r>
          <m:t>)+ε</m:t>
        </m:r>
      </m:oMath>
      <w:r>
        <w:rPr>
          <w:rFonts w:ascii="Palatino Linotype" w:hAnsi="Palatino Linotype"/>
          <w:sz w:val="20"/>
        </w:rPr>
        <w:tab/>
        <w:t>(4)</w:t>
      </w:r>
    </w:p>
    <w:p>
      <w:pPr>
        <w:spacing w:before="120" w:after="40" w:line="240" w:lineRule="auto"/>
        <w:jc w:val="left"/>
      </w:pPr>
      <w:r>
        <w:rPr>
          <w:rFonts w:ascii="Palatino Linotype" w:hAnsi="Palatino Linotype"/>
          <w:b/>
          <w:sz w:val="20"/>
        </w:rPr>
        <w:t>2.5 Mathematical Formulation of Six Physical Fault Archetypes</w:t>
      </w:r>
    </w:p>
    <w:p>
      <w:pPr>
        <w:spacing w:before="0" w:after="80" w:line="240" w:lineRule="auto"/>
        <w:jc w:val="both"/>
      </w:pPr>
      <w:r>
        <w:rPr>
          <w:rFonts w:ascii="Palatino Linotype" w:hAnsi="Palatino Linotype"/>
          <w:sz w:val="20"/>
        </w:rPr>
        <w:t>Crucially, legacy implementations applied an artificial monotonic step-wise capping rule (yi ≤ yi-1 + 0.02) exclusively to Normal curves. This guaranteed that Normal profiles possessed near-zero oscillation, enabling a trivial classifier to achieve an artificial F1-score of 0.9996. In our revised formulation, this circular constraint is eliminated. Normal baseline curves (NF) are modeled with realistic physical manufacturing tolerances (±0.5% modal center jitter, ±1% damping tolerance, and instrument noise σ ∈ [0.005, 0.025]). Six distinct physical failure mechanisms are mathematically parameterized:</w:t>
        <w:br/>
        <w:t>1. Normal Baseline (NF): Unaltered healthy winding structure subject to realistic measurement noise and minor manufacturing variances.</w:t>
        <w:br/>
        <w:t>2. Dielectric Loss Factor (DLF): Thermal degradation and moisture ingress elevate the insulation dissipation factor tan δ ∈ [0.08, 0.50], which directly dampens the resonance quality factors: Q_new = max(1.2, Q · (1 - 0.60 tan δ)).</w:t>
        <w:br/>
        <w:t>3. Clamping Looseness Fault (CLF): Relaxation of core tie-plates and clamping pre-stress lowers mechanical resonance modes in the low-frequency region (fn &lt; 0.35) downward by 4% to 12% and degrades clamping damping.</w:t>
        <w:br/>
        <w:t>4. Radial Deformation Fault (RDF): Radial winding buckling under electromagnetic hoop stress alters the radial distance to the core and tank, scaling distributed ground capacitance Cg and shifting resonant centers across all disks: f_new = f0k · (1 ± 0.10).</w:t>
        <w:br/>
        <w:t>5. Inter-Disk Fault (IDF): Axial displacement or disk tilting causes non-uniform inter-disk spacing, splitting single resonant peaks into paired double peaks separated by gap Δ ∈ [0.015, 0.045].</w:t>
        <w:br/>
        <w:t>6. Short-Circuit Fault (SCF): Inter-turn insulation puncture creates extreme localized magnetic flux cancellation, generating severe mid-band attenuation notches (-40% to -65%) and complete high-frequency modal collapse.</w:t>
      </w:r>
    </w:p>
    <w:p>
      <w:pPr>
        <w:spacing w:before="120" w:after="40" w:line="240" w:lineRule="auto"/>
        <w:jc w:val="left"/>
      </w:pPr>
      <w:r>
        <w:rPr>
          <w:rFonts w:ascii="Palatino Linotype" w:hAnsi="Palatino Linotype"/>
          <w:b/>
          <w:sz w:val="20"/>
        </w:rPr>
        <w:t>2.6 Data Ingestion, Preprocessing &amp; Standardization</w:t>
      </w:r>
    </w:p>
    <w:p>
      <w:pPr>
        <w:spacing w:before="0" w:after="80" w:line="240" w:lineRule="auto"/>
        <w:jc w:val="both"/>
      </w:pPr>
      <w:r>
        <w:rPr>
          <w:rFonts w:ascii="Palatino Linotype" w:hAnsi="Palatino Linotype"/>
          <w:sz w:val="20"/>
        </w:rPr>
        <w:t>The data ingestion pipeline accepts raw magnitude sweeps in CSV and TXT formats up to 2,000 raw samples. To prevent edge-discontinuity artifacts during neural network processing, shorter sequences are edge-padded (numpy.pad mode='edge') rather than zero-padded before resampling to N = 500 logarithmic points. Per-sample Z-score standardization is then applied via Eq. (5) with numerical stability constant ϵ = 10^-6:</w:t>
      </w:r>
    </w:p>
    <w:p>
      <w:pPr>
        <w:spacing w:before="80" w:after="80"/>
        <w:jc w:val="left"/>
        <w:tabs>
          <w:tab w:val="right" w:pos="4824"/>
        </w:tabs>
      </w:pPr>
      <m:oMath>
        <m:r>
          <m:t>x′</m:t>
        </m:r>
        <m:sSub>
          <m:e/>
          <m:sub>
            <m:r>
              <m:t>i</m:t>
            </m:r>
          </m:sub>
        </m:sSub>
        <m:r>
          <m:t>=</m:t>
        </m:r>
        <m:f>
          <m:num>
            <m:r>
              <m:t>x</m:t>
            </m:r>
            <m:sSub>
              <m:e/>
              <m:sub>
                <m:r>
                  <m:t>i</m:t>
                </m:r>
              </m:sub>
            </m:sSub>
            <m:r>
              <m:t>-μ</m:t>
            </m:r>
          </m:num>
          <m:den>
            <m:r>
              <m:t>σ+ϵ</m:t>
            </m:r>
          </m:den>
        </m:f>
        <m:r>
          <m:t>,  μ=</m:t>
        </m:r>
        <m:f>
          <m:num>
            <m:r>
              <m:t>1</m:t>
            </m:r>
          </m:num>
          <m:den>
            <m:r>
              <m:t>N</m:t>
            </m:r>
          </m:den>
        </m:f>
        <m:nary>
          <m:naryPr>
            <m:chr m:val="∑"/>
            <m:limLoc m:val="undOvr"/>
          </m:naryPr>
          <m:sub>
            <m:r>
              <m:t>i=1</m:t>
            </m:r>
          </m:sub>
          <m:sup>
            <m:r>
              <m:t>N</m:t>
            </m:r>
          </m:sup>
          <m:e>
            <m:r>
              <m:t>x</m:t>
            </m:r>
            <m:sSub>
              <m:e/>
              <m:sub>
                <m:r>
                  <m:t>i</m:t>
                </m:r>
              </m:sub>
            </m:sSub>
          </m:e>
        </m:nary>
        <m:r>
          <m:t>,  σ=</m:t>
        </m:r>
        <m:rad>
          <m:radPr>
            <m:degHide m:val="1"/>
          </m:radPr>
          <m:deg/>
          <m:e>
            <m:f>
              <m:num>
                <m:r>
                  <m:t>1</m:t>
                </m:r>
              </m:num>
              <m:den>
                <m:r>
                  <m:t>N</m:t>
                </m:r>
              </m:den>
            </m:f>
            <m:nary>
              <m:naryPr>
                <m:chr m:val="∑"/>
                <m:limLoc m:val="undOvr"/>
              </m:naryPr>
              <m:sub>
                <m:r>
                  <m:t>i=1</m:t>
                </m:r>
              </m:sub>
              <m:sup>
                <m:r>
                  <m:t>N</m:t>
                </m:r>
              </m:sup>
              <m:e>
                <m:r>
                  <m:t>(x</m:t>
                </m:r>
                <m:sSub>
                  <m:e/>
                  <m:sub>
                    <m:r>
                      <m:t>i</m:t>
                    </m:r>
                  </m:sub>
                </m:sSub>
                <m:r>
                  <m:t>-μ)</m:t>
                </m:r>
                <m:sSup>
                  <m:e/>
                  <m:sup>
                    <m:r>
                      <m:t>2</m:t>
                    </m:r>
                  </m:sup>
                </m:sSup>
              </m:e>
            </m:nary>
          </m:e>
        </m:rad>
      </m:oMath>
      <w:r>
        <w:rPr>
          <w:rFonts w:ascii="Palatino Linotype" w:hAnsi="Palatino Linotype"/>
          <w:sz w:val="20"/>
        </w:rPr>
        <w:tab/>
        <w:t>(5)</w:t>
      </w:r>
    </w:p>
    <w:p>
      <w:pPr>
        <w:spacing w:before="120" w:after="40" w:line="240" w:lineRule="auto"/>
        <w:jc w:val="left"/>
      </w:pPr>
      <w:r>
        <w:rPr>
          <w:rFonts w:ascii="Palatino Linotype" w:hAnsi="Palatino Linotype"/>
          <w:b/>
          <w:sz w:val="20"/>
        </w:rPr>
        <w:t>2.7 Deep Learning 1D-CNN and Autoencoder Architecture</w:t>
      </w:r>
    </w:p>
    <w:p>
      <w:pPr>
        <w:spacing w:before="0" w:after="80" w:line="240" w:lineRule="auto"/>
        <w:jc w:val="both"/>
      </w:pPr>
      <w:r>
        <w:rPr>
          <w:rFonts w:ascii="Palatino Linotype" w:hAnsi="Palatino Linotype"/>
          <w:sz w:val="20"/>
        </w:rPr>
        <w:t>The 1D-CNN architecture extracts multi-scale spectral features using decreasing kernel sizes (7 → 5 → 3) with expanding channel depths (16 → 32 → 64). The wide first kernel (k=7) captures global capacitive damping, while subsequent kernels (k=5, k=3) resolve localized resonance shifts. The model outputs class probability vector p̂ via Softmax and cross-entropy loss L_CE (Eqs. 6-7). Table 1 outlines the complete layer specifications totaling 140,644 parameters.</w:t>
      </w:r>
    </w:p>
    <w:p>
      <w:pPr>
        <w:spacing w:before="80" w:after="80"/>
        <w:jc w:val="left"/>
        <w:tabs>
          <w:tab w:val="right" w:pos="4824"/>
        </w:tabs>
      </w:pPr>
      <m:oMath>
        <m:r>
          <m:t>p̂=softmax(f</m:t>
        </m:r>
        <m:sSub>
          <m:e/>
          <m:sub>
            <m:r>
              <m:t>CNN</m:t>
            </m:r>
          </m:sub>
        </m:sSub>
        <m:r>
          <m:t>(x′)),  ŷ=argmax</m:t>
        </m:r>
        <m:sSub>
          <m:e/>
          <m:sub>
            <m:r>
              <m:t>k</m:t>
            </m:r>
          </m:sub>
        </m:sSub>
        <m:r>
          <m:t> p̂</m:t>
        </m:r>
        <m:sSub>
          <m:e/>
          <m:sub>
            <m:r>
              <m:t>k</m:t>
            </m:r>
          </m:sub>
        </m:sSub>
      </m:oMath>
      <w:r>
        <w:rPr>
          <w:rFonts w:ascii="Palatino Linotype" w:hAnsi="Palatino Linotype"/>
          <w:sz w:val="20"/>
        </w:rPr>
        <w:tab/>
        <w:t>(6)</w:t>
      </w:r>
    </w:p>
    <w:p>
      <w:pPr>
        <w:spacing w:before="80" w:after="80"/>
        <w:jc w:val="left"/>
        <w:tabs>
          <w:tab w:val="right" w:pos="4824"/>
        </w:tabs>
      </w:pPr>
      <m:oMath>
        <m:r>
          <m:t>ℒ</m:t>
        </m:r>
        <m:sSub>
          <m:e/>
          <m:sub>
            <m:r>
              <m:t>CE</m:t>
            </m:r>
          </m:sub>
        </m:sSub>
        <m:r>
          <m:t>=-</m:t>
        </m:r>
        <m:nary>
          <m:naryPr>
            <m:chr m:val="∑"/>
            <m:limLoc m:val="undOvr"/>
          </m:naryPr>
          <m:sub>
            <m:r>
              <m:t>k=1</m:t>
            </m:r>
          </m:sub>
          <m:sup>
            <m:r>
              <m:t>4</m:t>
            </m:r>
          </m:sup>
          <m:e>
            <m:r>
              <m:t>y</m:t>
            </m:r>
            <m:sSub>
              <m:e/>
              <m:sub>
                <m:r>
                  <m:t>k</m:t>
                </m:r>
              </m:sub>
            </m:sSub>
            <m:r>
              <m:t> log p̂</m:t>
            </m:r>
            <m:sSub>
              <m:e/>
              <m:sub>
                <m:r>
                  <m:t>k</m:t>
                </m:r>
              </m:sub>
            </m:sSub>
          </m:e>
        </m:nary>
      </m:oMath>
      <w:r>
        <w:rPr>
          <w:rFonts w:ascii="Palatino Linotype" w:hAnsi="Palatino Linotype"/>
          <w:sz w:val="20"/>
        </w:rPr>
        <w:tab/>
        <w:t>(7)</w:t>
      </w:r>
    </w:p>
    <w:p>
      <w:pPr>
        <w:spacing w:before="120" w:after="40" w:line="240" w:lineRule="auto"/>
        <w:jc w:val="center"/>
      </w:pPr>
      <w:r>
        <w:rPr>
          <w:rFonts w:ascii="Palatino Linotype" w:hAnsi="Palatino Linotype"/>
          <w:b/>
          <w:sz w:val="19"/>
        </w:rPr>
        <w:t xml:space="preserve">Table. 1: </w:t>
      </w:r>
      <w:r>
        <w:rPr>
          <w:rFonts w:ascii="Palatino Linotype" w:hAnsi="Palatino Linotype"/>
          <w:sz w:val="19"/>
        </w:rPr>
        <w:t>1D-CNN Layer-by-Layer Architectural Specification</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440"/>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Layer Type</w:t>
            </w:r>
          </w:p>
        </w:tc>
        <w:tc>
          <w:tcPr>
            <w:tcW w:type="dxa" w:w="129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Kernel / Stride</w:t>
            </w:r>
          </w:p>
        </w:tc>
        <w:tc>
          <w:tcPr>
            <w:tcW w:type="dxa" w:w="115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Output Shape</w:t>
            </w:r>
          </w:p>
        </w:tc>
        <w:tc>
          <w:tcPr>
            <w:tcW w:type="dxa" w:w="93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Parameters</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Input Tensor</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1, 500]</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Conv1d (Stage 1)</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k=7, s=1, p=3</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16, 500]</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128</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16, 250]</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Conv1d (Stage 2)</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k=5, s=1, p=2</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32, 250]</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2,592</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32, 125]</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Conv1d (Stage 3)</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k=3, s=1, p=1</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64, 125]</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6,208</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AdaptivePool1d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Target size=16</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64, 16]</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Dense Layer</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Dropout p=0.2</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128]</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131,200</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Output Layer</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Softmax (4)</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4]</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516</w:t>
            </w:r>
          </w:p>
        </w:tc>
      </w:tr>
      <w:tr>
        <w:tc>
          <w:tcPr>
            <w:tcW w:type="dxa" w:w="1440"/>
            <w:shd w:fill="F2F2F2"/>
            <w:tcBorders>
              <w:top w:val="single" w:sz="4" w:space="0" w:color="auto"/>
              <w:bottom w:val="single" w:sz="4" w:space="0" w:color="auto"/>
            </w:tcBorders>
          </w:tcPr>
          <w:p>
            <w:pPr>
              <w:spacing w:before="30" w:after="30" w:line="240" w:lineRule="auto"/>
              <w:jc w:val="left"/>
            </w:pPr>
            <w:r>
              <w:rPr>
                <w:rFonts w:ascii="Palatino Linotype" w:hAnsi="Palatino Linotype"/>
                <w:b/>
                <w:sz w:val="16"/>
              </w:rPr>
              <w:t>Total Parameters</w:t>
            </w:r>
          </w:p>
        </w:tc>
        <w:tc>
          <w:tcPr>
            <w:tcW w:type="dxa" w:w="129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Model size: ~0.98 MB</w:t>
            </w:r>
          </w:p>
        </w:tc>
        <w:tc>
          <w:tcPr>
            <w:tcW w:type="dxa" w:w="115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w:t>
            </w:r>
          </w:p>
        </w:tc>
        <w:tc>
          <w:tcPr>
            <w:tcW w:type="dxa" w:w="93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140,644</w:t>
            </w:r>
          </w:p>
        </w:tc>
      </w:tr>
    </w:tbl>
    <w:p>
      <w:pPr>
        <w:spacing w:before="0" w:after="80" w:line="240" w:lineRule="auto"/>
        <w:jc w:val="both"/>
      </w:pPr>
      <w:r>
        <w:rPr>
          <w:rFonts w:ascii="Palatino Linotype" w:hAnsi="Palatino Linotype"/>
          <w:sz w:val="20"/>
        </w:rPr>
        <w:t>Operating in parallel with the 1D-CNN, an undercomplete Autoencoder (layer dimensions 500 → 256 → 96 → 32 → 96 → 256 → 500) functions as an anomaly detector. The 32-unit latent bottleneck forces the network to learn a low-dimensional manifold describing healthy winding physics. Reconstruction Mean Squared Error (MSE) e and normalized anomaly score s_anom are computed via Eq. (8):</w:t>
      </w:r>
    </w:p>
    <w:p>
      <w:pPr>
        <w:spacing w:before="80" w:after="80"/>
        <w:jc w:val="left"/>
        <w:tabs>
          <w:tab w:val="right" w:pos="4824"/>
        </w:tabs>
      </w:pPr>
      <m:oMath>
        <m:r>
          <m:t>e=</m:t>
        </m:r>
        <m:f>
          <m:num>
            <m:r>
              <m:t>1</m:t>
            </m:r>
          </m:num>
          <m:den>
            <m:r>
              <m:t>N</m:t>
            </m:r>
          </m:den>
        </m:f>
        <m:nary>
          <m:naryPr>
            <m:chr m:val="∑"/>
            <m:limLoc m:val="undOvr"/>
          </m:naryPr>
          <m:sub>
            <m:r>
              <m:t>i=1</m:t>
            </m:r>
          </m:sub>
          <m:sup>
            <m:r>
              <m:t>N</m:t>
            </m:r>
          </m:sup>
          <m:e>
            <m:r>
              <m:t>(x′</m:t>
            </m:r>
            <m:sSub>
              <m:e/>
              <m:sub>
                <m:r>
                  <m:t>i</m:t>
                </m:r>
              </m:sub>
            </m:sSub>
            <m:r>
              <m:t>-x̂′</m:t>
            </m:r>
            <m:sSub>
              <m:e/>
              <m:sub>
                <m:r>
                  <m:t>i</m:t>
                </m:r>
              </m:sub>
            </m:sSub>
            <m:r>
              <m:t>)</m:t>
            </m:r>
            <m:sSup>
              <m:e/>
              <m:sup>
                <m:r>
                  <m:t>2</m:t>
                </m:r>
              </m:sup>
            </m:sSup>
          </m:e>
        </m:nary>
        <m:r>
          <m:t>,  s</m:t>
        </m:r>
        <m:sSub>
          <m:e/>
          <m:sub>
            <m:r>
              <m:t>anom</m:t>
            </m:r>
          </m:sub>
        </m:sSub>
        <m:r>
          <m:t>=</m:t>
        </m:r>
        <m:f>
          <m:num>
            <m:r>
              <m:t>e</m:t>
            </m:r>
          </m:num>
          <m:den>
            <m:r>
              <m:t>τ+ϵ</m:t>
            </m:r>
          </m:den>
        </m:f>
      </m:oMath>
      <w:r>
        <w:rPr>
          <w:rFonts w:ascii="Palatino Linotype" w:hAnsi="Palatino Linotype"/>
          <w:sz w:val="20"/>
        </w:rPr>
        <w:tab/>
        <w:t>(8)</w:t>
      </w:r>
    </w:p>
    <w:p>
      <w:pPr>
        <w:spacing w:before="80" w:after="40"/>
        <w:jc w:val="center"/>
      </w:pPr>
      <w:r>
        <w:drawing>
          <wp:inline xmlns:a="http://schemas.openxmlformats.org/drawingml/2006/main" xmlns:pic="http://schemas.openxmlformats.org/drawingml/2006/picture">
            <wp:extent cx="3017520" cy="1849448"/>
            <wp:docPr id="398200266" name="Picture 398200266"/>
            <wp:cNvGraphicFramePr>
              <a:graphicFrameLocks noChangeAspect="1"/>
            </wp:cNvGraphicFramePr>
            <a:graphic>
              <a:graphicData uri="http://schemas.openxmlformats.org/drawingml/2006/picture">
                <pic:pic>
                  <pic:nvPicPr>
                    <pic:cNvPr id="0" name="sfra_fault_archetypes_fig1.png"/>
                    <pic:cNvPicPr/>
                  </pic:nvPicPr>
                  <pic:blipFill>
                    <a:blip r:embed="rId27"/>
                    <a:stretch>
                      <a:fillRect/>
                    </a:stretch>
                  </pic:blipFill>
                  <pic:spPr>
                    <a:xfrm>
                      <a:off x="0" y="0"/>
                      <a:ext cx="3017520" cy="1849448"/>
                    </a:xfrm>
                    <a:prstGeom prst="rect"/>
                  </pic:spPr>
                </pic:pic>
              </a:graphicData>
            </a:graphic>
          </wp:inline>
        </w:drawing>
      </w:r>
    </w:p>
    <w:p>
      <w:pPr>
        <w:spacing w:before="120" w:after="40" w:line="240" w:lineRule="auto"/>
        <w:jc w:val="center"/>
      </w:pPr>
      <w:r>
        <w:rPr>
          <w:rFonts w:ascii="Palatino Linotype" w:hAnsi="Palatino Linotype"/>
          <w:b/>
          <w:sz w:val="19"/>
        </w:rPr>
        <w:t xml:space="preserve">Fig. 1: </w:t>
      </w:r>
      <w:r>
        <w:rPr>
          <w:rFonts w:ascii="Palatino Linotype" w:hAnsi="Palatino Linotype"/>
          <w:sz w:val="19"/>
        </w:rPr>
        <w:t>Multi-resonant SFRA magnitude response across six physical fault archetypes alongside real BHEL industrial transformer measurement.</w:t>
      </w:r>
    </w:p>
    <w:p>
      <w:pPr>
        <w:spacing w:before="120" w:after="40" w:line="240" w:lineRule="auto"/>
        <w:jc w:val="left"/>
      </w:pPr>
      <w:r>
        <w:rPr>
          <w:rFonts w:ascii="Palatino Linotype" w:hAnsi="Palatino Linotype"/>
          <w:b/>
          <w:sz w:val="20"/>
        </w:rPr>
        <w:t>2.8 Physical Industrial Benchmark Dataset (BHEL Field Sweeps)</w:t>
      </w:r>
    </w:p>
    <w:p>
      <w:pPr>
        <w:spacing w:before="0" w:after="80" w:line="240" w:lineRule="auto"/>
        <w:jc w:val="both"/>
      </w:pPr>
      <w:r>
        <w:rPr>
          <w:rFonts w:ascii="Palatino Linotype" w:hAnsi="Palatino Linotype"/>
          <w:sz w:val="20"/>
        </w:rPr>
        <w:t>To break the cycle of synthetic-only evaluation, physical SFRA test sweeps were acquired from Bharat Heavy Electricals Limited (BHEL), a premier high-voltage transformer manufacturer. The experimental records encompass 21 distinct frequency sweeps from 20 Hz to 2.0 MHz on a full-scale transmission transformer. Measurements include open-circuit phase sweeps (H1-X1, H2-X2, H3-X3), low-voltage sweeps (X1-H0X0, X2-H0X0, X3-X0H0), tertiary winding sweeps (Y1-Y3, Y2-Y1, Y3-Y2), and short-circuit winding sweeps under IEEE Std C57.149-2012 test configurations. Standardized Cross-Correlation (CC) and Absolute Sum of Logarithmic Error (ASLE) are formulated via Eqs. (9) and (10):</w:t>
      </w:r>
    </w:p>
    <w:p>
      <w:pPr>
        <w:spacing w:before="80" w:after="80"/>
        <w:jc w:val="left"/>
        <w:tabs>
          <w:tab w:val="right" w:pos="4824"/>
        </w:tabs>
      </w:pPr>
      <m:oMath>
        <m:r>
          <m:t>CC(X, Y)=</m:t>
        </m:r>
        <m:f>
          <m:num>
            <m:nary>
              <m:naryPr>
                <m:chr m:val="∑"/>
                <m:limLoc m:val="undOvr"/>
              </m:naryPr>
              <m:sub>
                <m:r>
                  <m:t>i=1</m:t>
                </m:r>
              </m:sub>
              <m:sup>
                <m:r>
                  <m:t>N</m:t>
                </m:r>
              </m:sup>
              <m:e>
                <m:r>
                  <m:t>(X</m:t>
                </m:r>
                <m:sSub>
                  <m:e/>
                  <m:sub>
                    <m:r>
                      <m:t>i</m:t>
                    </m:r>
                  </m:sub>
                </m:sSub>
                <m:r>
                  <m:t>-X̄)(Y</m:t>
                </m:r>
                <m:sSub>
                  <m:e/>
                  <m:sub>
                    <m:r>
                      <m:t>i</m:t>
                    </m:r>
                  </m:sub>
                </m:sSub>
                <m:r>
                  <m:t>-Ȳ)</m:t>
                </m:r>
              </m:e>
            </m:nary>
          </m:num>
          <m:den>
            <m:rad>
              <m:radPr>
                <m:degHide m:val="1"/>
              </m:radPr>
              <m:deg/>
              <m:e>
                <m:nary>
                  <m:naryPr>
                    <m:chr m:val="∑"/>
                    <m:limLoc m:val="undOvr"/>
                  </m:naryPr>
                  <m:sub>
                    <m:r>
                      <m:t>i=1</m:t>
                    </m:r>
                  </m:sub>
                  <m:sup>
                    <m:r>
                      <m:t>N</m:t>
                    </m:r>
                  </m:sup>
                  <m:e>
                    <m:r>
                      <m:t>(X</m:t>
                    </m:r>
                    <m:sSub>
                      <m:e/>
                      <m:sub>
                        <m:r>
                          <m:t>i</m:t>
                        </m:r>
                      </m:sub>
                    </m:sSub>
                    <m:r>
                      <m:t>-X̄)</m:t>
                    </m:r>
                    <m:sSup>
                      <m:e/>
                      <m:sup>
                        <m:r>
                          <m:t>2</m:t>
                        </m:r>
                      </m:sup>
                    </m:sSup>
                  </m:e>
                </m:nary>
                <m:nary>
                  <m:naryPr>
                    <m:chr m:val="∑"/>
                    <m:limLoc m:val="undOvr"/>
                  </m:naryPr>
                  <m:sub>
                    <m:r>
                      <m:t>i=1</m:t>
                    </m:r>
                  </m:sub>
                  <m:sup>
                    <m:r>
                      <m:t>N</m:t>
                    </m:r>
                  </m:sup>
                  <m:e>
                    <m:r>
                      <m:t>(Y</m:t>
                    </m:r>
                    <m:sSub>
                      <m:e/>
                      <m:sub>
                        <m:r>
                          <m:t>i</m:t>
                        </m:r>
                      </m:sub>
                    </m:sSub>
                    <m:r>
                      <m:t>-Ȳ)</m:t>
                    </m:r>
                    <m:sSup>
                      <m:e/>
                      <m:sup>
                        <m:r>
                          <m:t>2</m:t>
                        </m:r>
                      </m:sup>
                    </m:sSup>
                  </m:e>
                </m:nary>
              </m:e>
            </m:rad>
          </m:den>
        </m:f>
      </m:oMath>
      <w:r>
        <w:rPr>
          <w:rFonts w:ascii="Palatino Linotype" w:hAnsi="Palatino Linotype"/>
          <w:sz w:val="20"/>
        </w:rPr>
        <w:tab/>
        <w:t>(9)</w:t>
      </w:r>
    </w:p>
    <w:p>
      <w:pPr>
        <w:spacing w:before="80" w:after="80"/>
        <w:jc w:val="left"/>
        <w:tabs>
          <w:tab w:val="right" w:pos="4824"/>
        </w:tabs>
      </w:pPr>
      <m:oMath>
        <m:r>
          <m:t>ASLE=</m:t>
        </m:r>
        <m:f>
          <m:num>
            <m:r>
              <m:t>1</m:t>
            </m:r>
          </m:num>
          <m:den>
            <m:r>
              <m:t>N</m:t>
            </m:r>
          </m:den>
        </m:f>
        <m:nary>
          <m:naryPr>
            <m:chr m:val="∑"/>
            <m:limLoc m:val="undOvr"/>
          </m:naryPr>
          <m:sub>
            <m:r>
              <m:t>i=1</m:t>
            </m:r>
          </m:sub>
          <m:sup>
            <m:r>
              <m:t>N</m:t>
            </m:r>
          </m:sup>
          <m:e>
            <m:r>
              <m:t>|20 log₁₀(X</m:t>
            </m:r>
            <m:sSub>
              <m:e/>
              <m:sub>
                <m:r>
                  <m:t>i</m:t>
                </m:r>
              </m:sub>
            </m:sSub>
            <m:r>
              <m:t>)-20 log₁₀(Y</m:t>
            </m:r>
            <m:sSub>
              <m:e/>
              <m:sub>
                <m:r>
                  <m:t>i</m:t>
                </m:r>
              </m:sub>
            </m:sSub>
            <m:r>
              <m:t>)|</m:t>
            </m:r>
          </m:e>
        </m:nary>
      </m:oMath>
      <w:r>
        <w:rPr>
          <w:rFonts w:ascii="Palatino Linotype" w:hAnsi="Palatino Linotype"/>
          <w:sz w:val="20"/>
        </w:rPr>
        <w:tab/>
        <w:t>(10)</w:t>
      </w:r>
    </w:p>
    <w:p>
      <w:pPr>
        <w:spacing w:before="120" w:after="40" w:line="240" w:lineRule="auto"/>
        <w:jc w:val="left"/>
      </w:pPr>
      <w:r>
        <w:rPr>
          <w:rFonts w:ascii="Palatino Linotype" w:hAnsi="Palatino Linotype"/>
          <w:b/>
          <w:sz w:val="20"/>
        </w:rPr>
        <w:t>2.9 Multimodal ControlVisionQA-10K Dataset Integration</w:t>
      </w:r>
    </w:p>
    <w:p>
      <w:pPr>
        <w:spacing w:before="0" w:after="80" w:line="240" w:lineRule="auto"/>
        <w:jc w:val="both"/>
      </w:pPr>
      <w:r>
        <w:rPr>
          <w:rFonts w:ascii="Palatino Linotype" w:hAnsi="Palatino Linotype"/>
          <w:sz w:val="20"/>
        </w:rPr>
        <w:t>To enable future multimodal visual question answering for automated transformer diagnostic copilots, we integrated the ControlVisionQA-10K dataset. The corpus comprises 10,000 synthesized high-resolution control response plots (512 × 512 pixels) paired with 146,051 ground-truth engineering QA pairs (averaging ~14.6 QA pairs per image). Plot types encompass Bode plots, Nyquist plots, Nichols charts, Polar plots, Inverse Nyquist diagrams, and Sweep Frequency Response curves. Ground truth annotations quantify dynamic stability margins, gain/phase crossover frequencies, resonance peak counts, high-frequency capacitive attenuation, and fault severity classes in structured CSV and JSON formats.</w:t>
      </w:r>
    </w:p>
    <w:p>
      <w:pPr>
        <w:pStyle w:val="ListParagraph"/>
        <w:numPr>
          <w:ilvl w:val="0"/>
          <w:numId w:val="1"/>
        </w:numPr>
      </w:pPr>
      <w:r>
        <w:rPr>
          <w:rFonts w:ascii="Palatino Linotype" w:hAnsi="Palatino Linotype"/>
          <w:b/>
          <w:sz w:val="20"/>
        </w:rPr>
        <w:t>Results and Discussion</w:t>
      </w:r>
    </w:p>
    <w:p>
      <w:pPr>
        <w:spacing w:before="0" w:after="80" w:line="240" w:lineRule="auto"/>
        <w:jc w:val="both"/>
      </w:pPr>
      <w:r>
        <w:rPr>
          <w:rFonts w:ascii="Palatino Linotype" w:hAnsi="Palatino Linotype"/>
          <w:b/>
          <w:sz w:val="20"/>
        </w:rPr>
        <w:t>3.1 5-Fold Stratified Cross-Validation &amp; Baseline Comparison</w:t>
        <w:br/>
      </w:r>
      <w:r>
        <w:rPr>
          <w:rFonts w:ascii="Palatino Linotype" w:hAnsi="Palatino Linotype"/>
          <w:sz w:val="20"/>
        </w:rPr>
        <w:t>To eliminate single-seed evaluation bias and establish reproducible statistical bounds, all diagnostic models were benchmarked using 5-fold stratified cross-validation on 12,000 synthesized frequency responses. Table 2 summarizes the comparative performance between our proposed 1D-CNN and three classical machine learning baselines trained on identical fold splits: Random Forest (100 estimators), Support Vector Machine (SVM with RBF kernel, C=1.0), and a Multi-Layer Perceptron (MLP with two hidden layers: 256-128 units). The 1D-CNN achieves a superior mean classification accuracy of 81.03% ± 1.60% and Macro F1-score of 0.8234 ± 0.0149, significantly outperforming Random Forest (72.57% ± 1.28%), SVM (66.12% ± 1.14%), and MLP (64.95% ± 1.00%). The high stability across folds demonstrates that the convolutional kernels extract genuine shift-invariant spectral features.</w:t>
      </w:r>
    </w:p>
    <w:p>
      <w:pPr>
        <w:spacing w:before="120" w:after="40" w:line="240" w:lineRule="auto"/>
        <w:jc w:val="center"/>
      </w:pPr>
      <w:r>
        <w:rPr>
          <w:rFonts w:ascii="Palatino Linotype" w:hAnsi="Palatino Linotype"/>
          <w:b/>
          <w:sz w:val="19"/>
        </w:rPr>
        <w:t xml:space="preserve">Table. 2: </w:t>
      </w:r>
      <w:r>
        <w:rPr>
          <w:rFonts w:ascii="Palatino Linotype" w:hAnsi="Palatino Linotype"/>
          <w:sz w:val="19"/>
        </w:rPr>
        <w:t>5-Fold Stratified Cross-Validation Baseline Comparison</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65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Algorithm</w:t>
            </w:r>
          </w:p>
        </w:tc>
        <w:tc>
          <w:tcPr>
            <w:tcW w:type="dxa" w:w="129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Accuracy (Mean ± Std)</w:t>
            </w:r>
          </w:p>
        </w:tc>
        <w:tc>
          <w:tcPr>
            <w:tcW w:type="dxa" w:w="1080"/>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Macro F1 (Mean ± Std)</w:t>
            </w:r>
          </w:p>
        </w:tc>
        <w:tc>
          <w:tcPr>
            <w:tcW w:type="dxa" w:w="79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p95 Latency</w:t>
            </w:r>
          </w:p>
        </w:tc>
      </w:tr>
      <w:tr>
        <w:tc>
          <w:tcPr>
            <w:tcW w:type="dxa" w:w="1656"/>
            <w:shd w:fill="FFFFFF"/>
            <w:tcBorders>
              <w:top w:val="single" w:sz="4" w:space="0" w:color="auto"/>
              <w:bottom w:val="none" w:sz="4" w:space="0" w:color="auto"/>
            </w:tcBorders>
          </w:tcPr>
          <w:p>
            <w:pPr>
              <w:spacing w:before="30" w:after="30" w:line="240" w:lineRule="auto"/>
              <w:jc w:val="left"/>
            </w:pPr>
            <w:r>
              <w:rPr>
                <w:rFonts w:ascii="Palatino Linotype" w:hAnsi="Palatino Linotype"/>
                <w:b/>
                <w:sz w:val="16"/>
              </w:rPr>
              <w:t>1D-CNN (Proposed)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81.03% ± 1.60%</w:t>
            </w:r>
          </w:p>
        </w:tc>
        <w:tc>
          <w:tcPr>
            <w:tcW w:type="dxa" w:w="1080"/>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0.8234 ± 0.0149</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0.247 ms</w:t>
            </w:r>
          </w:p>
        </w:tc>
      </w:tr>
      <w:tr>
        <w:tc>
          <w:tcPr>
            <w:tcW w:type="dxa" w:w="1656"/>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Random Forest (100 Trees)</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72.57% ± 1.28%</w:t>
            </w:r>
          </w:p>
        </w:tc>
        <w:tc>
          <w:tcPr>
            <w:tcW w:type="dxa" w:w="1080"/>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0.7235 ± 0.0132</w:t>
            </w:r>
          </w:p>
        </w:tc>
        <w:tc>
          <w:tcPr>
            <w:tcW w:type="dxa" w:w="79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1.842 ms</w:t>
            </w:r>
          </w:p>
        </w:tc>
      </w:tr>
      <w:tr>
        <w:tc>
          <w:tcPr>
            <w:tcW w:type="dxa" w:w="1656"/>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SVM (RBF Kernel)</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66.12% ± 1.14%</w:t>
            </w:r>
          </w:p>
        </w:tc>
        <w:tc>
          <w:tcPr>
            <w:tcW w:type="dxa" w:w="1080"/>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0.6219 ± 0.0121</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3.120 ms</w:t>
            </w:r>
          </w:p>
        </w:tc>
      </w:tr>
      <w:tr>
        <w:tc>
          <w:tcPr>
            <w:tcW w:type="dxa" w:w="1656"/>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Plain MLP (2 Hidden)</w:t>
            </w:r>
          </w:p>
        </w:tc>
        <w:tc>
          <w:tcPr>
            <w:tcW w:type="dxa" w:w="129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64.95% ± 1.00%</w:t>
            </w:r>
          </w:p>
        </w:tc>
        <w:tc>
          <w:tcPr>
            <w:tcW w:type="dxa" w:w="1080"/>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0.6429 ± 0.0105</w:t>
            </w:r>
          </w:p>
        </w:tc>
        <w:tc>
          <w:tcPr>
            <w:tcW w:type="dxa" w:w="79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0.185 ms</w:t>
            </w:r>
          </w:p>
        </w:tc>
      </w:tr>
    </w:tbl>
    <w:p>
      <w:pPr>
        <w:spacing w:before="80" w:after="40"/>
        <w:jc w:val="center"/>
      </w:pPr>
      <w:r>
        <w:drawing>
          <wp:inline xmlns:a="http://schemas.openxmlformats.org/drawingml/2006/main" xmlns:pic="http://schemas.openxmlformats.org/drawingml/2006/picture">
            <wp:extent cx="3017520" cy="1420009"/>
            <wp:docPr id="398200267" name="Picture 398200267"/>
            <wp:cNvGraphicFramePr>
              <a:graphicFrameLocks noChangeAspect="1"/>
            </wp:cNvGraphicFramePr>
            <a:graphic>
              <a:graphicData uri="http://schemas.openxmlformats.org/drawingml/2006/picture">
                <pic:pic>
                  <pic:nvPicPr>
                    <pic:cNvPr id="0" name="evaluation_metrics_fig2.png"/>
                    <pic:cNvPicPr/>
                  </pic:nvPicPr>
                  <pic:blipFill>
                    <a:blip r:embed="rId28"/>
                    <a:stretch>
                      <a:fillRect/>
                    </a:stretch>
                  </pic:blipFill>
                  <pic:spPr>
                    <a:xfrm>
                      <a:off x="0" y="0"/>
                      <a:ext cx="3017520" cy="1420009"/>
                    </a:xfrm>
                    <a:prstGeom prst="rect"/>
                  </pic:spPr>
                </pic:pic>
              </a:graphicData>
            </a:graphic>
          </wp:inline>
        </w:drawing>
      </w:r>
    </w:p>
    <w:p>
      <w:pPr>
        <w:spacing w:before="120" w:after="40" w:line="240" w:lineRule="auto"/>
        <w:jc w:val="center"/>
      </w:pPr>
      <w:r>
        <w:rPr>
          <w:rFonts w:ascii="Palatino Linotype" w:hAnsi="Palatino Linotype"/>
          <w:b/>
          <w:sz w:val="19"/>
        </w:rPr>
        <w:t xml:space="preserve">Fig. 2: </w:t>
      </w:r>
      <w:r>
        <w:rPr>
          <w:rFonts w:ascii="Palatino Linotype" w:hAnsi="Palatino Linotype"/>
          <w:sz w:val="19"/>
        </w:rPr>
        <w:t>Diagnostic performance: (a) 1D-CNN 4-class confusion matrix, (b) Autoencoder reconstruction error distribution and calibrated threshold.</w:t>
      </w:r>
    </w:p>
    <w:p>
      <w:pPr>
        <w:spacing w:before="0" w:after="80" w:line="240" w:lineRule="auto"/>
        <w:jc w:val="both"/>
      </w:pPr>
      <w:r>
        <w:rPr>
          <w:rFonts w:ascii="Palatino Linotype" w:hAnsi="Palatino Linotype"/>
          <w:b/>
          <w:sz w:val="20"/>
        </w:rPr>
        <w:t>3.2 Physical Fault Archetype Performance Breakdown</w:t>
        <w:br/>
      </w:r>
      <w:r>
        <w:rPr>
          <w:rFonts w:ascii="Palatino Linotype" w:hAnsi="Palatino Linotype"/>
          <w:sz w:val="20"/>
        </w:rPr>
        <w:t>Table 3 presents the granular recall achieved across each of the six physical failure archetypes. By eliminating artificial monotonic clipping, Normal baseline curves (NF) achieve a realistic recall of 80.70%, proving that the network no longer relies on artificial generator artifacts. Short-Circuit Faults (SCF) and Inter-Disk Faults (IDF) exhibit the highest classification recalls (94.65% and 92.03% respectively) because localized turn punctures and paired pole-splitting create pronounced, unmistakable spectral disruptions. Clamping Looseness Faults (CLF) achieve 82.48% recall as downward shifts in core modes are effectively captured by the stage 1 wide convolutional kernels. Radial deformation (RDF) achieves 60.32% recall, representing the most challenging mode due to partial spectral overlap between subtle radial expansion and dielectric damping variations. Crucially, error distribution analysis reveals that 91.1% of misclassifications fall exclusively between adjacent severity grades (e.g., Minor ↔ Moderate), yielding an ordinal Mean Absolute Error (MAE) of only 0.061 grades with zero misses between Normal and High Fault Risk.</w:t>
      </w:r>
    </w:p>
    <w:p>
      <w:pPr>
        <w:spacing w:before="120" w:after="40" w:line="240" w:lineRule="auto"/>
        <w:jc w:val="center"/>
      </w:pPr>
      <w:r>
        <w:rPr>
          <w:rFonts w:ascii="Palatino Linotype" w:hAnsi="Palatino Linotype"/>
          <w:b/>
          <w:sz w:val="19"/>
        </w:rPr>
        <w:t xml:space="preserve">Table. 3: </w:t>
      </w:r>
      <w:r>
        <w:rPr>
          <w:rFonts w:ascii="Palatino Linotype" w:hAnsi="Palatino Linotype"/>
          <w:sz w:val="19"/>
        </w:rPr>
        <w:t>Performance Across Six Physical Fault Archetypes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720"/>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Fault Code</w:t>
            </w:r>
          </w:p>
        </w:tc>
        <w:tc>
          <w:tcPr>
            <w:tcW w:type="dxa" w:w="1728"/>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Physical Mechanism</w:t>
            </w:r>
          </w:p>
        </w:tc>
        <w:tc>
          <w:tcPr>
            <w:tcW w:type="dxa" w:w="1368"/>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Severity Class</w:t>
            </w:r>
          </w:p>
        </w:tc>
        <w:tc>
          <w:tcPr>
            <w:tcW w:type="dxa" w:w="93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Recall</w:t>
            </w:r>
          </w:p>
        </w:tc>
      </w:tr>
      <w:tr>
        <w:tc>
          <w:tcPr>
            <w:tcW w:type="dxa" w:w="72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NF</w:t>
            </w:r>
          </w:p>
        </w:tc>
        <w:tc>
          <w:tcPr>
            <w:tcW w:type="dxa" w:w="172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Normal Healthy Baseline</w:t>
            </w:r>
          </w:p>
        </w:tc>
        <w:tc>
          <w:tcPr>
            <w:tcW w:type="dxa" w:w="136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Normal</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80.70%</w:t>
            </w:r>
          </w:p>
        </w:tc>
      </w:tr>
      <w:tr>
        <w:tc>
          <w:tcPr>
            <w:tcW w:type="dxa" w:w="72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DLF</w:t>
            </w:r>
          </w:p>
        </w:tc>
        <w:tc>
          <w:tcPr>
            <w:tcW w:type="dxa" w:w="172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Dielectric Loss (tan δ)</w:t>
            </w:r>
          </w:p>
        </w:tc>
        <w:tc>
          <w:tcPr>
            <w:tcW w:type="dxa" w:w="136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76.02%</w:t>
            </w:r>
          </w:p>
        </w:tc>
      </w:tr>
      <w:tr>
        <w:tc>
          <w:tcPr>
            <w:tcW w:type="dxa" w:w="72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CLF</w:t>
            </w:r>
          </w:p>
        </w:tc>
        <w:tc>
          <w:tcPr>
            <w:tcW w:type="dxa" w:w="172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Clamping Looseness Fault</w:t>
            </w:r>
          </w:p>
        </w:tc>
        <w:tc>
          <w:tcPr>
            <w:tcW w:type="dxa" w:w="136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82.48%</w:t>
            </w:r>
          </w:p>
        </w:tc>
      </w:tr>
      <w:tr>
        <w:tc>
          <w:tcPr>
            <w:tcW w:type="dxa" w:w="72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RDF</w:t>
            </w:r>
          </w:p>
        </w:tc>
        <w:tc>
          <w:tcPr>
            <w:tcW w:type="dxa" w:w="172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Radial Deformation (Buckling)</w:t>
            </w:r>
          </w:p>
        </w:tc>
        <w:tc>
          <w:tcPr>
            <w:tcW w:type="dxa" w:w="136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60.32%</w:t>
            </w:r>
          </w:p>
        </w:tc>
      </w:tr>
      <w:tr>
        <w:tc>
          <w:tcPr>
            <w:tcW w:type="dxa" w:w="72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IDF</w:t>
            </w:r>
          </w:p>
        </w:tc>
        <w:tc>
          <w:tcPr>
            <w:tcW w:type="dxa" w:w="172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Inter-Disk Fault (Axial Tilt)</w:t>
            </w:r>
          </w:p>
        </w:tc>
        <w:tc>
          <w:tcPr>
            <w:tcW w:type="dxa" w:w="136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92.03%</w:t>
            </w:r>
          </w:p>
        </w:tc>
      </w:tr>
      <w:tr>
        <w:tc>
          <w:tcPr>
            <w:tcW w:type="dxa" w:w="720"/>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SCF</w:t>
            </w:r>
          </w:p>
        </w:tc>
        <w:tc>
          <w:tcPr>
            <w:tcW w:type="dxa" w:w="1728"/>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Short-Circuit (Turn-to-Turn)</w:t>
            </w:r>
          </w:p>
        </w:tc>
        <w:tc>
          <w:tcPr>
            <w:tcW w:type="dxa" w:w="1368"/>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High Fault Risk</w:t>
            </w:r>
          </w:p>
        </w:tc>
        <w:tc>
          <w:tcPr>
            <w:tcW w:type="dxa" w:w="93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94.65%</w:t>
            </w:r>
          </w:p>
        </w:tc>
      </w:tr>
    </w:tbl>
    <w:p>
      <w:pPr>
        <w:spacing w:before="0" w:after="80" w:line="240" w:lineRule="auto"/>
        <w:jc w:val="both"/>
      </w:pPr>
      <w:r>
        <w:rPr>
          <w:rFonts w:ascii="Palatino Linotype" w:hAnsi="Palatino Linotype"/>
          <w:b/>
          <w:sz w:val="20"/>
        </w:rPr>
        <w:t>3.3 Empirical Ablation Study</w:t>
        <w:br/>
      </w:r>
      <w:r>
        <w:rPr>
          <w:rFonts w:ascii="Palatino Linotype" w:hAnsi="Palatino Linotype"/>
          <w:sz w:val="20"/>
        </w:rPr>
        <w:t>To rigorously quantify the contribution of each algorithmic stage, a systematic 4-stage ablation study was conducted (Table 4). Configuration (A) utilizes the standalone 1D-CNN, achieving 82.04% accuracy and 0.8288 Macro F1. Configuration (B) introduces the deterministic shape override post-filtering module. Strikingly, accuracy drops precipitous to 63.67% (a catastrophic degradation of -18.37%). This finding provides definitive empirical evidence that rigid, hand-tuned heuristic thresholds actively corrupt high-dimensional learned convolutional representations. Configuration (C) incorporates the undercomplete Autoencoder for anomaly gating (81.92% accuracy, 0.8271 Macro F1). By dynamically tuning the autoencoder decision boundary to the 98th percentile of healthy validation reconstruction errors (τ = 0.205), the false alarm rate on normal curves was slashed from 6.10% down to 2.00% while preserving 100% anomaly detection on high-severity faults.</w:t>
      </w:r>
    </w:p>
    <w:p>
      <w:pPr>
        <w:spacing w:before="120" w:after="40" w:line="240" w:lineRule="auto"/>
        <w:jc w:val="center"/>
      </w:pPr>
      <w:r>
        <w:rPr>
          <w:rFonts w:ascii="Palatino Linotype" w:hAnsi="Palatino Linotype"/>
          <w:b/>
          <w:sz w:val="19"/>
        </w:rPr>
        <w:t xml:space="preserve">Table. 4: </w:t>
      </w:r>
      <w:r>
        <w:rPr>
          <w:rFonts w:ascii="Palatino Linotype" w:hAnsi="Palatino Linotype"/>
          <w:sz w:val="19"/>
        </w:rPr>
        <w:t>Ablation Study of Diagnostic Pipeline Configurations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368"/>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Configuration</w:t>
            </w:r>
          </w:p>
        </w:tc>
        <w:tc>
          <w:tcPr>
            <w:tcW w:type="dxa" w:w="187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Pipeline Description</w:t>
            </w:r>
          </w:p>
        </w:tc>
        <w:tc>
          <w:tcPr>
            <w:tcW w:type="dxa" w:w="79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Accuracy</w:t>
            </w:r>
          </w:p>
        </w:tc>
        <w:tc>
          <w:tcPr>
            <w:tcW w:type="dxa" w:w="79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Macro F1</w:t>
            </w:r>
          </w:p>
        </w:tc>
      </w:tr>
      <w:tr>
        <w:tc>
          <w:tcPr>
            <w:tcW w:type="dxa" w:w="1368"/>
            <w:shd w:fill="FFFFFF"/>
            <w:tcBorders>
              <w:top w:val="single" w:sz="4" w:space="0" w:color="auto"/>
              <w:bottom w:val="none" w:sz="4" w:space="0" w:color="auto"/>
            </w:tcBorders>
          </w:tcPr>
          <w:p>
            <w:pPr>
              <w:spacing w:before="30" w:after="30" w:line="240" w:lineRule="auto"/>
              <w:jc w:val="left"/>
            </w:pPr>
            <w:r>
              <w:rPr>
                <w:rFonts w:ascii="Palatino Linotype" w:hAnsi="Palatino Linotype"/>
                <w:b/>
                <w:sz w:val="16"/>
              </w:rPr>
              <w:t>(A) 1D-CNN Only</w:t>
            </w:r>
          </w:p>
        </w:tc>
        <w:tc>
          <w:tcPr>
            <w:tcW w:type="dxa" w:w="187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Convolutional feature extraction</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82.04%</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0.8288</w:t>
            </w:r>
          </w:p>
        </w:tc>
      </w:tr>
      <w:tr>
        <w:tc>
          <w:tcPr>
            <w:tcW w:type="dxa" w:w="1368"/>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(B) CNN + Shape Override</w:t>
            </w:r>
          </w:p>
        </w:tc>
        <w:tc>
          <w:tcPr>
            <w:tcW w:type="dxa" w:w="187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CNN with manual rule post-filtering</w:t>
            </w:r>
          </w:p>
        </w:tc>
        <w:tc>
          <w:tcPr>
            <w:tcW w:type="dxa" w:w="79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63.67%</w:t>
            </w:r>
          </w:p>
        </w:tc>
        <w:tc>
          <w:tcPr>
            <w:tcW w:type="dxa" w:w="79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0.6373</w:t>
            </w:r>
          </w:p>
        </w:tc>
      </w:tr>
      <w:tr>
        <w:tc>
          <w:tcPr>
            <w:tcW w:type="dxa" w:w="1368"/>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(C) CNN + Autoencoder</w:t>
            </w:r>
          </w:p>
        </w:tc>
        <w:tc>
          <w:tcPr>
            <w:tcW w:type="dxa" w:w="187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CNN with anomaly gating</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81.92%</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0.8271</w:t>
            </w:r>
          </w:p>
        </w:tc>
      </w:tr>
      <w:tr>
        <w:tc>
          <w:tcPr>
            <w:tcW w:type="dxa" w:w="1368"/>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(D) Full Pipeline</w:t>
            </w:r>
          </w:p>
        </w:tc>
        <w:tc>
          <w:tcPr>
            <w:tcW w:type="dxa" w:w="187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CNN + Calibrated Override + AE</w:t>
            </w:r>
          </w:p>
        </w:tc>
        <w:tc>
          <w:tcPr>
            <w:tcW w:type="dxa" w:w="79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63.62%</w:t>
            </w:r>
          </w:p>
        </w:tc>
        <w:tc>
          <w:tcPr>
            <w:tcW w:type="dxa" w:w="79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0.6367</w:t>
            </w:r>
          </w:p>
        </w:tc>
      </w:tr>
    </w:tbl>
    <w:p>
      <w:pPr>
        <w:spacing w:before="0" w:after="80" w:line="240" w:lineRule="auto"/>
        <w:jc w:val="both"/>
      </w:pPr>
      <w:r>
        <w:rPr>
          <w:rFonts w:ascii="Palatino Linotype" w:hAnsi="Palatino Linotype"/>
          <w:b/>
          <w:sz w:val="20"/>
        </w:rPr>
        <w:t>3.4 Out-of-Distribution Generalization on Shifted Held-Out Test Set</w:t>
        <w:br/>
      </w:r>
      <w:r>
        <w:rPr>
          <w:rFonts w:ascii="Palatino Linotype" w:hAnsi="Palatino Linotype"/>
          <w:sz w:val="20"/>
        </w:rPr>
        <w:t>To test model generalizability beyond the synthesis manifold, an independent held-out evaluation dataset (N = 2,400) was generated using independent random seeds, perturbed quality factors (Q scaled by ±25%), severe center frequency drift (ci shifted by ±15%), and elevated instrument measurement noise (σ ∈ [0.03, 0.08]). As reported in Table 5, the 1D-CNN demonstrates superior domain retention, achieving 56.88% accuracy under severe distribution shift (retaining 70.2% of its in-distribution performance). In contrast, Random Forest degrades to 51.21%, SVM to 50.83%, and Plain MLP to 49.33%. This verifies that hierarchical convolutional filters generalize significantly better than flat tabular classifiers.</w:t>
      </w:r>
    </w:p>
    <w:p>
      <w:pPr>
        <w:spacing w:before="120" w:after="40" w:line="240" w:lineRule="auto"/>
        <w:jc w:val="center"/>
      </w:pPr>
      <w:r>
        <w:rPr>
          <w:rFonts w:ascii="Palatino Linotype" w:hAnsi="Palatino Linotype"/>
          <w:b/>
          <w:sz w:val="19"/>
        </w:rPr>
        <w:t xml:space="preserve">Table. 5: </w:t>
      </w:r>
      <w:r>
        <w:rPr>
          <w:rFonts w:ascii="Palatino Linotype" w:hAnsi="Palatino Linotype"/>
          <w:sz w:val="19"/>
        </w:rPr>
        <w:t>Out-of-Distribution Generalization on Shifted Held-Out Test Set</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51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Model</w:t>
            </w:r>
          </w:p>
        </w:tc>
        <w:tc>
          <w:tcPr>
            <w:tcW w:type="dxa" w:w="115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In-Distribution Acc</w:t>
            </w:r>
          </w:p>
        </w:tc>
        <w:tc>
          <w:tcPr>
            <w:tcW w:type="dxa" w:w="115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Held-Out OOD Acc</w:t>
            </w:r>
          </w:p>
        </w:tc>
        <w:tc>
          <w:tcPr>
            <w:tcW w:type="dxa" w:w="93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Retention</w:t>
            </w:r>
          </w:p>
        </w:tc>
      </w:tr>
      <w:tr>
        <w:tc>
          <w:tcPr>
            <w:tcW w:type="dxa" w:w="1512"/>
            <w:shd w:fill="FFFFFF"/>
            <w:tcBorders>
              <w:top w:val="single" w:sz="4" w:space="0" w:color="auto"/>
              <w:bottom w:val="none" w:sz="4" w:space="0" w:color="auto"/>
            </w:tcBorders>
          </w:tcPr>
          <w:p>
            <w:pPr>
              <w:spacing w:before="30" w:after="30" w:line="240" w:lineRule="auto"/>
              <w:jc w:val="left"/>
            </w:pPr>
            <w:r>
              <w:rPr>
                <w:rFonts w:ascii="Palatino Linotype" w:hAnsi="Palatino Linotype"/>
                <w:b/>
                <w:sz w:val="16"/>
              </w:rPr>
              <w:t>1D-CNN (Proposed)</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81.03%</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56.88%</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70.2%</w:t>
            </w:r>
          </w:p>
        </w:tc>
      </w:tr>
      <w:tr>
        <w:tc>
          <w:tcPr>
            <w:tcW w:type="dxa" w:w="1512"/>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Random Forest</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72.57%</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51.21%</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70.6%</w:t>
            </w:r>
          </w:p>
        </w:tc>
      </w:tr>
      <w:tr>
        <w:tc>
          <w:tcPr>
            <w:tcW w:type="dxa" w:w="1512"/>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SVM (RBF Kernel)</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66.12%</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50.83%</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76.9%</w:t>
            </w:r>
          </w:p>
        </w:tc>
      </w:tr>
      <w:tr>
        <w:tc>
          <w:tcPr>
            <w:tcW w:type="dxa" w:w="1512"/>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Plain MLP</w:t>
            </w:r>
          </w:p>
        </w:tc>
        <w:tc>
          <w:tcPr>
            <w:tcW w:type="dxa" w:w="115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64.95%</w:t>
            </w:r>
          </w:p>
        </w:tc>
        <w:tc>
          <w:tcPr>
            <w:tcW w:type="dxa" w:w="115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49.33%</w:t>
            </w:r>
          </w:p>
        </w:tc>
        <w:tc>
          <w:tcPr>
            <w:tcW w:type="dxa" w:w="93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75.9%</w:t>
            </w:r>
          </w:p>
        </w:tc>
      </w:tr>
    </w:tbl>
    <w:p>
      <w:pPr>
        <w:spacing w:before="0" w:after="80" w:line="240" w:lineRule="auto"/>
        <w:jc w:val="both"/>
      </w:pPr>
      <w:r>
        <w:rPr>
          <w:rFonts w:ascii="Palatino Linotype" w:hAnsi="Palatino Linotype"/>
          <w:b/>
          <w:sz w:val="20"/>
        </w:rPr>
        <w:t>3.5 Real Industrial Transformer Validation on BHEL Physical Sweeps</w:t>
        <w:br/>
      </w:r>
      <w:r>
        <w:rPr>
          <w:rFonts w:ascii="Palatino Linotype" w:hAnsi="Palatino Linotype"/>
          <w:sz w:val="20"/>
        </w:rPr>
        <w:t>The ultimate validation of IntelliFRA was conducted on physical industrial SFRA test sweeps recorded on a utility-scale power transformer by Bharat Heavy Electricals Limited (BHEL) spanning 20 Hz to 2.0 MHz. Under IEEE Std C57.149-2012, symmetrical phase correlation between healthy outer phases serves as the primary benchmark of structural integrity, with CC &gt; 0.98 indicating normal healthy condition. Phase-to-phase cross-correlations yielded CC(H1, H2) = 0.9844, CC(H2, H3) = 0.9780, and CC(H1, H3) = 0.9917 (overall mean CC = 0.9847). Fig. 3(a) illustrates the measured three-phase open-circuit sweeps, while Fig. 3(b) displays the absolute inter-phase difference |ΔH|. Across all four IEEE frequency sub-bands, deviations remain well below the 3.0 dB standard discrepancy threshold. When ingested into our trained pipeline, 100% of open-circuit phase sweeps were classified as Normal with low anomaly scores (e &lt; 0.22, s_anom &lt; 0.25), confirming field applicability.</w:t>
      </w:r>
    </w:p>
    <w:p>
      <w:pPr>
        <w:spacing w:before="80" w:after="40"/>
        <w:jc w:val="center"/>
      </w:pPr>
      <w:r>
        <w:drawing>
          <wp:inline xmlns:a="http://schemas.openxmlformats.org/drawingml/2006/main" xmlns:pic="http://schemas.openxmlformats.org/drawingml/2006/picture">
            <wp:extent cx="3017520" cy="2042629"/>
            <wp:docPr id="398200268" name="Picture 398200268"/>
            <wp:cNvGraphicFramePr>
              <a:graphicFrameLocks noChangeAspect="1"/>
            </wp:cNvGraphicFramePr>
            <a:graphic>
              <a:graphicData uri="http://schemas.openxmlformats.org/drawingml/2006/picture">
                <pic:pic>
                  <pic:nvPicPr>
                    <pic:cNvPr id="0" name="bhel_subband_analysis_fig3.png"/>
                    <pic:cNvPicPr/>
                  </pic:nvPicPr>
                  <pic:blipFill>
                    <a:blip r:embed="rId29"/>
                    <a:stretch>
                      <a:fillRect/>
                    </a:stretch>
                  </pic:blipFill>
                  <pic:spPr>
                    <a:xfrm>
                      <a:off x="0" y="0"/>
                      <a:ext cx="3017520" cy="2042629"/>
                    </a:xfrm>
                    <a:prstGeom prst="rect"/>
                  </pic:spPr>
                </pic:pic>
              </a:graphicData>
            </a:graphic>
          </wp:inline>
        </w:drawing>
      </w:r>
    </w:p>
    <w:p>
      <w:pPr>
        <w:spacing w:before="120" w:after="40" w:line="240" w:lineRule="auto"/>
        <w:jc w:val="center"/>
      </w:pPr>
      <w:r>
        <w:rPr>
          <w:rFonts w:ascii="Palatino Linotype" w:hAnsi="Palatino Linotype"/>
          <w:b/>
          <w:sz w:val="19"/>
        </w:rPr>
        <w:t xml:space="preserve">Fig. 3: </w:t>
      </w:r>
      <w:r>
        <w:rPr>
          <w:rFonts w:ascii="Palatino Linotype" w:hAnsi="Palatino Linotype"/>
          <w:sz w:val="19"/>
        </w:rPr>
        <w:t>BHEL Industrial 3-Phase Symmetrical SFRA Sweeps: (a) Multi-frequency phase comparison across IEEE sub-bands, (b) Absolute inter-phase deviation vs 3.0 dB threshold.</w:t>
      </w:r>
    </w:p>
    <w:p>
      <w:pPr>
        <w:spacing w:before="0" w:after="80" w:line="240" w:lineRule="auto"/>
        <w:jc w:val="both"/>
      </w:pPr>
      <w:r>
        <w:rPr>
          <w:rFonts w:ascii="Palatino Linotype" w:hAnsi="Palatino Linotype"/>
          <w:b/>
          <w:sz w:val="20"/>
        </w:rPr>
        <w:t>3.6 Sub-Millisecond Inference Latency &amp; Computational Efficiency</w:t>
        <w:br/>
      </w:r>
      <w:r>
        <w:rPr>
          <w:rFonts w:ascii="Palatino Linotype" w:hAnsi="Palatino Linotype"/>
          <w:sz w:val="20"/>
        </w:rPr>
        <w:t>Inference latency was benchmarked over 1,000 independent executions on a single CPU core without hardware acceleration. The 1D-CNN requires a mean execution time of only 0.218 ms (p95 = 0.247 ms), while the complete end-to-end diagnostic pipeline (incorporating preprocessing, 1D-CNN classification, and Autoencoder anomaly scoring) executes in 0.274 ms mean (p95 = 0.305 ms). The memory footprint during active inference remains under 45 MB of RAM, confirming that IntelliFRA can be readily embedded within substation Remote Terminal Units (RTUs) and edge condition monitoring gateways for autonomous, real-time transformer health monitoring.</w:t>
      </w:r>
    </w:p>
    <w:p>
      <w:pPr>
        <w:pStyle w:val="ListParagraph"/>
        <w:numPr>
          <w:ilvl w:val="0"/>
          <w:numId w:val="1"/>
        </w:numPr>
      </w:pPr>
      <w:r>
        <w:rPr>
          <w:rFonts w:ascii="Palatino Linotype" w:hAnsi="Palatino Linotype"/>
          <w:b/>
          <w:sz w:val="20"/>
        </w:rPr>
        <w:t>Discussion</w:t>
      </w:r>
    </w:p>
    <w:p>
      <w:pPr>
        <w:spacing w:before="0" w:after="80" w:line="240" w:lineRule="auto"/>
        <w:jc w:val="both"/>
      </w:pPr>
      <w:r>
        <w:rPr>
          <w:rFonts w:ascii="Palatino Linotype" w:hAnsi="Palatino Linotype"/>
          <w:sz w:val="20"/>
        </w:rPr>
        <w:t>The empirical findings provide crucial insights into automated SFRA interpretation. First, removing artificial monotonic clipping on Normal curves resolves the circularity drawback that inflated prior synthetic benchmarks to 99.2%. In real transformers, healthy frequency sweeps exhibit natural resonance ripples, core saturation effects below 2 kHz, and cable lead resonances above 500 kHz. By training on realistic physical variations, our 81.03% accuracy represents a genuine learning of coupled disk electrodynamics rather than an overfitted memorization of generator artifacts.</w:t>
        <w:br/>
        <w:br/>
        <w:t>Second, our ablation study provides a cautionary lesson for engineering hybrid ML systems. Domain experts often introduce deterministic rule-based shape overrides to enforce 'common sense' constraints. However, our results demonstrate that heuristic rules degraded accuracy by -18.37%, as manual thresholds fail to account for multi-variable interactions in high-dimensional parameter spaces. In contrast, deep 1D-CNN representations learn smooth, optimal decision boundaries directly from data.</w:t>
        <w:br/>
        <w:br/>
        <w:t>Third, multi-user software architecture enhancements ensure production readiness. Previous releases shared a global SQLite database across all users without isolation. By adding foreign-key user_id indexing, JWT token authentication, and filtered RESTful query endpoints, IntelliFRA guarantees multi-tenant isolation essential for enterprise substation fleet asset management.</w:t>
      </w:r>
    </w:p>
    <w:p w:rsidR="008B3A5F" w:rsidRPr="009D24DC" w:rsidRDefault="008B3A5F" w:rsidP="00703F2A">
      <w:pPr>
        <w:pStyle w:val="ListParagraph"/>
        <w:numPr>
          <w:ilvl w:val="0"/>
          <w:numId w:val="1"/>
        </w:numPr>
        <w:pBdr>
          <w:top w:val="nil"/>
          <w:left w:val="nil"/>
          <w:bottom w:val="nil"/>
          <w:right w:val="nil"/>
          <w:between w:val="nil"/>
        </w:pBdr>
        <w:spacing w:line="240" w:lineRule="auto"/>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This research developed and validated IntelliFRA, an open-source, scientifically grounded deep learning platform for automated power transformer Sweep Frequency Response Analysis (SFRA). By replacing circular synthetic generators with an unconstrained physics-inspired ladder winding model, we established realistic diagnostic benchmarks across six physical fault archetypes. Through 5-fold stratified cross-validation on 12,000 curves, our proposed 1D-CNN achieved 81.03% ± 1.60% accuracy, outperforming Random Forest (72.57%), SVM (66.12%), and MLP (64.95%). An empirical ablation study confirmed that learned convolutional representations outperform manual heuristic rules by 18.37%. Furthermore, out-of-distribution evaluation confirmed 56.88% robustness under ±15% frequency drift, and physical validation on 21 real industrial BHEL transformer sweeps verified healthy baseline alignment (CC = 0.9847). With sub-millisecond CPU inference latency (0.247 ms), IntelliFRA provides a reliable, reproducible, and deployable framework for real-time substation condition monitoring and grid asset management.</w:t>
      </w:r>
    </w:p>
    <w:p w:rsidR="00A62D38" w:rsidRDefault="00A62D38" w:rsidP="00703F2A">
      <w:pPr>
        <w:pBdr>
          <w:top w:val="nil"/>
          <w:left w:val="nil"/>
          <w:bottom w:val="nil"/>
          <w:right w:val="nil"/>
          <w:between w:val="nil"/>
        </w:pBdr>
        <w:spacing w:line="240" w:lineRule="auto"/>
        <w:jc w:val="both"/>
        <w:rPr>
          <w:b/>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Supplementary Materials</w:t>
      </w:r>
    </w:p>
    <w:p w:rsidR="00A62D38" w:rsidRPr="00A62D38" w:rsidRDefault="00A62D38" w:rsidP="00AC3118">
      <w:pPr>
        <w:pBdr>
          <w:top w:val="nil"/>
          <w:left w:val="nil"/>
          <w:bottom w:val="nil"/>
          <w:right w:val="nil"/>
          <w:between w:val="nil"/>
        </w:pBdr>
        <w:spacing w:line="240" w:lineRule="auto"/>
        <w:ind w:firstLine="426"/>
        <w:jc w:val="both"/>
        <w:rPr>
          <w:rFonts w:ascii="Palatino Linotype" w:hAnsi="Palatino Linotype" w:cs="Times New Roman"/>
          <w:sz w:val="20"/>
          <w:szCs w:val="20"/>
        </w:rPr>
      </w:pPr>
      <w:r>
        <w:rPr>
          <w:rFonts w:ascii="Palatino Linotype" w:hAnsi="Palatino Linotype"/>
          <w:sz w:val="20"/>
        </w:rPr>
        <w:t>The physics-inspired ladder synthesis engine, 5-fold cross-validation training scripts, trained PyTorch model weights, BHEL industrial evaluation scripts, and ControlVisionQA-10K generator are openly accessible on GitHub at: https://github.com/harinip1509/IntelliFRA.</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D7C6A" w:rsidRPr="009D24DC"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Acknowledgment</w:t>
      </w:r>
    </w:p>
    <w:p w:rsidR="00AD7C6A"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express sincere gratitude to Dr. Vidya Chitre, Head of the Department of Information Technology, Vidyalankar Institute of Technology, Mumbai, for providing the necessary academic infrastructure and computational resources.</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Funding</w:t>
      </w:r>
    </w:p>
    <w:p w:rsidR="00A62D38" w:rsidRPr="00A62D38" w:rsidRDefault="00AC3118" w:rsidP="00DA6643">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This research received no external funding.</w:t>
      </w:r>
    </w:p>
    <w:p w:rsidR="00412B3F" w:rsidRDefault="00412B3F" w:rsidP="00412B3F">
      <w:pPr>
        <w:pBdr>
          <w:top w:val="nil"/>
          <w:left w:val="nil"/>
          <w:bottom w:val="nil"/>
          <w:right w:val="nil"/>
          <w:between w:val="nil"/>
        </w:pBdr>
        <w:spacing w:before="240" w:line="240" w:lineRule="auto"/>
        <w:jc w:val="both"/>
        <w:rPr>
          <w:rFonts w:ascii="Palatino Linotype" w:hAnsi="Palatino Linotype"/>
          <w:b/>
          <w:sz w:val="20"/>
          <w:szCs w:val="20"/>
        </w:rPr>
      </w:pPr>
    </w:p>
    <w:p w:rsidR="00412B3F" w:rsidRDefault="00412B3F" w:rsidP="00412B3F">
      <w:pPr>
        <w:pBdr>
          <w:top w:val="nil"/>
          <w:left w:val="nil"/>
          <w:bottom w:val="nil"/>
          <w:right w:val="nil"/>
          <w:between w:val="nil"/>
        </w:pBdr>
        <w:spacing w:before="240" w:line="240" w:lineRule="auto"/>
        <w:jc w:val="both"/>
        <w:rPr>
          <w:rFonts w:ascii="Palatino Linotype" w:hAnsi="Palatino Linotype"/>
          <w:sz w:val="20"/>
          <w:szCs w:val="20"/>
        </w:rPr>
      </w:pPr>
      <w:r>
        <w:rPr>
          <w:rFonts w:ascii="Palatino Linotype" w:hAnsi="Palatino Linotype"/>
          <w:b/>
          <w:sz w:val="20"/>
        </w:rPr>
        <w:t>Data Availability Statement</w:t>
      </w:r>
    </w:p>
    <w:p w:rsidR="00A62D38" w:rsidRPr="00412B3F" w:rsidRDefault="00412B3F" w:rsidP="00AC3118">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The datasets generated and analyzed during the current study are openly available in the GitHub repository at: https://github.com/harinip1509/IntelliFRA.</w:t>
      </w:r>
    </w:p>
    <w:p w:rsidR="00412B3F" w:rsidRDefault="00412B3F"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9D24DC" w:rsidRDefault="009D24DC"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Conflict of Interest</w:t>
      </w:r>
    </w:p>
    <w:p w:rsidR="009D24DC" w:rsidRDefault="009D24DC"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declare that they have no known competing financial interests or personal relationships that could have appeared to influence the work reported in this paper.</w:t>
      </w:r>
    </w:p>
    <w:p w:rsidR="00A50725" w:rsidRPr="00A50725" w:rsidRDefault="00A50725" w:rsidP="00A50725">
      <w:pPr>
        <w:pStyle w:val="MDPI62backmatter"/>
        <w:ind w:left="0"/>
        <w:rPr>
          <w:b/>
        </w:rPr>
      </w:pPr>
      <w:r>
        <w:rPr>
          <w:rFonts w:ascii="Palatino Linotype" w:hAnsi="Palatino Linotype"/>
          <w:b/>
          <w:sz w:val="20"/>
        </w:rPr>
        <w:t>CRediT authorship contribution statement</w:t>
      </w:r>
    </w:p>
    <w:p w:rsidR="0004785D" w:rsidRPr="0004785D" w:rsidRDefault="0004785D" w:rsidP="00AC3118">
      <w:pPr>
        <w:pStyle w:val="MDPI62backmatter"/>
        <w:ind w:left="0" w:firstLine="426"/>
        <w:jc w:val="both"/>
        <w:rPr>
          <w:sz w:val="20"/>
        </w:rPr>
      </w:pPr>
      <w:r>
        <w:rPr>
          <w:rFonts w:ascii="Palatino Linotype" w:hAnsi="Palatino Linotype"/>
          <w:sz w:val="20"/>
        </w:rPr>
        <w:t>Conceptualization, H.P. and Y.G.; methodology, H.P., Y.G. and P.B.; software, H.P. and Y.G.; validation, P.B., N.V. and B.T.; formal analysis, H.P. and N.V.; investigation, P.B.; data curation, H.P. and Y.G.; writing—original draft preparation, H.P.; writing—review and editing, B.T., N.V. and P.B.; supervision, B.T.; project administration, H.P. All authors have read and agreed to the published version of the manuscript.</w:t>
      </w:r>
    </w:p>
    <w:p w:rsidR="00B3239D" w:rsidRPr="00B3239D" w:rsidRDefault="00B3239D" w:rsidP="00C0602E">
      <w:pPr>
        <w:pBdr>
          <w:top w:val="nil"/>
          <w:left w:val="nil"/>
          <w:bottom w:val="nil"/>
          <w:right w:val="nil"/>
          <w:between w:val="nil"/>
        </w:pBdr>
        <w:spacing w:after="0" w:line="240" w:lineRule="auto"/>
        <w:jc w:val="both"/>
        <w:rPr>
          <w:rFonts w:ascii="Palatino Linotype" w:hAnsi="Palatino Linotype" w:cs="Times New Roman"/>
          <w:b/>
          <w:sz w:val="20"/>
          <w:szCs w:val="20"/>
        </w:rPr>
      </w:pPr>
    </w:p>
    <w:p w:rsidR="00AD7C6A"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References</w:t>
      </w:r>
    </w:p>
    <w:p>
      <w:pPr>
        <w:spacing w:before="20" w:after="40" w:line="240" w:lineRule="auto"/>
        <w:jc w:val="both"/>
      </w:pPr>
      <w:r>
        <w:rPr>
          <w:rFonts w:ascii="Palatino Linotype" w:hAnsi="Palatino Linotype"/>
          <w:sz w:val="17"/>
        </w:rPr>
        <w:t>[1] S. A. Ryder, “Diagnosing transformer faults using frequency response analysis,” IEEE Electrical Insulation Magazine, vol. 19, no. 2, pp. 16-22, 2003. https://doi.org/10.1109/MEI.2003.1192032</w:t>
      </w:r>
    </w:p>
    <w:p>
      <w:pPr>
        <w:spacing w:before="20" w:after="40" w:line="240" w:lineRule="auto"/>
        <w:jc w:val="both"/>
      </w:pPr>
      <w:r>
        <w:rPr>
          <w:rFonts w:ascii="Palatino Linotype" w:hAnsi="Palatino Linotype"/>
          <w:sz w:val="17"/>
        </w:rPr>
        <w:t>[2] Y. Yang et al., “A review of transformer FRA measurement and diagnosis techniques,” Transformer Magazine, vol. 10, no. 2, pp. 96-109, 2023.</w:t>
      </w:r>
    </w:p>
    <w:p>
      <w:pPr>
        <w:spacing w:before="20" w:after="40" w:line="240" w:lineRule="auto"/>
        <w:jc w:val="both"/>
      </w:pPr>
      <w:r>
        <w:rPr>
          <w:rFonts w:ascii="Palatino Linotype" w:hAnsi="Palatino Linotype"/>
          <w:sz w:val="17"/>
        </w:rPr>
        <w:t>[3] J. R. Secue and E. Mombello, “Sweep frequency response analysis (SFRA) for the assessment of winding displacements and deformation in power transformers,” Electric Power Systems Research, vol. 78, no. 6, pp. 1119-1128, 2008. https://doi.org/10.1016/j.epsr.2007.08.005</w:t>
      </w:r>
    </w:p>
    <w:p>
      <w:pPr>
        <w:spacing w:before="20" w:after="40" w:line="240" w:lineRule="auto"/>
        <w:jc w:val="both"/>
      </w:pPr>
      <w:r>
        <w:rPr>
          <w:rFonts w:ascii="Palatino Linotype" w:hAnsi="Palatino Linotype"/>
          <w:sz w:val="17"/>
        </w:rPr>
        <w:t>[4] K. Ludwikowski, K. Siodla, and W. Ziomek, “Investigation of transformer model winding deformation using sweep frequency response analysis,” IEEE Transactions on Dielectrics and Electrical Insulation, vol. 19, no. 6, pp. 1957-1961, 2012. https://doi.org/10.1109/TDEI.2012.6396953</w:t>
      </w:r>
    </w:p>
    <w:p>
      <w:pPr>
        <w:spacing w:before="20" w:after="40" w:line="240" w:lineRule="auto"/>
        <w:jc w:val="both"/>
      </w:pPr>
      <w:r>
        <w:rPr>
          <w:rFonts w:ascii="Palatino Linotype" w:hAnsi="Palatino Linotype"/>
          <w:sz w:val="17"/>
        </w:rPr>
        <w:t>[5] IEEE Std C57.149-2012, “IEEE Guide for the Application and Interpretation of Frequency Response Analysis for Oil-Immersed Transformers,” IEEE Power and Energy Society, pp. 1-72, Mar. 2013. https://doi.org/10.1109/IEEESTD.2013.6475950</w:t>
      </w:r>
    </w:p>
    <w:p>
      <w:pPr>
        <w:spacing w:before="20" w:after="40" w:line="240" w:lineRule="auto"/>
        <w:jc w:val="both"/>
      </w:pPr>
      <w:r>
        <w:rPr>
          <w:rFonts w:ascii="Palatino Linotype" w:hAnsi="Palatino Linotype"/>
          <w:sz w:val="17"/>
        </w:rPr>
        <w:t>[6] IEC 60076-18:2012, “Power Transformers - Part 18: Measurement of Frequency Response,” International Electrotechnical Commission, Geneva, Switzerland, 2012.</w:t>
      </w:r>
    </w:p>
    <w:p>
      <w:pPr>
        <w:spacing w:before="20" w:after="40" w:line="240" w:lineRule="auto"/>
        <w:jc w:val="both"/>
      </w:pPr>
      <w:r>
        <w:rPr>
          <w:rFonts w:ascii="Palatino Linotype" w:hAnsi="Palatino Linotype"/>
          <w:sz w:val="17"/>
        </w:rPr>
        <w:t>[7] M. H. Samimi and S. Tenbohlen, “FRA interpretation using numerical indices: State-of-the-art,” International Journal of Electrical Power &amp; Energy Systems, vol. 89, pp. 115-125, 2017. https://doi.org/10.1016/j.ijepes.2017.01.014</w:t>
      </w:r>
    </w:p>
    <w:p>
      <w:pPr>
        <w:spacing w:before="20" w:after="40" w:line="240" w:lineRule="auto"/>
        <w:jc w:val="both"/>
      </w:pPr>
      <w:r>
        <w:rPr>
          <w:rFonts w:ascii="Palatino Linotype" w:hAnsi="Palatino Linotype"/>
          <w:sz w:val="17"/>
        </w:rPr>
        <w:t>[8] P. Picher, S. Tenbohlen, M. Lachman, A. Scardazzi, and P. Patel, “Current state of transformer FRA interpretation,” Procedia Engineering, vol. 202, pp. 3-12, 2017. https://doi.org/10.1016/j.proeng.2017.09.689</w:t>
      </w:r>
    </w:p>
    <w:p>
      <w:pPr>
        <w:spacing w:before="20" w:after="40" w:line="240" w:lineRule="auto"/>
        <w:jc w:val="both"/>
      </w:pPr>
      <w:r>
        <w:rPr>
          <w:rFonts w:ascii="Palatino Linotype" w:hAnsi="Palatino Linotype"/>
          <w:sz w:val="17"/>
        </w:rPr>
        <w:t>[9] R. Khalilisenobari and J. Sadeh, “A novel numerical index for assessing results of frequency response analysis (FRA): An experimental study on electrical machines,” IEEE Transactions on Power Delivery, vol. 36, no. 4, pp. 2100-2108, 2021.</w:t>
      </w:r>
    </w:p>
    <w:p>
      <w:pPr>
        <w:spacing w:before="20" w:after="40" w:line="240" w:lineRule="auto"/>
        <w:jc w:val="both"/>
      </w:pPr>
      <w:r>
        <w:rPr>
          <w:rFonts w:ascii="Palatino Linotype" w:hAnsi="Palatino Linotype"/>
          <w:sz w:val="17"/>
        </w:rPr>
        <w:t>[10] K. Pourhossein, G. B. Gharehpetian, E. Rahimpour, and B. N. Araabi, “A probabilistic feature to determine type and extent of winding mechanical defects in power transformers,” Electric Power Systems Research, vol. 82, no. 1, pp. 1-10, 2012. https://doi.org/10.1016/j.epsr.2011.08.010</w:t>
      </w:r>
    </w:p>
    <w:p>
      <w:pPr>
        <w:spacing w:before="20" w:after="40" w:line="240" w:lineRule="auto"/>
        <w:jc w:val="both"/>
      </w:pPr>
      <w:r>
        <w:rPr>
          <w:rFonts w:ascii="Palatino Linotype" w:hAnsi="Palatino Linotype"/>
          <w:sz w:val="17"/>
        </w:rPr>
        <w:t>[11] A. Shintemirov, W. H. Tang, and Q. H. Wu, “Transformer winding condition assessment using frequency response analysis and evidential reasoning,” IET Electric Power Applications, vol. 4, no. 3, pp. 198-212, 2010. https://doi.org/10.1049/iet-epa.2009.0125</w:t>
      </w:r>
    </w:p>
    <w:p>
      <w:pPr>
        <w:spacing w:before="20" w:after="40" w:line="240" w:lineRule="auto"/>
        <w:jc w:val="both"/>
      </w:pPr>
      <w:r>
        <w:rPr>
          <w:rFonts w:ascii="Palatino Linotype" w:hAnsi="Palatino Linotype"/>
          <w:sz w:val="17"/>
        </w:rPr>
        <w:t>[12] C. Parkash and A. R. Abbasi, “Transformer’s frequency response analysis results interpretation using a novel cross entropy based methodology,” Scientific Reports, vol. 13, art. no. 5120, 2023. https://doi.org/10.1038/s41598-023-33606-0</w:t>
      </w:r>
    </w:p>
    <w:p>
      <w:pPr>
        <w:spacing w:before="20" w:after="40" w:line="240" w:lineRule="auto"/>
        <w:jc w:val="both"/>
      </w:pPr>
      <w:r>
        <w:rPr>
          <w:rFonts w:ascii="Palatino Linotype" w:hAnsi="Palatino Linotype"/>
          <w:sz w:val="17"/>
        </w:rPr>
        <w:t>[13] M. Bigdeli, M. Vakilian, and E. Rahimpour, “Transformer winding faults classification based on transfer function analysis by support vector machine,” IET Electric Power Applications, vol. 6, no. 5, pp. 268-276, 2012. https://doi.org/10.1049/iet-epa.2011.0232</w:t>
      </w:r>
    </w:p>
    <w:p>
      <w:pPr>
        <w:spacing w:before="20" w:after="40" w:line="240" w:lineRule="auto"/>
        <w:jc w:val="both"/>
      </w:pPr>
      <w:r>
        <w:rPr>
          <w:rFonts w:ascii="Palatino Linotype" w:hAnsi="Palatino Linotype"/>
          <w:sz w:val="17"/>
        </w:rPr>
        <w:t>[14] Z. Zhao, C. Tang, Q. Zhou, L. Xu, Y. Gui, and C. Yao, “Identification of power transformer winding mechanical fault types based on online IFRA by support vector machine,” Energies, vol. 10, no. 12, art. no. 2022, 2017. https://doi.org/10.3390/en10122022</w:t>
      </w:r>
    </w:p>
    <w:p>
      <w:pPr>
        <w:spacing w:before="20" w:after="40" w:line="240" w:lineRule="auto"/>
        <w:jc w:val="both"/>
      </w:pPr>
      <w:r>
        <w:rPr>
          <w:rFonts w:ascii="Palatino Linotype" w:hAnsi="Palatino Linotype"/>
          <w:sz w:val="17"/>
        </w:rPr>
        <w:t>[15] M. Tahir and S. Tenbohlen, “Transformer winding condition assessment using feedforward artificial neural network and frequency response measurements,” Energies, vol. 14, no. 11, art. no. 3227, 2021. https://doi.org/10.3390/en14113227</w:t>
      </w:r>
    </w:p>
    <w:p>
      <w:pPr>
        <w:spacing w:before="20" w:after="40" w:line="240" w:lineRule="auto"/>
        <w:jc w:val="both"/>
      </w:pPr>
      <w:r>
        <w:rPr>
          <w:rFonts w:ascii="Palatino Linotype" w:hAnsi="Palatino Linotype"/>
          <w:sz w:val="17"/>
        </w:rPr>
        <w:t>[16] M. Tahir and S. Tenbohlen, “Transformer winding fault classification and condition assessment based on random forest using FRA,” Energies, vol. 16, no. 9, art. no. 3714, 2023. https://doi.org/10.3390/en16093714</w:t>
      </w:r>
    </w:p>
    <w:p>
      <w:pPr>
        <w:spacing w:before="20" w:after="40" w:line="240" w:lineRule="auto"/>
        <w:jc w:val="both"/>
      </w:pPr>
      <w:r>
        <w:rPr>
          <w:rFonts w:ascii="Palatino Linotype" w:hAnsi="Palatino Linotype"/>
          <w:sz w:val="17"/>
        </w:rPr>
        <w:t>[17] Z. Zhao, C. Yao, C. Tang, C. Li, F. Yan, and S. Islam, “Diagnosing transformer winding deformation faults based on the analysis of binary image obtained from FRA signature,” IEEE Access, vol. 7, pp. 40463-40474, 2019. https://doi.org/10.1109/ACCESS.2019.2907648</w:t>
      </w:r>
    </w:p>
    <w:p>
      <w:pPr>
        <w:spacing w:before="20" w:after="40" w:line="240" w:lineRule="auto"/>
        <w:jc w:val="both"/>
      </w:pPr>
      <w:r>
        <w:rPr>
          <w:rFonts w:ascii="Palatino Linotype" w:hAnsi="Palatino Linotype"/>
          <w:sz w:val="17"/>
        </w:rPr>
        <w:t>[18] L. Zhou, J. Jiang, X. Zhou, Z. Wu, T. Lin, and D. Wang, “Detection of transformer winding faults using FRA and image features,” IET Electric Power Applications, vol. 14, no. 6, pp. 972-980, 2020. https://doi.org/10.1049/iet-epa.2019.0933</w:t>
      </w:r>
    </w:p>
    <w:p>
      <w:pPr>
        <w:spacing w:before="20" w:after="40" w:line="240" w:lineRule="auto"/>
        <w:jc w:val="both"/>
      </w:pPr>
      <w:r>
        <w:rPr>
          <w:rFonts w:ascii="Palatino Linotype" w:hAnsi="Palatino Linotype"/>
          <w:sz w:val="17"/>
        </w:rPr>
        <w:t>[19] A. Moradzadeh, H. Moayyed, B. Mohammadi-Ivatloo, G. B. Gharehpetian, and A. P. Aguiar, “Turn-to-turn short circuit fault localization in transformer winding via image processing and deep learning method,” IEEE Transactions on Industrial Informatics, vol. 18, no. 7, pp. 4417-4426, 2022. https://doi.org/10.1109/TII.2021.3105932</w:t>
      </w:r>
    </w:p>
    <w:p>
      <w:pPr>
        <w:spacing w:before="20" w:after="40" w:line="240" w:lineRule="auto"/>
        <w:jc w:val="both"/>
      </w:pPr>
      <w:r>
        <w:rPr>
          <w:rFonts w:ascii="Palatino Linotype" w:hAnsi="Palatino Linotype"/>
          <w:sz w:val="17"/>
        </w:rPr>
        <w:t>[20] G. Wang, “FRA-DiagSys: A transformer winding fault diagnosis system for identifying fault types and degrees using frequency response analysis,” arXiv:2406.19623, 2024.</w:t>
      </w:r>
    </w:p>
    <w:p>
      <w:pPr>
        <w:spacing w:before="20" w:after="40" w:line="240" w:lineRule="auto"/>
        <w:jc w:val="both"/>
      </w:pPr>
      <w:r>
        <w:rPr>
          <w:rFonts w:ascii="Palatino Linotype" w:hAnsi="Palatino Linotype"/>
          <w:sz w:val="17"/>
        </w:rPr>
        <w:t>[21] M. Phillip, A. Singh, and C. J. Ramlal, “Narrow band frequency response analysis of power transformers with deep learning,” Energies, vol. 16, no. 17, art. no. 6347, 2023.</w:t>
      </w:r>
    </w:p>
    <w:p>
      <w:pPr>
        <w:spacing w:before="20" w:after="40" w:line="240" w:lineRule="auto"/>
        <w:jc w:val="both"/>
      </w:pPr>
      <w:r>
        <w:rPr>
          <w:rFonts w:ascii="Palatino Linotype" w:hAnsi="Palatino Linotype"/>
          <w:sz w:val="17"/>
        </w:rPr>
        <w:t>[22] J. Duan, Y. He, and X. Wu, “Serial transfer learning (STL) theory for processing data insufficiency: Fault diagnosis of transformer windings,” International Journal of Electrical Power &amp; Energy Systems, vol. 130, art. no. 106965, 2021. https://doi.org/10.1016/j.ijepes.2021.106965</w:t>
      </w:r>
    </w:p>
    <w:p>
      <w:pPr>
        <w:spacing w:before="20" w:after="40" w:line="240" w:lineRule="auto"/>
        <w:jc w:val="both"/>
      </w:pPr>
      <w:r>
        <w:rPr>
          <w:rFonts w:ascii="Palatino Linotype" w:hAnsi="Palatino Linotype"/>
          <w:sz w:val="17"/>
        </w:rPr>
        <w:t>[23] S. Kiranyaz, O. Avci, O. Abdeljaber, T. Ince, M. Gabbouj, and D. J. Inman, “1D convolutional neural networks and applications: A survey,” Mechanical Systems and Signal Processing, vol. 151, art. no. 107398, 2021.</w:t>
      </w:r>
    </w:p>
    <w:p>
      <w:pPr>
        <w:spacing w:before="20" w:after="40" w:line="240" w:lineRule="auto"/>
        <w:jc w:val="both"/>
      </w:pPr>
      <w:r>
        <w:rPr>
          <w:rFonts w:ascii="Palatino Linotype" w:hAnsi="Palatino Linotype"/>
          <w:sz w:val="17"/>
        </w:rPr>
        <w:t>[24] G. E. Hinton and R. R. Salakhutdinov, “Reducing the dimensionality of data with neural networks,” Science, vol. 313, no. 5786, pp. 504-507, 2006.</w:t>
      </w:r>
    </w:p>
    <w:p>
      <w:pPr>
        <w:spacing w:before="20" w:after="40" w:line="240" w:lineRule="auto"/>
        <w:jc w:val="both"/>
      </w:pPr>
      <w:r>
        <w:rPr>
          <w:rFonts w:ascii="Palatino Linotype" w:hAnsi="Palatino Linotype"/>
          <w:sz w:val="17"/>
        </w:rPr>
        <w:t>[25] M. Sakurada and T. Yairi, “Anomaly detection using autoencoders with nonlinear dimensionality reduction,” in Proc. MLSDA Workshop Mach. Learn. Sensory Data Anal., 2014, pp. 4-11.</w:t>
      </w:r>
    </w:p>
    <w:p>
      <w:pPr>
        <w:spacing w:before="20" w:after="40" w:line="240" w:lineRule="auto"/>
        <w:jc w:val="both"/>
      </w:pPr>
      <w:r>
        <w:rPr>
          <w:rFonts w:ascii="Palatino Linotype" w:hAnsi="Palatino Linotype"/>
          <w:sz w:val="17"/>
        </w:rPr>
        <w:t>[26] V. Chandola, A. Banerjee, and V. Kumar, “Anomaly detection: A survey,” ACM Computing Surveys, vol. 41, no. 3, art. no. 15, 2009.</w:t>
      </w:r>
    </w:p>
    <w:p>
      <w:pPr>
        <w:spacing w:before="20" w:after="40" w:line="240" w:lineRule="auto"/>
        <w:jc w:val="both"/>
      </w:pPr>
      <w:r>
        <w:rPr>
          <w:rFonts w:ascii="Palatino Linotype" w:hAnsi="Palatino Linotype"/>
          <w:sz w:val="17"/>
        </w:rPr>
        <w:t>[27] J. Tobin et al., “Domain randomization for transferring deep neural networks from simulation to the real world,” in Proc. IEEE/RSJ Int. Conf. Intelligent Robots and Systems (IROS), 2017, pp. 23-30.</w:t>
      </w:r>
    </w:p>
    <w:p>
      <w:pPr>
        <w:spacing w:before="20" w:after="40" w:line="240" w:lineRule="auto"/>
        <w:jc w:val="both"/>
      </w:pPr>
      <w:r>
        <w:rPr>
          <w:rFonts w:ascii="Palatino Linotype" w:hAnsi="Palatino Linotype"/>
          <w:sz w:val="17"/>
        </w:rPr>
        <w:t>[28] R. T. Fielding, “Architectural styles and the design of network-based software architectures,” Ph.D. dissertation, Dept. Inf. Comput. Sci., Univ. California, Irvine, CA, USA, 2000.</w:t>
      </w:r>
    </w:p>
    <w:p>
      <w:pPr>
        <w:spacing w:before="20" w:after="40" w:line="240" w:lineRule="auto"/>
        <w:jc w:val="both"/>
      </w:pPr>
      <w:r>
        <w:rPr>
          <w:rFonts w:ascii="Palatino Linotype" w:hAnsi="Palatino Linotype"/>
          <w:sz w:val="17"/>
        </w:rPr>
        <w:t>[29] M. Jones, J. Bradley, and N. Sakimura, “JSON Web Token (JWT),” Internet Engineering Task Force, RFC 7519, May 2015.</w:t>
      </w:r>
    </w:p>
    <w:p>
      <w:pPr>
        <w:spacing w:before="20" w:after="40" w:line="240" w:lineRule="auto"/>
        <w:jc w:val="both"/>
      </w:pPr>
      <w:r>
        <w:rPr>
          <w:rFonts w:ascii="Palatino Linotype" w:hAnsi="Palatino Linotype"/>
          <w:sz w:val="17"/>
        </w:rPr>
        <w:t>[30] N. Srivastava, G. Hinton, A. Krizhevsky, I. Sutskever, and R. Salakhutdinov, “Dropout: A simple way to prevent neural networks from overfitting,” Journal of Machine Learning Research, vol. 15, no. 56, pp. 1929-1958, 2014.</w:t>
      </w:r>
    </w:p>
    <w:p>
      <w:pPr>
        <w:spacing w:before="20" w:after="40" w:line="240" w:lineRule="auto"/>
        <w:jc w:val="both"/>
      </w:pPr>
      <w:r>
        <w:rPr>
          <w:rFonts w:ascii="Palatino Linotype" w:hAnsi="Palatino Linotype"/>
          <w:sz w:val="17"/>
        </w:rPr>
        <w:t>[31] A. Paszke et al., “PyTorch: An imperative style, high-performance deep learning library,” in Advances in Neural Information Processing Systems (NeurIPS), vol. 32, 2019.</w:t>
      </w:r>
    </w:p>
    <w:p>
      <w:pPr>
        <w:spacing w:before="20" w:after="40" w:line="240" w:lineRule="auto"/>
        <w:jc w:val="both"/>
      </w:pPr>
      <w:r>
        <w:rPr>
          <w:rFonts w:ascii="Palatino Linotype" w:hAnsi="Palatino Linotype"/>
          <w:sz w:val="17"/>
        </w:rPr>
        <w:t>[32] D. P. Kingma and J. Ba, “Adam: A method for stochastic optimization,” in Proc. Int. Conf. Learning Representations (ICLR), 2015.</w:t>
      </w:r>
    </w:p>
    <w:p>
      <w:pPr>
        <w:spacing w:before="20" w:after="40" w:line="240" w:lineRule="auto"/>
        <w:jc w:val="both"/>
      </w:pPr>
      <w:r>
        <w:rPr>
          <w:rFonts w:ascii="Palatino Linotype" w:hAnsi="Palatino Linotype"/>
          <w:sz w:val="17"/>
        </w:rPr>
        <w:t>[33] F. Pedregosa et al., “Scikit-learn: Machine learning in Python,” Journal of Machine Learning Research, vol. 12, pp. 2825-2830, 2011.</w:t>
      </w:r>
    </w:p>
    <w:p>
      <w:pPr>
        <w:spacing w:before="20" w:after="40" w:line="240" w:lineRule="auto"/>
        <w:jc w:val="both"/>
      </w:pPr>
      <w:r>
        <w:rPr>
          <w:rFonts w:ascii="Palatino Linotype" w:hAnsi="Palatino Linotype"/>
          <w:sz w:val="17"/>
        </w:rPr>
        <w:t>[34] C. R. Reddy, J. H. Choi, and B. Pangedaiah, “Absolute positive sequence voltage difference based passive islanding detection in micro grids,” IEEE Transactions on Industry Applications, vol. 60, no. 3, pp. 4633-4641, 2024. https://doi.org/10.1109/TIA.2024.3360372</w:t>
      </w:r>
    </w:p>
    <w:p>
      <w:pPr>
        <w:spacing w:before="20" w:after="40" w:line="240" w:lineRule="auto"/>
        <w:jc w:val="both"/>
      </w:pPr>
      <w:r>
        <w:rPr>
          <w:rFonts w:ascii="Palatino Linotype" w:hAnsi="Palatino Linotype"/>
          <w:sz w:val="17"/>
        </w:rPr>
        <w:t>[35] A. K. Vali, P. S. Varma, and C. R. Reddy, “Pelican-FOPID based DSTATCOM for power quality enhancement,” Sustainable Computing: Informatics and Systems, vol. 42, art. no. 100978, 2024. https://doi.org/10.1016/j.suscom.2024.100978</w:t>
      </w:r>
    </w:p>
    <w:p w:rsidR="009E0D69" w:rsidRPr="009E0D69" w:rsidRDefault="009E0D69" w:rsidP="00703F2A">
      <w:pPr>
        <w:pStyle w:val="ListParagraph"/>
        <w:numPr>
          <w:ilvl w:val="0"/>
          <w:numId w:val="2"/>
        </w:numPr>
        <w:pBdr>
          <w:top w:val="nil"/>
          <w:left w:val="nil"/>
          <w:bottom w:val="nil"/>
          <w:right w:val="nil"/>
          <w:between w:val="nil"/>
        </w:pBdr>
        <w:tabs>
          <w:tab w:val="left" w:pos="360"/>
        </w:tabs>
        <w:spacing w:line="240" w:lineRule="auto"/>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sidRPr="0096233C">
      <w:rPr>
        <w:rFonts w:ascii="Palatino Linotype" w:hAnsi="Palatino Linotype" w:cs="Arial"/>
        <w:sz w:val="20"/>
        <w:szCs w:val="20"/>
      </w:rPr>
      <w:t xml:space="preserve">Harini Panigrahi et.al., </w:t>
    </w:r>
    <w:proofErr w:type="gramStart"/>
    <w:r w:rsidRPr="0096233C">
      <w:rPr>
        <w:rFonts w:ascii="Palatino Linotype" w:hAnsi="Palatino Linotype" w:cs="Arial"/>
        <w:sz w:val="20"/>
        <w:szCs w:val="20"/>
      </w:rPr>
      <w:t>et.al.,</w:t>
    </w:r>
    <w:proofErr w:type="gramEnd"/>
    <w:r w:rsidRPr="0096233C">
      <w:rPr>
        <w:rFonts w:ascii="Palatino Linotype" w:hAnsi="Palatino Linotype" w:cs="Arial"/>
        <w:sz w:val="20"/>
        <w:szCs w:val="20"/>
      </w:rPr>
      <w:t xml:space="preserve">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8-9039-6219"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