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0487A" w:rsidRPr="007000AE" w:rsidRDefault="00FF1092" w:rsidP="0060487A">
      <w:pPr>
        <w:spacing w:before="0" w:line="240" w:lineRule="auto" w:after="80"/>
        <w:jc w:val="center"/>
        <w:rPr>
          <w:rFonts w:ascii="Times New Roman" w:hAnsi="Times New Roman" w:cs="Times New Roman"/>
          <w:b/>
          <w:sz w:val="48"/>
          <w:szCs w:val="48"/>
        </w:rPr>
      </w:pPr>
      <w:r/>
      <w:r>
        <w:rPr>
          <w:rFonts w:ascii="Times New Roman" w:hAnsi="Times New Roman"/>
          <w:b/>
          <w:color w:val="000000"/>
          <w:sz w:val="40"/>
        </w:rPr>
        <w:t>IntelliFRA: An AI-Based Platform for Automated Transformer Fault Detection Using Frequency Response Analysis</w:t>
      </w:r>
    </w:p>
    <w:p w:rsidR="0060487A" w:rsidRPr="0060487A" w:rsidRDefault="0060487A" w:rsidP="0060487A">
      <w:pPr>
        <w:spacing w:before="0" w:after="0" w:line="240" w:lineRule="auto"/>
        <w:jc w:val="center"/>
        <w:rPr>
          <w:rFonts w:ascii="Times New Roman" w:hAnsi="Times New Roman" w:cs="Times New Roman"/>
          <w:sz w:val="24"/>
          <w:szCs w:val="24"/>
        </w:rPr>
      </w:pPr>
    </w:p>
    <w:p w:rsidR="0060487A" w:rsidRPr="007000AE" w:rsidRDefault="003F2D59" w:rsidP="005A474D">
      <w:pPr>
        <w:spacing w:after="40" w:line="600" w:lineRule="auto" w:before="40"/>
        <w:jc w:val="center"/>
        <w:rPr>
          <w:rFonts w:ascii="Times New Roman" w:hAnsi="Times New Roman"/>
          <w:sz w:val="24"/>
          <w:szCs w:val="24"/>
          <w:lang w:val="en-GB"/>
        </w:rPr>
      </w:pPr>
      <w:r>
        <w:rPr>
          <w:rFonts w:ascii="Times New Roman" w:hAnsi="Times New Roman"/>
          <w:sz w:val="23"/>
          <w:szCs w:val="24"/>
          <w:lang w:val="en-GB"/>
        </w:rPr>
        <w:t>Harini Panigrahi</w:t>
      </w:r>
      <w:r w:rsidR="009D194E">
        <w:rPr>
          <w:rFonts w:ascii="Times New Roman" w:hAnsi="Times New Roman"/>
          <w:sz w:val="23"/>
          <w:szCs w:val="24"/>
          <w:lang w:val="en-GB"/>
        </w:rPr>
        <w:t>¹</w:t>
      </w:r>
      <w:r>
        <w:rPr>
          <w:rFonts w:ascii="Times New Roman" w:hAnsi="Times New Roman"/>
          <w:sz w:val="23"/>
          <w:szCs w:val="24"/>
          <w:lang w:val="en-GB"/>
        </w:rPr>
      </w:r>
      <w:r w:rsidR="000573BB">
        <w:rPr>
          <w:rFonts w:ascii="Times New Roman" w:hAnsi="Times New Roman"/>
          <w:sz w:val="23"/>
          <w:szCs w:val="24"/>
          <w:vertAlign w:val="superscript"/>
          <w:lang w:val="en-GB"/>
        </w:rPr>
      </w:r>
      <w:r w:rsidR="000573BB" w:rsidRPr="00B6748F">
        <w:rPr>
          <w:rFonts w:ascii="Times New Roman" w:hAnsi="Times New Roman"/>
          <w:noProof/>
          <w:sz w:val="23"/>
          <w:szCs w:val="24"/>
          <w:lang w:val="en-IN" w:eastAsia="en-IN"/>
        </w:rPr>
        <w:drawing>
          <wp:inline distT="0" distB="0" distL="0" distR="0" wp14:anchorId="0F27412E" wp14:editId="6FFC3D5A">
            <wp:extent cx="114300" cy="114300"/>
            <wp:effectExtent l="0" t="0" r="0" b="0"/>
            <wp:docPr id="1" name="Picture 1">
              <a:hlinkClick xmlns:a="http://schemas.openxmlformats.org/drawingml/2006/main" r:id="rId8"/>
            </wp:docPr>
            <wp:cNvGraphicFramePr/>
            <a:graphic xmlns:a="http://schemas.openxmlformats.org/drawingml/2006/main">
              <a:graphicData uri="http://schemas.openxmlformats.org/drawingml/2006/picture">
                <pic:pic xmlns:pic="http://schemas.openxmlformats.org/drawingml/2006/picture">
                  <pic:nvPicPr>
                    <pic:cNvPr id="38" name="Picture 38">
                      <a:hlinkClick r:id="rId9"/>
                    </pic:cNvPr>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r w:rsidR="0096233C">
        <w:rPr>
          <w:rFonts w:ascii="Times New Roman" w:hAnsi="Times New Roman"/>
          <w:sz w:val="23"/>
          <w:szCs w:val="24"/>
          <w:lang w:val="en-GB"/>
        </w:rPr>
        <w:t xml:space="preserve">, </w:t>
      </w:r>
      <w:r>
        <w:rPr>
          <w:rFonts w:ascii="Times New Roman" w:hAnsi="Times New Roman"/>
          <w:sz w:val="23"/>
          <w:szCs w:val="24"/>
          <w:lang w:val="en-GB"/>
        </w:rPr>
        <w:t>Neha Verma¹</w:t>
      </w:r>
      <w:r w:rsidR="004B20D4">
        <w:rPr>
          <w:rFonts w:ascii="Times New Roman" w:hAnsi="Times New Roman"/>
          <w:sz w:val="23"/>
          <w:szCs w:val="24"/>
          <w:lang w:val="en-GB"/>
        </w:rPr>
        <w:t xml:space="preserve">, </w:t>
      </w:r>
      <w:r w:rsidR="009D194E">
        <w:rPr>
          <w:rFonts w:ascii="Times New Roman" w:hAnsi="Times New Roman"/>
          <w:sz w:val="23"/>
          <w:szCs w:val="24"/>
          <w:lang w:val="en-GB"/>
        </w:rPr>
        <w:t>Prapti Bhayde¹</w:t>
      </w:r>
      <w:r>
        <w:rPr>
          <w:rFonts w:ascii="Times New Roman" w:hAnsi="Times New Roman"/>
          <w:sz w:val="23"/>
          <w:szCs w:val="24"/>
          <w:lang w:val="en-GB"/>
        </w:rPr>
        <w:t xml:space="preserve">, </w:t>
      </w:r>
      <w:r w:rsidR="000573BB">
        <w:rPr>
          <w:rFonts w:ascii="Times New Roman" w:hAnsi="Times New Roman"/>
          <w:sz w:val="23"/>
          <w:szCs w:val="24"/>
          <w:vertAlign w:val="superscript"/>
          <w:lang w:val="en-GB"/>
        </w:rPr>
        <w:t>Yooraj Gole¹</w:t>
      </w:r>
      <w:r w:rsidR="007000AE">
        <w:rPr>
          <w:rFonts w:ascii="Times New Roman" w:hAnsi="Times New Roman"/>
          <w:sz w:val="23"/>
          <w:szCs w:val="24"/>
          <w:lang w:val="en-GB"/>
        </w:rPr>
        <w:t xml:space="preserve">, </w:t>
      </w:r>
      <w:proofErr w:type="spellStart"/>
      <w:r w:rsidR="007000AE">
        <w:rPr>
          <w:rFonts w:ascii="Times New Roman" w:hAnsi="Times New Roman"/>
          <w:sz w:val="23"/>
          <w:szCs w:val="24"/>
          <w:lang w:val="en-GB"/>
        </w:rPr>
        <w:t>Bhanu Tekwani¹*</w:t>
      </w:r>
      <w:proofErr w:type="spellEnd"/>
      <w:r w:rsidR="007000AE">
        <w:rPr>
          <w:rFonts w:ascii="Times New Roman" w:hAnsi="Times New Roman"/>
          <w:sz w:val="23"/>
          <w:szCs w:val="24"/>
          <w:lang w:val="en-GB"/>
        </w:rPr>
      </w:r>
      <w:r w:rsidR="00FF1092">
        <w:rPr>
          <w:rFonts w:ascii="Times New Roman" w:hAnsi="Times New Roman"/>
          <w:sz w:val="23"/>
          <w:szCs w:val="24"/>
          <w:lang w:val="en-GB"/>
        </w:rPr>
      </w:r>
    </w:p>
    <w:tbl>
      <w:tblPr>
        <w:tblStyle w:val="TableGrid"/>
        <w:tblW w:w="0" w:type="auto"/>
        <w:tblLook w:val="04A0" w:firstRow="1" w:lastRow="0" w:firstColumn="1" w:lastColumn="0" w:noHBand="0" w:noVBand="1"/>
      </w:tblPr>
      <w:tblGrid>
        <w:gridCol w:w="10296"/>
      </w:tblGrid>
      <w:tr w:rsidR="007000AE" w:rsidTr="005A474D">
        <w:tc>
          <w:tcPr>
            <w:tcW w:w="10296" w:type="dxa"/>
            <w:shd w:val="clear" w:color="auto" w:fill="DAEEF3" w:themeFill="accent5" w:themeFillTint="33"/>
          </w:tcPr>
          <w:p w:rsidR="00FA2399" w:rsidRPr="00B313DF" w:rsidRDefault="00D85BDD" w:rsidP="00703F2A">
            <w:pPr>
              <w:spacing w:line="235" w:lineRule="auto" w:before="40" w:after="40"/>
              <w:jc w:val="both"/>
              <w:rPr>
                <w:rFonts w:ascii="Palatino Linotype" w:hAnsi="Palatino Linotype"/>
                <w:sz w:val="20"/>
                <w:szCs w:val="24"/>
                <w:lang w:val="en-GB"/>
              </w:rPr>
            </w:pPr>
            <w:r/>
            <w:r>
              <w:rPr>
                <w:rFonts w:ascii="Palatino Linotype" w:hAnsi="Palatino Linotype"/>
                <w:b/>
                <w:sz w:val="19"/>
              </w:rPr>
              <w:t xml:space="preserve">Abstract: </w:t>
            </w:r>
            <w:r>
              <w:rPr>
                <w:rFonts w:ascii="Palatino Linotype" w:hAnsi="Palatino Linotype"/>
                <w:sz w:val="19"/>
              </w:rPr>
              <w:t>Detecting internal mechanical movement inside high-voltage transformers before insulation breakdown occurs remains a central challenge for substation maintenance teams. Sweep Frequency Response Analysis (SFRA) captures winding and core geometry through transfer-function magnitudes, yet field engineers still rely heavily on manual trace overlays to judge fault severity. We present IntelliFRA, an open-source web platform that automates SFRA triage from raw magnitude files. Users upload CSV or TXT sweeps containing at least 50 points, which are standardized to 500 samples and passed through a four-stage diagnostic engine. A 140,644-parameter one-dimensional Convolutional Neural Network (1D-CNN) assigns traces to Normal, Minor Deviation, Moderate Fault, or High Fault Risk categories. In parallel, a 312,532-parameter dense Autoencoder fitted solely on healthy responses measures out-of-distribution departure via reconstruction error. Borderline classifications are checked against curve smoothness, monotonic decay, and peak count, with a Fast Fourier Transform (FFT) rule engine standing by if model weights are absent. Trained on 50,000 synthetic sweeps spanning six physical fault archetypes, the 1D-CNN reaches 94.41% validation accuracy (weighted F1 = 0.9443), and the Autoencoder flags 98.47% of Normal-vs-Fault cases with 100% fault recall.</w:t>
            </w:r>
          </w:p>
          <w:p>
            <w:pPr>
              <w:spacing w:line="235" w:lineRule="auto" w:before="40" w:after="40"/>
              <w:jc w:val="both"/>
            </w:pPr>
            <w:r>
              <w:rPr>
                <w:rFonts w:ascii="Palatino Linotype" w:hAnsi="Palatino Linotype"/>
                <w:b/>
                <w:sz w:val="19"/>
              </w:rPr>
              <w:t xml:space="preserve">Keywords: </w:t>
            </w:r>
            <w:r>
              <w:rPr>
                <w:rFonts w:ascii="Palatino Linotype" w:hAnsi="Palatino Linotype"/>
                <w:sz w:val="19"/>
              </w:rPr>
              <w:t>Sweep frequency response analysis, Transformer fault detection, 1D-CNN, Autoencoder, Anomaly detection.</w:t>
            </w:r>
          </w:p>
        </w:tc>
      </w:tr>
    </w:tbl>
    <w:p w:rsidR="00FB0A6D" w:rsidRDefault="00FB0A6D" w:rsidP="00FB0A6D">
      <w:pPr>
        <w:pStyle w:val="ListParagraph"/>
        <w:spacing w:before="20" w:after="40"/>
        <w:ind w:left="0"/>
        <w:jc w:val="center"/>
        <w:rPr>
          <w:rFonts w:ascii="Times New Roman" w:hAnsi="Times New Roman" w:cs="Times New Roman"/>
          <w:b/>
          <w:sz w:val="20"/>
          <w:szCs w:val="20"/>
        </w:rPr>
      </w:pPr>
      <w:r/>
      <w:r>
        <w:rPr>
          <w:rFonts w:ascii="Palatino Linotype" w:hAnsi="Palatino Linotype"/>
          <w:sz w:val="18"/>
        </w:rPr>
        <w:t>¹Department of Information Technology, Vidyalankar Institute of Technology, Mumbai 400037, Maharashtra, India</w:t>
        <w:br/>
      </w:r>
      <w:r>
        <w:rPr>
          <w:rFonts w:ascii="Palatino Linotype" w:hAnsi="Palatino Linotype"/>
          <w:sz w:val="17"/>
        </w:rPr>
        <w:t>E-mails: harinipanigrahi15@gmail.com, neha.nandkumar.verma@gmail.com, prapti.bhayde66@gmail.com, Yooraj20gole@gmail.com, bhanu.tekwani@vit.edu.in*</w:t>
        <w:br/>
      </w:r>
      <w:r>
        <w:rPr>
          <w:rFonts w:ascii="Palatino Linotype" w:hAnsi="Palatino Linotype"/>
          <w:sz w:val="17"/>
        </w:rPr>
        <w:t>ORCID: Harini Panigrahi (https://orcid.org/0009-0006-6723-2991)  |  * Corresponding Author</w:t>
      </w:r>
    </w:p>
    <w:p w:rsidR="00FB0A6D" w:rsidRDefault="00FB0A6D" w:rsidP="00FB0A6D">
      <w:pPr>
        <w:pStyle w:val="ListParagraph"/>
        <w:spacing w:before="0" w:after="0"/>
        <w:ind w:left="360"/>
        <w:rPr>
          <w:rFonts w:ascii="Times New Roman" w:hAnsi="Times New Roman" w:cs="Times New Roman"/>
          <w:b/>
          <w:sz w:val="20"/>
          <w:szCs w:val="20"/>
        </w:rPr>
        <w:sectPr w:rsidR="00FB0A6D" w:rsidSect="005A474D">
          <w:headerReference w:type="default" r:id="rId11"/>
          <w:pgSz w:w="12240" w:h="15840"/>
          <w:pgMar w:top="1080" w:right="1080" w:bottom="1080" w:left="1080" w:header="540" w:footer="720" w:gutter="0"/>
          <w:cols w:space="720"/>
          <w:docGrid w:linePitch="360"/>
        </w:sectPr>
      </w:pPr>
      <w:r/>
    </w:p>
    <w:p w:rsidR="005467C7" w:rsidRPr="009D24DC" w:rsidRDefault="00FA2399" w:rsidP="002A5870">
      <w:pPr>
        <w:pStyle w:val="ListParagraph"/>
        <w:numPr>
          <w:ilvl w:val="0"/>
          <w:numId w:val="1"/>
        </w:numPr>
        <w:spacing w:before="80" w:after="40"/>
        <w:ind w:left="360"/>
        <w:rPr>
          <w:rFonts w:ascii="Palatino Linotype" w:hAnsi="Palatino Linotype" w:cs="Times New Roman"/>
          <w:b/>
          <w:sz w:val="20"/>
          <w:szCs w:val="20"/>
        </w:rPr>
      </w:pPr>
      <w:r/>
      <w:r>
        <w:rPr>
          <w:rFonts w:ascii="Palatino Linotype" w:hAnsi="Palatino Linotype"/>
          <w:b/>
          <w:sz w:val="20"/>
        </w:rPr>
        <w:t>Introduction</w:t>
      </w:r>
    </w:p>
    <w:p w:rsidR="00E257B1" w:rsidRDefault="00D63FD8" w:rsidP="00703F2A">
      <w:pPr>
        <w:pBdr>
          <w:top w:val="nil"/>
          <w:left w:val="nil"/>
          <w:bottom w:val="nil"/>
          <w:right w:val="nil"/>
          <w:between w:val="nil"/>
        </w:pBdr>
        <w:spacing w:line="235" w:lineRule="auto" w:before="0" w:after="40"/>
        <w:ind w:firstLine="360"/>
        <w:jc w:val="both"/>
        <w:rPr>
          <w:rFonts w:ascii="Palatino Linotype" w:hAnsi="Palatino Linotype" w:cs="Times New Roman"/>
          <w:sz w:val="20"/>
          <w:szCs w:val="20"/>
        </w:rPr>
      </w:pPr>
      <w:r/>
      <w:r>
        <w:rPr>
          <w:rFonts w:ascii="Palatino Linotype" w:hAnsi="Palatino Linotype"/>
          <w:sz w:val="19"/>
        </w:rPr>
        <w:t>Substation operators cannot afford unexpected transformer breakdowns. When a primary unit trips offline, restoring grid stability often takes days, while repairing or replacing damaged windings costs utilities millions in equipment and lost load. Among non-intrusive diagnostic methods, Sweep Frequency Response Analysis (SFRA) stands out for its ability to pick up subtle mechanical shifts, buckled conductors, and loosened clamping structures long before gas-in-oil alarms trigger [1, 11]. Yet day-to-day trace interpretation still leans heavily on human judgment. Field specialists typically overlay a newly recorded curve against a factory baseline and compute scalar numbers such as the Correlation Coefficient (CC) or Absolute Sum of Logarithmic Error (ASLE) [1]. Residual core magnetization can distort low-frequency regions further if test crews do not demagnetize the core beforehand [5].</w:t>
        <w:br/>
        <w:br/>
        <w:t>We built IntelliFRA to remove that manual bottleneck during first-pass screening. An engineer uploads a magnitude-only CSV or TXT file through a browser dashboard, and the backend returns a four-grade severity label, per-class softmax probabilities, a confidence figure, an anomaly ratio, and a plain-language summary stored inside an account-isolated history log. This study documents the complete five-layer software stack and states the exact equations executed during training and live inference. We also detail the 50,000-curve synthetic ladder-mode generator and report validation, five-fold cross-validation baselines, component ablations, out-of-distribution frequency shifts, and CPU timing measurements taken directly from the trained PyTorch checkpoints.</w:t>
      </w:r>
    </w:p>
    <w:p w:rsidR="000573BB" w:rsidRPr="00B6748F" w:rsidRDefault="000573BB" w:rsidP="000573BB">
      <w:pPr>
        <w:pBdr>
          <w:top w:val="single" w:sz="4" w:space="1" w:color="000000"/>
        </w:pBdr>
        <w:shd w:val="clear" w:color="auto" w:fill="D9D9D9"/>
        <w:spacing w:after="20" w:line="228" w:lineRule="auto" w:before="20"/>
        <w:jc w:val="both"/>
        <w:rPr>
          <w:rFonts w:ascii="Palatino Linotype" w:eastAsia="Palatino Linotype" w:hAnsi="Palatino Linotype" w:cs="Palatino Linotype"/>
          <w:b/>
          <w:color w:val="000000"/>
          <w:sz w:val="20"/>
          <w:szCs w:val="20"/>
        </w:rPr>
      </w:pPr>
      <w:r>
        <w:rPr>
          <w:rFonts w:ascii="Palatino Linotype" w:hAnsi="Palatino Linotype"/>
          <w:b/>
          <w:sz w:val="18"/>
        </w:rPr>
        <w:t>History</w:t>
      </w:r>
    </w:p>
    <w:p w:rsidR="000573BB" w:rsidRPr="00B6748F" w:rsidRDefault="000573BB" w:rsidP="000573BB">
      <w:pPr>
        <w:pBdr>
          <w:top w:val="single" w:sz="4" w:space="1" w:color="000000"/>
        </w:pBdr>
        <w:shd w:val="clear" w:color="auto" w:fill="D9D9D9"/>
        <w:spacing w:after="20" w:line="228" w:lineRule="auto" w:before="20"/>
        <w:jc w:val="both"/>
        <w:rPr>
          <w:rFonts w:ascii="Palatino Linotype" w:eastAsia="Palatino Linotype" w:hAnsi="Palatino Linotype" w:cs="Palatino Linotype"/>
          <w:color w:val="000000"/>
          <w:sz w:val="20"/>
          <w:szCs w:val="20"/>
        </w:rPr>
      </w:pPr>
      <w:r>
        <w:rPr>
          <w:rFonts w:ascii="Palatino Linotype" w:hAnsi="Palatino Linotype"/>
          <w:sz w:val="18"/>
        </w:rPr>
        <w:t>Received: 01-03-2025;</w:t>
        <w:tab/>
        <w:tab/>
        <w:t>Revised: 15-05-2025;</w:t>
      </w:r>
    </w:p>
    <w:p w:rsidR="000573BB" w:rsidRPr="00B6748F" w:rsidRDefault="000573BB" w:rsidP="000573BB">
      <w:pPr>
        <w:pBdr>
          <w:top w:val="single" w:sz="4" w:space="1" w:color="000000"/>
        </w:pBdr>
        <w:shd w:val="clear" w:color="auto" w:fill="D9D9D9"/>
        <w:spacing w:after="20" w:line="228" w:lineRule="auto" w:before="20"/>
        <w:jc w:val="both"/>
        <w:rPr>
          <w:rFonts w:ascii="Palatino Linotype" w:eastAsia="Palatino Linotype" w:hAnsi="Palatino Linotype" w:cs="Palatino Linotype"/>
          <w:color w:val="000000"/>
          <w:sz w:val="20"/>
          <w:szCs w:val="20"/>
        </w:rPr>
      </w:pPr>
      <w:r>
        <w:rPr>
          <w:rFonts w:ascii="Palatino Linotype" w:hAnsi="Palatino Linotype"/>
          <w:sz w:val="18"/>
        </w:rPr>
        <w:t>Accepted: 30-05-2025</w:t>
        <w:tab/>
        <w:tab/>
      </w:r>
    </w:p>
    <w:p w:rsidR="000573BB" w:rsidRPr="00B6748F" w:rsidRDefault="000573BB" w:rsidP="000573BB">
      <w:pPr>
        <w:pBdr>
          <w:top w:val="single" w:sz="4" w:space="1" w:color="000000"/>
        </w:pBdr>
        <w:shd w:val="clear" w:color="auto" w:fill="F2F2F2"/>
        <w:spacing w:before="20" w:after="20" w:line="228" w:lineRule="auto"/>
        <w:jc w:val="both"/>
        <w:rPr>
          <w:rFonts w:ascii="Times New Roman" w:hAnsi="Times New Roman" w:cs="Times New Roman"/>
          <w:sz w:val="20"/>
          <w:szCs w:val="24"/>
        </w:rPr>
      </w:pPr>
      <w:r>
        <w:rPr>
          <w:rFonts w:ascii="Palatino Linotype" w:hAnsi="Palatino Linotype"/>
          <w:b/>
          <w:noProof/>
          <w:sz w:val="18"/>
          <w:lang w:val="en-IN" w:eastAsia="en-IN"/>
        </w:rPr>
        <w:drawing>
          <wp:inline distT="0" distB="0" distL="0" distR="0">
            <wp:extent cx="200025" cy="1047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00025" cy="104775"/>
                    </a:xfrm>
                    <a:prstGeom prst="rect">
                      <a:avLst/>
                    </a:prstGeom>
                    <a:noFill/>
                    <a:ln>
                      <a:noFill/>
                    </a:ln>
                  </pic:spPr>
                </pic:pic>
              </a:graphicData>
            </a:graphic>
          </wp:inline>
        </w:drawing>
      </w:r>
      <w:r w:rsidRPr="00B6748F">
        <w:rPr>
          <w:rFonts w:ascii="Palatino Linotype" w:hAnsi="Palatino Linotype"/>
          <w:b/>
          <w:sz w:val="18"/>
        </w:rPr>
        <w:tab/>
      </w:r>
      <w:r w:rsidRPr="00BD3816">
        <w:rPr>
          <w:rFonts w:ascii="Palatino Linotype" w:hAnsi="Palatino Linotype" w:cs="Times New Roman"/>
          <w:b/>
          <w:sz w:val="18"/>
          <w:szCs w:val="24"/>
        </w:rPr>
        <w:t xml:space="preserve">Bhanu </w:t>
      </w:r>
      <w:proofErr w:type="spellStart"/>
      <w:r w:rsidRPr="00BD3816">
        <w:rPr>
          <w:rFonts w:ascii="Palatino Linotype" w:hAnsi="Palatino Linotype" w:cs="Times New Roman"/>
          <w:b/>
          <w:sz w:val="18"/>
          <w:szCs w:val="24"/>
        </w:rPr>
        <w:t>Tekwani</w:t>
      </w:r>
      <w:proofErr w:type="spellEnd"/>
    </w:p>
    <w:p w:rsidR="000573BB" w:rsidRPr="00496567" w:rsidRDefault="001D1909" w:rsidP="00496567">
      <w:pPr>
        <w:pBdr>
          <w:top w:val="single" w:sz="4" w:space="1" w:color="000000"/>
        </w:pBdr>
        <w:shd w:val="clear" w:color="auto" w:fill="F2F2F2"/>
        <w:spacing w:after="20" w:line="228" w:lineRule="auto" w:before="20"/>
        <w:ind w:firstLine="720"/>
        <w:jc w:val="both"/>
        <w:rPr>
          <w:rFonts w:ascii="Palatino Linotype" w:eastAsia="Palatino Linotype" w:hAnsi="Palatino Linotype" w:cs="Palatino Linotype"/>
          <w:color w:val="000000"/>
          <w:sz w:val="20"/>
          <w:szCs w:val="20"/>
          <w:vertAlign w:val="superscript"/>
        </w:rPr>
      </w:pPr>
      <w:r>
        <w:rPr>
          <w:rFonts w:ascii="Palatino Linotype" w:hAnsi="Palatino Linotype"/>
          <w:sz w:val="18"/>
        </w:rPr>
        <w:t>bhanu.tekwani@vit.edu.in</w:t>
      </w:r>
    </w:p>
    <w:p w:rsidR="000573BB" w:rsidRPr="00B6748F" w:rsidRDefault="000573BB" w:rsidP="000573BB">
      <w:pPr>
        <w:pBdr>
          <w:top w:val="single" w:sz="4" w:space="1" w:color="000000"/>
        </w:pBdr>
        <w:shd w:val="clear" w:color="auto" w:fill="F2F2F2"/>
        <w:spacing w:before="20" w:after="20" w:line="228" w:lineRule="auto"/>
        <w:jc w:val="both"/>
        <w:rPr>
          <w:rFonts w:ascii="Palatino Linotype" w:hAnsi="Palatino Linotype" w:cs="Times New Roman"/>
          <w:sz w:val="20"/>
          <w:szCs w:val="24"/>
        </w:rPr>
      </w:pPr>
      <w:r>
        <w:rPr>
          <w:rFonts w:ascii="Palatino Linotype" w:hAnsi="Palatino Linotype"/>
          <w:sz w:val="18"/>
        </w:rPr>
        <w:t>¹Department of Information Technology, Vidyalankar Institute of Technology, Mumbai – 400037, India</w:t>
      </w:r>
    </w:p>
    <w:p w:rsidR="005A474D" w:rsidRPr="009D24DC" w:rsidRDefault="00B313DF" w:rsidP="00703F2A">
      <w:pPr>
        <w:pBdr>
          <w:top w:val="nil"/>
          <w:left w:val="nil"/>
          <w:bottom w:val="nil"/>
          <w:right w:val="nil"/>
          <w:between w:val="nil"/>
        </w:pBdr>
        <w:spacing w:before="0" w:line="235" w:lineRule="auto" w:after="40"/>
        <w:ind w:firstLine="360"/>
        <w:jc w:val="both"/>
        <w:rPr>
          <w:rFonts w:ascii="Palatino Linotype" w:hAnsi="Palatino Linotype" w:cs="Times New Roman"/>
          <w:sz w:val="20"/>
          <w:szCs w:val="20"/>
        </w:rPr>
      </w:pPr>
      <w:r/>
      <w:r>
        <w:rPr>
          <w:rFonts w:ascii="Palatino Linotype" w:hAnsi="Palatino Linotype"/>
          <w:sz w:val="19"/>
        </w:rPr>
        <w:t>Replacing a failed transmission transformer is never a quick purchase. Manufacturing lead times routinely stretch past twelve months, meaning a single winding short can leave industrial feeders and hospitals exposed to prolonged curtailment. Condition-monitoring schedules exist precisely to prevent that scenario, and SFRA provides mechanical sensitivity that dissolved-gas or power-factor tests simply cannot match [12]. Conductor displacements of just a few millimeters alter inter-turn capacitances enough to shift high-frequency resonance poles [13]. Still, routine adoption lags behind hardware capability. Recording a sweep takes only minutes with portable test gear, whereas translating that 500-point curve into a maintenance decision requires an experienced specialist who knows which resonance shifts matter.</w:t>
        <w:br/>
        <w:br/>
        <w:t>Most field crews do not carry that specialized background into the substation yard. Utilities rarely have enough senior analysts to inspect every routine sweep collected during seasonal maintenance windows. Consequently, test files often sit in folders or travel by email to regional offices, turning a ten-minute measurement into a multi-day review cycle. Software triage closes that delay. By screening incoming curves automatically, the platform clears normal sweeps on the spot and escalates suspicious signatures to human experts. To our knowledge, no prior open-source tool combines raw CSV/TXT parsing, dual CNN and autoencoder scoring, morphological sanity checks, and user-partitioned storage inside a single deployable web application.</w:t>
      </w:r>
    </w:p>
    <w:p>
      <w:pPr>
        <w:pStyle w:val="ListParagraph"/>
        <w:numPr>
          <w:ilvl w:val="0"/>
          <w:numId w:val="1"/>
        </w:numPr>
        <w:spacing w:before="120" w:after="40" w:line="240" w:lineRule="auto"/>
      </w:pPr>
      <w:r>
        <w:rPr>
          <w:rFonts w:ascii="Palatino Linotype" w:hAnsi="Palatino Linotype"/>
          <w:b/>
          <w:sz w:val="20"/>
        </w:rPr>
        <w:t>Related Work</w:t>
      </w:r>
    </w:p>
    <w:p>
      <w:pPr>
        <w:spacing w:line="235" w:lineRule="auto" w:before="0" w:after="40"/>
        <w:jc w:val="both"/>
      </w:pPr>
      <w:r>
        <w:rPr>
          <w:rFonts w:ascii="Palatino Linotype" w:hAnsi="Palatino Linotype"/>
          <w:sz w:val="19"/>
        </w:rPr>
        <w:t>International standard IEC 60076-18 [2] standardizes lead connections and sweep ranges for SFRA testing, but it leaves trace interpretation open to the user. Early academic studies tried to replace visual guesswork with statistical indicators. Shintemirov et al. [3] paired sub-band correlation metrics with evidential reasoning to grade winding condition, while Secue and Mombello [11] tracked axial and radial deformations through frequency-band deviations. Tahir and Tenbohlen [4] later examined high-frequency circuit behavior under winding faults, complementing experimental impedance studies by Bagheri et al. [12] and Behjat et al. [13]. Even so, scalar indices struggle to separate fault classes on their own because a human still has to pick cut-off thresholds for every transformer family.</w:t>
      </w:r>
    </w:p>
    <w:p>
      <w:pPr>
        <w:spacing w:line="235" w:lineRule="auto" w:before="0" w:after="40"/>
        <w:jc w:val="both"/>
      </w:pPr>
      <w:r>
        <w:rPr>
          <w:rFonts w:ascii="Palatino Linotype" w:hAnsi="Palatino Linotype"/>
          <w:sz w:val="19"/>
        </w:rPr>
        <w:t>Data-driven classifiers began gaining traction over the past decade as researchers fed hand-crafted sub-band features into Support Vector Machines (SVMs) and shallow neural nets. Ince, Kiranyaz et al. [15] demonstrated on motor current signals that a 1D Convolutional Neural Network (1D-CNN) operating directly on raw waveform samples outperforms manual feature extraction because its convolutional kernels adapt to localized spectral shapes automatically. That insight motivates IntelliFRA's supervised branch. More recently, Phillip et al. [6, 10] have applied deep networks directly to FRA traces of power transformers. Meanwhile, because utilities hold plenty of healthy baseline sweeps but very few destructive fault recordings, unsupervised reconstruction models offer a natural safeguard. Both Chandola et al. [7] and Sakurada and Yairi [16] show that autoencoders fitted exclusively on normal data flag novel fault shapes reliably.</w:t>
      </w:r>
    </w:p>
    <w:p>
      <w:pPr>
        <w:spacing w:line="235" w:lineRule="auto" w:before="0" w:after="40"/>
        <w:jc w:val="both"/>
      </w:pPr>
      <w:r>
        <w:rPr>
          <w:rFonts w:ascii="Palatino Linotype" w:hAnsi="Palatino Linotype"/>
          <w:sz w:val="19"/>
        </w:rPr>
        <w:t>Scarcity of labeled field failures has pushed several research groups toward physical circuit simulation. Lumped-parameter ladder networks remain the most practical choice. Zhang, Wang, Yuan, and Tao [14], for example, built a double-ladder winding circuit that reproduces capacitive and inductive coupling without requiring proprietary core blueprints needed for finite-element modeling. Ladder approximations trade away some unit-specific detail for speed and parametric control, which is why we pair our synthetic training study with a clear roadmap for field-corpus testing in Section 9.</w:t>
      </w:r>
    </w:p>
    <w:p>
      <w:pPr>
        <w:spacing w:line="235" w:lineRule="auto" w:before="0" w:after="40"/>
        <w:jc w:val="both"/>
      </w:pPr>
      <w:r>
        <w:rPr>
          <w:rFonts w:ascii="Palatino Linotype" w:hAnsi="Palatino Linotype"/>
          <w:sz w:val="19"/>
        </w:rPr>
        <w:t>Two practical gaps recur across prior SFRA publications. Studies either evaluate classifiers on small, closed utility datasets that outside teams cannot inspect, or they stop at offline notebook accuracy without building a usable diagnostic tool. Manual feature extraction also remains common, tying classifier performance to fixed sub-band formulas that rarely generalize across voltage ratings. Deep models trained on FRA traces [6, 10] reduce the dependence on hand-crafted descriptors, but to our knowledge they have not been combined with an unsupervised anomaly gate, a morphological override filter, and an authenticated web interface. Phillip, Singh, and Ramlal [10] recently trained deep models on narrow SFRA bands while noting the difficulty of gathering balanced fault corpora; their fault groupings helped shape our six-archetype generator in Section 5. IntelliFRA bridges these pieces by releasing the synthetic generator, dual PyTorch models, deterministic fallback logic, FastAPI backend, and React dashboard as a single reproducible system.</w:t>
      </w:r>
    </w:p>
    <w:p>
      <w:pPr>
        <w:pStyle w:val="ListParagraph"/>
        <w:numPr>
          <w:ilvl w:val="0"/>
          <w:numId w:val="1"/>
        </w:numPr>
        <w:spacing w:before="120" w:after="40" w:line="240" w:lineRule="auto"/>
      </w:pPr>
      <w:r>
        <w:rPr>
          <w:rFonts w:ascii="Palatino Linotype" w:hAnsi="Palatino Linotype"/>
          <w:b/>
          <w:sz w:val="20"/>
        </w:rPr>
        <w:t>System Architecture</w:t>
      </w:r>
    </w:p>
    <w:p>
      <w:pPr>
        <w:spacing w:line="235" w:lineRule="auto" w:before="0" w:after="40"/>
        <w:jc w:val="both"/>
      </w:pPr>
      <w:r>
        <w:rPr>
          <w:rFonts w:ascii="Palatino Linotype" w:hAnsi="Palatino Linotype"/>
          <w:sz w:val="19"/>
        </w:rPr>
        <w:t>IntelliFRA organizes processing into five distinct stages: (1) file ingestion and format checking, (2) length standardization and per-curve normalization, (3) hybrid neural and morphological inference, (4) user-scoped relational storage, and (5) browser visualization. FastAPI coordinates data flow across these stages over REST endpoints, as illustrated in Fig. 1. Keeping ingestion separate from inference matters for operational safety. Malformed CSV headers, non-numeric entries, or truncated files containing fewer than 50 points trigger an immediate HTTP 400 rejection rather than feeding corrupted arrays into the neural networks. Similarly, isolating the z-score preprocessor guarantees that live uploads undergo the exact mathematical scaling applied during model training.</w:t>
      </w:r>
    </w:p>
    <w:p>
      <w:pPr>
        <w:spacing w:before="40" w:after="20"/>
        <w:jc w:val="center"/>
      </w:pPr>
      <w:r>
        <w:drawing>
          <wp:inline xmlns:a="http://schemas.openxmlformats.org/drawingml/2006/main" xmlns:pic="http://schemas.openxmlformats.org/drawingml/2006/picture">
            <wp:extent cx="1874519" cy="1810004"/>
            <wp:docPr id="398200266" name="Picture 398200266"/>
            <wp:cNvGraphicFramePr>
              <a:graphicFrameLocks noChangeAspect="1"/>
            </wp:cNvGraphicFramePr>
            <a:graphic>
              <a:graphicData uri="http://schemas.openxmlformats.org/drawingml/2006/picture">
                <pic:pic>
                  <pic:nvPicPr>
                    <pic:cNvPr id="0" name="image1.png"/>
                    <pic:cNvPicPr/>
                  </pic:nvPicPr>
                  <pic:blipFill>
                    <a:blip r:embed="rId27"/>
                    <a:stretch>
                      <a:fillRect/>
                    </a:stretch>
                  </pic:blipFill>
                  <pic:spPr>
                    <a:xfrm>
                      <a:off x="0" y="0"/>
                      <a:ext cx="1874519" cy="1810004"/>
                    </a:xfrm>
                    <a:prstGeom prst="rect"/>
                  </pic:spPr>
                </pic:pic>
              </a:graphicData>
            </a:graphic>
          </wp:inline>
        </w:drawing>
      </w:r>
    </w:p>
    <w:p>
      <w:pPr>
        <w:spacing w:line="240" w:lineRule="auto" w:before="60" w:after="40"/>
        <w:jc w:val="center"/>
      </w:pPr>
      <w:r>
        <w:rPr>
          <w:rFonts w:ascii="Palatino Linotype" w:hAnsi="Palatino Linotype"/>
          <w:b/>
          <w:sz w:val="17"/>
        </w:rPr>
        <w:t xml:space="preserve">Fig. 1: </w:t>
      </w:r>
      <w:r>
        <w:rPr>
          <w:rFonts w:ascii="Palatino Linotype" w:hAnsi="Palatino Linotype"/>
          <w:sz w:val="17"/>
        </w:rPr>
        <w:t>IntelliFRA System Architecture</w:t>
      </w:r>
    </w:p>
    <w:p>
      <w:pPr>
        <w:spacing w:line="240" w:lineRule="auto" w:before="80" w:after="30"/>
        <w:jc w:val="left"/>
      </w:pPr>
      <w:r>
        <w:rPr>
          <w:rFonts w:ascii="Palatino Linotype" w:hAnsi="Palatino Linotype"/>
          <w:b/>
          <w:sz w:val="19"/>
        </w:rPr>
        <w:t>3.1  Data ingestion and validation</w:t>
      </w:r>
    </w:p>
    <w:p>
      <w:pPr>
        <w:spacing w:line="235" w:lineRule="auto" w:before="0" w:after="40"/>
        <w:jc w:val="both"/>
      </w:pPr>
      <w:r>
        <w:rPr>
          <w:rFonts w:ascii="Palatino Linotype" w:hAnsi="Palatino Linotype"/>
          <w:sz w:val="19"/>
        </w:rPr>
        <w:t>The upload route (POST /fra/upload) accepts only .csv and .txt extensions and rejects other formats with an HTTP 400 error. For CSV files, csv.DictReader locates the magnitude column automatically, whereas TXT uploads are scanned token by token for floating-point numbers. To bound memory usage, the parser reads at most 2,000 raw values, verifies that at least 50 valid floats are present, and slices the sequence to the first 500 samples before passing it downstream.</w:t>
      </w:r>
    </w:p>
    <w:p>
      <w:pPr>
        <w:spacing w:line="240" w:lineRule="auto" w:before="80" w:after="30"/>
        <w:jc w:val="left"/>
      </w:pPr>
      <w:r>
        <w:rPr>
          <w:rFonts w:ascii="Palatino Linotype" w:hAnsi="Palatino Linotype"/>
          <w:b/>
          <w:sz w:val="19"/>
        </w:rPr>
        <w:t>3.2  Preprocessing and normalization</w:t>
      </w:r>
    </w:p>
    <w:p>
      <w:pPr>
        <w:spacing w:line="235" w:lineRule="auto" w:before="0" w:after="40"/>
        <w:jc w:val="both"/>
      </w:pPr>
      <w:r>
        <w:rPr>
          <w:rFonts w:ascii="Palatino Linotype" w:hAnsi="Palatino Linotype"/>
          <w:sz w:val="19"/>
        </w:rPr>
        <w:t>Sweeps containing between 50 and 499 samples are extended to 500 points via edge-value replication (numpy.pad with mode='edge'), which repeats the terminal measurement instead of introducing artificial step discontinuities through zero-padding. Each 500-point vector is then scaled independently to zero mean and unit variance using a stability floor of ε = 1 × 10⁻⁶. Applying identical per-curve scaling during both training and live requests prevents amplitude skew across different test sets.</w:t>
      </w:r>
    </w:p>
    <w:p>
      <w:pPr>
        <w:spacing w:line="240" w:lineRule="auto" w:before="80" w:after="30"/>
        <w:jc w:val="left"/>
      </w:pPr>
      <w:r>
        <w:rPr>
          <w:rFonts w:ascii="Palatino Linotype" w:hAnsi="Palatino Linotype"/>
          <w:b/>
          <w:sz w:val="19"/>
        </w:rPr>
        <w:t>3.3  Hybrid AI inference</w:t>
      </w:r>
    </w:p>
    <w:p>
      <w:pPr>
        <w:spacing w:line="235" w:lineRule="auto" w:before="0" w:after="40"/>
        <w:jc w:val="both"/>
      </w:pPr>
      <w:r>
        <w:rPr>
          <w:rFonts w:ascii="Palatino Linotype" w:hAnsi="Palatino Linotype"/>
          <w:sz w:val="19"/>
        </w:rPr>
        <w:t>Our diagnostic engine pairs two neural networks with a morphological post-processor and a deterministic FFT backup. Neither neural model is sufficient by itself. A standalone softmax classifier always picks one of its four known labels, even when handed a sweep from an unfamiliar winding topology or a faulty sensor lead. It has no built-in way to say 'this curve looks unfamiliar.' The autoencoder fills that gap by measuring how far an input strays from the healthy training manifold [16]. Whenever a curve reconstructs poorly, its anomaly ratio spikes regardless of which class the CNN selects. Presenting the severity label, class probabilities, and anomaly ratio side by side lets an engineer distinguish a genuinely healthy trace from an unusual signature that happened to land near the Normal decision boundary.</w:t>
      </w:r>
    </w:p>
    <w:p>
      <w:pPr>
        <w:spacing w:line="235" w:lineRule="auto" w:before="0" w:after="40"/>
        <w:jc w:val="both"/>
      </w:pPr>
      <w:r>
        <w:rPr>
          <w:rFonts w:ascii="Palatino Linotype" w:hAnsi="Palatino Linotype"/>
          <w:b/>
          <w:sz w:val="19"/>
        </w:rPr>
        <w:t xml:space="preserve">1D-CNN: </w:t>
      </w:r>
      <w:r>
        <w:rPr>
          <w:rFonts w:ascii="Palatino Linotype" w:hAnsi="Palatino Linotype"/>
          <w:sz w:val="19"/>
        </w:rPr>
        <w:t>three sequential convolutional blocks (Conv1D, ReLU, pooling) [8] feed a two-layer dense classification head with dropout (p = 0.2) [18]. Totalling 140,644 trainable parameters (~0.98 MB in memory), the network maps a 500-point curve onto Normal, Minor Deviation, Moderate Fault, or High Fault Risk. Using 1D convolutions directly on normalized series follows the raw-waveform classification strategy validated by Ince, Kiranyaz et al. [15]; exact layer dimensions appear in Section 4.</w:t>
      </w:r>
    </w:p>
    <w:p>
      <w:pPr>
        <w:spacing w:line="235" w:lineRule="auto" w:before="0" w:after="40"/>
        <w:jc w:val="both"/>
      </w:pPr>
      <w:r>
        <w:rPr>
          <w:rFonts w:ascii="Palatino Linotype" w:hAnsi="Palatino Linotype"/>
          <w:b/>
          <w:sz w:val="19"/>
        </w:rPr>
        <w:t xml:space="preserve">Autoencoder: </w:t>
      </w:r>
      <w:r>
        <w:rPr>
          <w:rFonts w:ascii="Palatino Linotype" w:hAnsi="Palatino Linotype"/>
          <w:sz w:val="19"/>
        </w:rPr>
        <w:t>the implemented FRAAutoencoder uses a symmetric dense encoder-decoder topology (500→256→96→32→96→256→500; 312,532 trainable parameters) with ReLU activations and a 32-node latent bottleneck. Fitted solely on Normal training curves under Mean Squared Error (MSE) loss [16], it divides each input's reconstruction error by the 95th-percentile healthy threshold τ stored in ml_meta.json.</w:t>
      </w:r>
    </w:p>
    <w:p>
      <w:pPr>
        <w:spacing w:line="235" w:lineRule="auto" w:before="0" w:after="40"/>
        <w:jc w:val="both"/>
      </w:pPr>
      <w:r>
        <w:rPr>
          <w:rFonts w:ascii="Palatino Linotype" w:hAnsi="Palatino Linotype"/>
          <w:b/>
          <w:sz w:val="19"/>
        </w:rPr>
        <w:t xml:space="preserve">Shape-based override: </w:t>
      </w:r>
      <w:r>
        <w:rPr>
          <w:rFonts w:ascii="Palatino Linotype" w:hAnsi="Palatino Linotype"/>
          <w:sz w:val="19"/>
        </w:rPr>
        <w:t>a post-processing filter inspects three time-series descriptors on the raw sweep: first-difference standard deviation (smoothness), fraction of negative steps (monotonic ratio), and local peak count. If a trace is exceptionally smooth and monotonically decaying with at most one peak, an over-cautious fault label is stepped down to Normal. Conversely, traces exhibiting five or more sharp oscillations with high roughness are promoted to High Fault Risk.</w:t>
      </w:r>
    </w:p>
    <w:p>
      <w:pPr>
        <w:spacing w:line="235" w:lineRule="auto" w:before="0" w:after="40"/>
        <w:jc w:val="both"/>
      </w:pPr>
      <w:r>
        <w:rPr>
          <w:rFonts w:ascii="Palatino Linotype" w:hAnsi="Palatino Linotype"/>
          <w:b/>
          <w:sz w:val="19"/>
        </w:rPr>
        <w:t xml:space="preserve">Rule-based FFT fallback: </w:t>
      </w:r>
      <w:r>
        <w:rPr>
          <w:rFonts w:ascii="Palatino Linotype" w:hAnsi="Palatino Linotype"/>
          <w:sz w:val="19"/>
        </w:rPr>
        <w:t>if PyTorch [20] or the saved weight files (cnn_model.pth, autoencoder.pth, ml_meta.json) cannot be loaded, analyze_fra() falls back to a deterministic signal analyzer. It computes mean, standard deviation, peak-to-peak span, total energy, upper-half FFT spectral energy, and zero-crossing counts, combining threshold rules into the same four severity grades with a fixed heuristic confidence.</w:t>
      </w:r>
    </w:p>
    <w:p>
      <w:pPr>
        <w:spacing w:line="240" w:lineRule="auto" w:before="80" w:after="30"/>
        <w:jc w:val="left"/>
      </w:pPr>
      <w:r>
        <w:rPr>
          <w:rFonts w:ascii="Palatino Linotype" w:hAnsi="Palatino Linotype"/>
          <w:b/>
          <w:sz w:val="19"/>
        </w:rPr>
        <w:t>3.4  Persistence and API</w:t>
      </w:r>
    </w:p>
    <w:p>
      <w:pPr>
        <w:spacing w:line="235" w:lineRule="auto" w:before="0" w:after="40"/>
        <w:jc w:val="both"/>
      </w:pPr>
      <w:r>
        <w:rPr>
          <w:rFonts w:ascii="Palatino Linotype" w:hAnsi="Palatino Linotype"/>
          <w:sz w:val="19"/>
        </w:rPr>
        <w:t>Persistent storage relies on two SQLAlchemy tables with strict per-user partitioning. The User table stores bcrypt-hashed credentials, while FRAResult logs each upload's UUID, indexed user_id foreign key (configured with cascade delete-orphan), filename, predicted severity, UTC timestamp, and a JSON blob holding confidence, anomaly score, class probabilities, signal statistics, diagnostic notes, model source, and the 500-point vector.</w:t>
      </w:r>
    </w:p>
    <w:p>
      <w:pPr>
        <w:spacing w:line="235" w:lineRule="auto" w:before="0" w:after="40"/>
        <w:jc w:val="both"/>
      </w:pPr>
      <w:r>
        <w:rPr>
          <w:rFonts w:ascii="Palatino Linotype" w:hAnsi="Palatino Linotype"/>
          <w:sz w:val="19"/>
        </w:rPr>
        <w:t>Four REST routes handle client traffic: POST /fra/upload processes new sweep files, GET /fra/results/{id} fetches a single record, GET /fra/history returns paginated logs filtered by class or date window, and GET /fra/metrics reports live model accuracy and latency figures from ml_meta.json. All user data queries require a valid JSON Web Token (JWT) and filter rows by FRAResult.user_id == user.id. Decoupling inference behind FastAPI and SQLAlchemy makes it straightforward to swap SQLite for PostgreSQL in multi-substation deployments while exposing OpenAPI schemas for external asset-management tools.</w:t>
      </w:r>
    </w:p>
    <w:p>
      <w:pPr>
        <w:spacing w:line="240" w:lineRule="auto" w:before="80" w:after="30"/>
        <w:jc w:val="left"/>
      </w:pPr>
      <w:r>
        <w:rPr>
          <w:rFonts w:ascii="Palatino Linotype" w:hAnsi="Palatino Linotype"/>
          <w:b/>
          <w:sz w:val="19"/>
        </w:rPr>
        <w:t>3.5  Frontend</w:t>
      </w:r>
    </w:p>
    <w:p>
      <w:pPr>
        <w:spacing w:line="235" w:lineRule="auto" w:before="0" w:after="40"/>
        <w:jc w:val="both"/>
      </w:pPr>
      <w:r>
        <w:rPr>
          <w:rFonts w:ascii="Palatino Linotype" w:hAnsi="Palatino Linotype"/>
          <w:sz w:val="19"/>
        </w:rPr>
        <w:t>The browser client is a React 19 and Vite single-page app styled with Tailwind CSS, Framer Motion, and an interactive Three.js transformer scene on the landing screen. Authenticated engineers can upload sweeps, inspect KPI summary cards, review high-risk alerts, and browse historical logs. Selecting any record opens the diagnostic view showing the severity badge, confidence percentage, anomaly ratio, interactive Recharts magnitude plot, and a structured text explanation.</w:t>
      </w:r>
    </w:p>
    <w:p>
      <w:pPr>
        <w:spacing w:line="235" w:lineRule="auto" w:before="0" w:after="40"/>
        <w:jc w:val="both"/>
      </w:pPr>
      <w:r>
        <w:rPr>
          <w:rFonts w:ascii="Palatino Linotype" w:hAnsi="Palatino Linotype"/>
          <w:sz w:val="19"/>
        </w:rPr>
        <w:t>That text explanation is generated by a deterministic template selector rather than a large language model. Each severity category maps to a vetted engineering summary populated with the trace's exact confidence and anomaly figures. We chose deterministic templates deliberately: identical sweep inputs always yield identical maintenance wording, avoiding the phrasing drift or hallucinations that generative text models can introduce in safety-critical reporting.</w:t>
      </w:r>
    </w:p>
    <w:p>
      <w:pPr>
        <w:spacing w:line="235" w:lineRule="auto" w:before="0" w:after="40"/>
        <w:jc w:val="both"/>
      </w:pPr>
      <w:r>
        <w:rPr>
          <w:rFonts w:ascii="Palatino Linotype" w:hAnsi="Palatino Linotype"/>
          <w:sz w:val="19"/>
        </w:rPr>
        <w:t>Rendering the 500-point Recharts magnitude curve right next to the classification badge serves as a visual sanity check for the analyst. Rather than asking engineers to trust a black-box label blindly, the screen displays the exact preprocessed trace so padding or parsing glitches are obvious at a glance. If a smooth, monotonically decaying curve were ever labeled Moderate Fault, the mismatch would be immediately visible. On the main dashboard, severity and date filters let maintenance teams review historical trends across multiple tests, while a dedicated alert banner keeps High Fault Risk uploads pinned at the top of the queue.</w:t>
      </w:r>
    </w:p>
    <w:tbl>
      <w:tblPr>
        <w:tblW w:type="auto" w:w="0"/>
        <w:jc w:val="center"/>
        <w:tblLayout w:type="fixed"/>
        <w:tblLook w:firstColumn="1" w:firstRow="1" w:lastColumn="0" w:lastRow="0" w:noHBand="0" w:noVBand="1" w:val="04A0"/>
      </w:tblPr>
      <w:tblGrid>
        <w:gridCol w:w="5239"/>
        <w:gridCol w:w="5239"/>
      </w:tblGrid>
      <w:tr>
        <w:tc>
          <w:tcPr>
            <w:tcW w:type="dxa" w:w="2376"/>
            <w:tcBorders>
              <w:top w:val="none" w:sz="0" w:space="0" w:color="auto"/>
              <w:bottom w:val="none" w:sz="0" w:space="0" w:color="auto"/>
              <w:left w:val="none" w:sz="0" w:space="0" w:color="auto"/>
              <w:right w:val="none" w:sz="0" w:space="0" w:color="auto"/>
            </w:tcBorders>
            <w:tcMar>
              <w:top w:w="10" w:type="dxa"/>
              <w:bottom w:w="10" w:type="dxa"/>
              <w:left w:w="20" w:type="dxa"/>
              <w:right w:w="20" w:type="dxa"/>
            </w:tcMar>
          </w:tcPr>
          <w:p>
            <w:pPr>
              <w:spacing w:before="20" w:after="20"/>
              <w:jc w:val="center"/>
            </w:pPr>
            <w:r>
              <w:drawing>
                <wp:inline xmlns:a="http://schemas.openxmlformats.org/drawingml/2006/main" xmlns:pic="http://schemas.openxmlformats.org/drawingml/2006/picture">
                  <wp:extent cx="1389888" cy="825848"/>
                  <wp:docPr id="398200267" name="Picture 398200267"/>
                  <wp:cNvGraphicFramePr>
                    <a:graphicFrameLocks noChangeAspect="1"/>
                  </wp:cNvGraphicFramePr>
                  <a:graphic>
                    <a:graphicData uri="http://schemas.openxmlformats.org/drawingml/2006/picture">
                      <pic:pic>
                        <pic:nvPicPr>
                          <pic:cNvPr id="0" name="image2.png"/>
                          <pic:cNvPicPr/>
                        </pic:nvPicPr>
                        <pic:blipFill>
                          <a:blip r:embed="rId28"/>
                          <a:stretch>
                            <a:fillRect/>
                          </a:stretch>
                        </pic:blipFill>
                        <pic:spPr>
                          <a:xfrm>
                            <a:off x="0" y="0"/>
                            <a:ext cx="1389888" cy="825848"/>
                          </a:xfrm>
                          <a:prstGeom prst="rect"/>
                        </pic:spPr>
                      </pic:pic>
                    </a:graphicData>
                  </a:graphic>
                </wp:inline>
              </w:drawing>
            </w:r>
          </w:p>
          <w:p>
            <w:pPr>
              <w:spacing w:before="20" w:after="40" w:line="228" w:lineRule="auto"/>
              <w:jc w:val="center"/>
            </w:pPr>
            <w:r>
              <w:rPr>
                <w:rFonts w:ascii="Palatino Linotype" w:hAnsi="Palatino Linotype"/>
                <w:b/>
                <w:sz w:val="16"/>
              </w:rPr>
              <w:t xml:space="preserve">Fig. 2: </w:t>
            </w:r>
            <w:r>
              <w:rPr>
                <w:rFonts w:ascii="Palatino Linotype" w:hAnsi="Palatino Linotype"/>
                <w:sz w:val="16"/>
              </w:rPr>
              <w:t>Landing page</w:t>
            </w:r>
          </w:p>
        </w:tc>
        <w:tc>
          <w:tcPr>
            <w:tcW w:type="dxa" w:w="2376"/>
            <w:tcBorders>
              <w:top w:val="none" w:sz="0" w:space="0" w:color="auto"/>
              <w:bottom w:val="none" w:sz="0" w:space="0" w:color="auto"/>
              <w:left w:val="none" w:sz="0" w:space="0" w:color="auto"/>
              <w:right w:val="none" w:sz="0" w:space="0" w:color="auto"/>
            </w:tcBorders>
            <w:tcMar>
              <w:top w:w="10" w:type="dxa"/>
              <w:bottom w:w="10" w:type="dxa"/>
              <w:left w:w="20" w:type="dxa"/>
              <w:right w:w="20" w:type="dxa"/>
            </w:tcMar>
          </w:tcPr>
          <w:p>
            <w:pPr>
              <w:spacing w:before="20" w:after="20"/>
              <w:jc w:val="center"/>
            </w:pPr>
            <w:r>
              <w:drawing>
                <wp:inline xmlns:a="http://schemas.openxmlformats.org/drawingml/2006/main" xmlns:pic="http://schemas.openxmlformats.org/drawingml/2006/picture">
                  <wp:extent cx="1389888" cy="797691"/>
                  <wp:docPr id="398200268" name="Picture 398200268"/>
                  <wp:cNvGraphicFramePr>
                    <a:graphicFrameLocks noChangeAspect="1"/>
                  </wp:cNvGraphicFramePr>
                  <a:graphic>
                    <a:graphicData uri="http://schemas.openxmlformats.org/drawingml/2006/picture">
                      <pic:pic>
                        <pic:nvPicPr>
                          <pic:cNvPr id="0" name="image3.png"/>
                          <pic:cNvPicPr/>
                        </pic:nvPicPr>
                        <pic:blipFill>
                          <a:blip r:embed="rId29"/>
                          <a:stretch>
                            <a:fillRect/>
                          </a:stretch>
                        </pic:blipFill>
                        <pic:spPr>
                          <a:xfrm>
                            <a:off x="0" y="0"/>
                            <a:ext cx="1389888" cy="797691"/>
                          </a:xfrm>
                          <a:prstGeom prst="rect"/>
                        </pic:spPr>
                      </pic:pic>
                    </a:graphicData>
                  </a:graphic>
                </wp:inline>
              </w:drawing>
            </w:r>
          </w:p>
          <w:p>
            <w:pPr>
              <w:spacing w:before="20" w:after="40" w:line="228" w:lineRule="auto"/>
              <w:jc w:val="center"/>
            </w:pPr>
            <w:r>
              <w:rPr>
                <w:rFonts w:ascii="Palatino Linotype" w:hAnsi="Palatino Linotype"/>
                <w:b/>
                <w:sz w:val="16"/>
              </w:rPr>
              <w:t xml:space="preserve">Fig. 3: </w:t>
            </w:r>
            <w:r>
              <w:rPr>
                <w:rFonts w:ascii="Palatino Linotype" w:hAnsi="Palatino Linotype"/>
                <w:sz w:val="16"/>
              </w:rPr>
              <w:t>Home / dashboard</w:t>
            </w:r>
          </w:p>
        </w:tc>
      </w:tr>
    </w:tbl>
    <w:p>
      <w:pPr>
        <w:spacing w:before="40" w:after="20"/>
        <w:jc w:val="center"/>
      </w:pPr>
      <w:r>
        <w:drawing>
          <wp:inline xmlns:a="http://schemas.openxmlformats.org/drawingml/2006/main" xmlns:pic="http://schemas.openxmlformats.org/drawingml/2006/picture">
            <wp:extent cx="2011680" cy="1157256"/>
            <wp:docPr id="398200269" name="Picture 398200269"/>
            <wp:cNvGraphicFramePr>
              <a:graphicFrameLocks noChangeAspect="1"/>
            </wp:cNvGraphicFramePr>
            <a:graphic>
              <a:graphicData uri="http://schemas.openxmlformats.org/drawingml/2006/picture">
                <pic:pic>
                  <pic:nvPicPr>
                    <pic:cNvPr id="0" name="image4.png"/>
                    <pic:cNvPicPr/>
                  </pic:nvPicPr>
                  <pic:blipFill>
                    <a:blip r:embed="rId30"/>
                    <a:stretch>
                      <a:fillRect/>
                    </a:stretch>
                  </pic:blipFill>
                  <pic:spPr>
                    <a:xfrm>
                      <a:off x="0" y="0"/>
                      <a:ext cx="2011680" cy="1157256"/>
                    </a:xfrm>
                    <a:prstGeom prst="rect"/>
                  </pic:spPr>
                </pic:pic>
              </a:graphicData>
            </a:graphic>
          </wp:inline>
        </w:drawing>
      </w:r>
    </w:p>
    <w:p>
      <w:pPr>
        <w:spacing w:line="240" w:lineRule="auto" w:before="60" w:after="40"/>
        <w:jc w:val="center"/>
      </w:pPr>
      <w:r>
        <w:rPr>
          <w:rFonts w:ascii="Palatino Linotype" w:hAnsi="Palatino Linotype"/>
          <w:b/>
          <w:sz w:val="17"/>
        </w:rPr>
        <w:t xml:space="preserve">Fig. 4: </w:t>
      </w:r>
      <w:r>
        <w:rPr>
          <w:rFonts w:ascii="Palatino Linotype" w:hAnsi="Palatino Linotype"/>
          <w:sz w:val="17"/>
        </w:rPr>
        <w:t>Uploaded FRA result view</w:t>
      </w:r>
    </w:p>
    <w:p>
      <w:pPr>
        <w:pStyle w:val="ListParagraph"/>
        <w:numPr>
          <w:ilvl w:val="0"/>
          <w:numId w:val="1"/>
        </w:numPr>
        <w:spacing w:before="120" w:after="40" w:line="240" w:lineRule="auto"/>
      </w:pPr>
      <w:r>
        <w:rPr>
          <w:rFonts w:ascii="Palatino Linotype" w:hAnsi="Palatino Linotype"/>
          <w:b/>
          <w:sz w:val="20"/>
        </w:rPr>
        <w:t>Mathematical Formulation</w:t>
      </w:r>
    </w:p>
    <w:p>
      <w:pPr>
        <w:spacing w:line="235" w:lineRule="auto" w:before="0" w:after="40"/>
        <w:jc w:val="both"/>
      </w:pPr>
      <w:r>
        <w:rPr>
          <w:rFonts w:ascii="Palatino Linotype" w:hAnsi="Palatino Linotype"/>
          <w:sz w:val="19"/>
        </w:rPr>
        <w:t>Let x = (x₁, x₂, …, x_N) denote a preprocessed magnitude sequence of length N = 500, with stability constant ε = 10⁻⁶.</w:t>
      </w:r>
    </w:p>
    <w:p>
      <w:pPr>
        <w:spacing w:line="240" w:lineRule="auto" w:before="80" w:after="30"/>
        <w:jc w:val="left"/>
      </w:pPr>
      <w:r>
        <w:rPr>
          <w:rFonts w:ascii="Palatino Linotype" w:hAnsi="Palatino Linotype"/>
          <w:b/>
          <w:sz w:val="19"/>
        </w:rPr>
        <w:t>4.1  Per-sample z-score normalization</w:t>
      </w:r>
    </w:p>
    <w:p>
      <w:pPr>
        <w:spacing w:line="235" w:lineRule="auto" w:before="0" w:after="40"/>
        <w:jc w:val="both"/>
      </w:pPr>
      <w:r>
        <w:rPr>
          <w:rFonts w:ascii="Palatino Linotype" w:hAnsi="Palatino Linotype"/>
          <w:sz w:val="19"/>
        </w:rPr>
        <w:t>Each sweep is standardized independently during both model training and live inference:</w:t>
      </w:r>
    </w:p>
    <w:p>
      <w:pPr>
        <w:spacing w:line="240" w:lineRule="auto" w:before="40" w:after="40"/>
        <w:jc w:val="center"/>
      </w:pPr>
      <m:oMathPara>
        <m:oMath>
          <m:r>
            <m:t>μ=</m:t>
          </m:r>
          <m:f>
            <m:num>
              <m:r>
                <m:t>1</m:t>
              </m:r>
            </m:num>
            <m:den>
              <m:r>
                <m:t>N</m:t>
              </m:r>
            </m:den>
          </m:f>
          <m:nary>
            <m:naryPr>
              <m:chr m:val="∑"/>
              <m:limLoc m:val="subSup"/>
            </m:naryPr>
            <m:sub>
              <m:r>
                <m:t>i=1</m:t>
              </m:r>
            </m:sub>
            <m:sup>
              <m:r>
                <m:t>N</m:t>
              </m:r>
            </m:sup>
            <m:e>
              <m:sSub>
                <m:e>
                  <m:r>
                    <m:t>x</m:t>
                  </m:r>
                </m:e>
                <m:sub>
                  <m:r>
                    <m:t>i</m:t>
                  </m:r>
                </m:sub>
              </m:sSub>
            </m:e>
          </m:nary>
          <m:r>
            <m:t>, σ=</m:t>
          </m:r>
          <m:rad>
            <m:radPr>
              <m:degHide m:val="1"/>
            </m:radPr>
            <m:deg>
              <m:r>
                <m:t> </m:t>
              </m:r>
            </m:deg>
            <m:e>
              <m:f>
                <m:num>
                  <m:r>
                    <m:t>1</m:t>
                  </m:r>
                </m:num>
                <m:den>
                  <m:r>
                    <m:t>N</m:t>
                  </m:r>
                </m:den>
              </m:f>
              <m:nary>
                <m:naryPr>
                  <m:chr m:val="∑"/>
                  <m:limLoc m:val="subSup"/>
                </m:naryPr>
                <m:sub>
                  <m:r>
                    <m:t>i=1</m:t>
                  </m:r>
                </m:sub>
                <m:sup>
                  <m:r>
                    <m:t>N</m:t>
                  </m:r>
                </m:sup>
                <m:e>
                  <m:sSup>
                    <m:e>
                      <m:r>
                        <m:t>(</m:t>
                      </m:r>
                      <m:sSub>
                        <m:e>
                          <m:r>
                            <m:t>x</m:t>
                          </m:r>
                        </m:e>
                        <m:sub>
                          <m:r>
                            <m:t>i</m:t>
                          </m:r>
                        </m:sub>
                      </m:sSub>
                      <m:r>
                        <m:t>−μ)</m:t>
                      </m:r>
                    </m:e>
                    <m:sup>
                      <m:r>
                        <m:t>2</m:t>
                      </m:r>
                    </m:sup>
                  </m:sSup>
                </m:e>
              </m:nary>
            </m:e>
          </m:rad>
          <m:r>
            <m:t>, </m:t>
          </m:r>
          <m:sSubSup>
            <m:e>
              <m:r>
                <m:t>x</m:t>
              </m:r>
            </m:e>
            <m:sub>
              <m:r>
                <m:t>i</m:t>
              </m:r>
            </m:sub>
            <m:sup>
              <m:r>
                <m:t>′</m:t>
              </m:r>
            </m:sup>
          </m:sSubSup>
          <m:r>
            <m:t>=</m:t>
          </m:r>
          <m:f>
            <m:num>
              <m:sSub>
                <m:e>
                  <m:r>
                    <m:t>x</m:t>
                  </m:r>
                </m:e>
                <m:sub>
                  <m:r>
                    <m:t>i</m:t>
                  </m:r>
                </m:sub>
              </m:sSub>
              <m:r>
                <m:t>−μ</m:t>
              </m:r>
            </m:num>
            <m:den>
              <m:r>
                <m:t>σ+ε</m:t>
              </m:r>
            </m:den>
          </m:f>
          <m:r>
            <m:t xml:space="preserve">   (1)</m:t>
          </m:r>
        </m:oMath>
      </m:oMathPara>
    </w:p>
    <w:p>
      <w:pPr>
        <w:spacing w:line="235" w:lineRule="auto" w:before="0" w:after="40"/>
        <w:jc w:val="both"/>
      </w:pPr>
      <w:r>
        <w:rPr>
          <w:rFonts w:ascii="Palatino Linotype" w:hAnsi="Palatino Linotype"/>
          <w:sz w:val="19"/>
        </w:rPr>
        <w:t>We normalize each sweep against its own mean and standard deviation rather than global dataset statistics because raw SFRA dB levels vary widely with transformer MVA rating, winding connection, and test-lead impedance. Per-trace z-score scaling strips out vertical offset and gain differences while preserving relative peak heights, notch depths, and slope contours. Adding ε = 10⁻⁶ in the denominator guards against zero-division on flat or saturated inputs.</w:t>
      </w:r>
    </w:p>
    <w:p>
      <w:pPr>
        <w:spacing w:line="240" w:lineRule="auto" w:before="80" w:after="30"/>
        <w:jc w:val="left"/>
      </w:pPr>
      <w:r>
        <w:rPr>
          <w:rFonts w:ascii="Palatino Linotype" w:hAnsi="Palatino Linotype"/>
          <w:b/>
          <w:sz w:val="19"/>
        </w:rPr>
        <w:t>4.2  CNN classification</w:t>
      </w:r>
    </w:p>
    <w:p>
      <w:pPr>
        <w:spacing w:line="240" w:lineRule="auto" w:before="40" w:after="40"/>
        <w:jc w:val="center"/>
      </w:pPr>
      <m:oMathPara>
        <m:oMath>
          <m:acc>
            <m:accPr>
              <m:chr m:val="ˆ"/>
            </m:accPr>
            <m:e>
              <m:r>
                <m:t>p</m:t>
              </m:r>
            </m:e>
          </m:acc>
          <m:r>
            <m:t>=softmax(</m:t>
          </m:r>
          <m:sSub>
            <m:e>
              <m:r>
                <m:t>f</m:t>
              </m:r>
            </m:e>
            <m:sub>
              <m:r>
                <m:t>CNN</m:t>
              </m:r>
            </m:sub>
          </m:sSub>
          <m:r>
            <m:t>(x′)),  </m:t>
          </m:r>
          <m:acc>
            <m:accPr>
              <m:chr m:val="ˆ"/>
            </m:accPr>
            <m:e>
              <m:r>
                <m:t>y</m:t>
              </m:r>
            </m:e>
          </m:acc>
          <m:r>
            <m:t>=</m:t>
          </m:r>
          <m:sSub>
            <m:e>
              <m:r>
                <m:t>argmax</m:t>
              </m:r>
            </m:e>
            <m:sub>
              <m:r>
                <m:t>k∈{1,…,4}</m:t>
              </m:r>
            </m:sub>
          </m:sSub>
          <m:sSub>
            <m:e>
              <m:acc>
                <m:accPr>
                  <m:chr m:val="ˆ"/>
                </m:accPr>
                <m:e>
                  <m:r>
                    <m:t>p</m:t>
                  </m:r>
                </m:e>
              </m:acc>
            </m:e>
            <m:sub>
              <m:r>
                <m:t>k</m:t>
              </m:r>
            </m:sub>
          </m:sSub>
          <m:r>
            <m:t xml:space="preserve">   (2)</m:t>
          </m:r>
        </m:oMath>
      </m:oMathPara>
    </w:p>
    <w:p>
      <w:pPr>
        <w:spacing w:line="235" w:lineRule="auto" w:before="0" w:after="40"/>
        <w:jc w:val="both"/>
      </w:pPr>
      <w:r>
        <w:rPr>
          <w:rFonts w:ascii="Palatino Linotype" w:hAnsi="Palatino Linotype"/>
          <w:sz w:val="19"/>
        </w:rPr>
        <w:t>The network is optimized under multiclass cross-entropy loss:</w:t>
      </w:r>
    </w:p>
    <w:p>
      <w:pPr>
        <w:spacing w:line="240" w:lineRule="auto" w:before="40" w:after="40"/>
        <w:jc w:val="center"/>
      </w:pPr>
      <m:oMathPara>
        <m:oMath>
          <m:sSub>
            <m:e>
              <m:r>
                <m:t>L</m:t>
              </m:r>
            </m:e>
            <m:sub>
              <m:r>
                <m:t>CE</m:t>
              </m:r>
            </m:sub>
          </m:sSub>
          <m:r>
            <m:t>=−</m:t>
          </m:r>
          <m:nary>
            <m:naryPr>
              <m:chr m:val="∑"/>
              <m:limLoc m:val="subSup"/>
            </m:naryPr>
            <m:sub>
              <m:r>
                <m:t>k=1</m:t>
              </m:r>
            </m:sub>
            <m:sup>
              <m:r>
                <m:t>4</m:t>
              </m:r>
            </m:sup>
            <m:e>
              <m:sSub>
                <m:e>
                  <m:r>
                    <m:t>y</m:t>
                  </m:r>
                </m:e>
                <m:sub>
                  <m:r>
                    <m:t>k</m:t>
                  </m:r>
                </m:sub>
              </m:sSub>
              <m:r>
                <m:t> log </m:t>
              </m:r>
              <m:sSub>
                <m:e>
                  <m:acc>
                    <m:accPr>
                      <m:chr m:val="ˆ"/>
                    </m:accPr>
                    <m:e>
                      <m:r>
                        <m:t>p</m:t>
                      </m:r>
                    </m:e>
                  </m:acc>
                </m:e>
                <m:sub>
                  <m:r>
                    <m:t>k</m:t>
                  </m:r>
                </m:sub>
              </m:sSub>
            </m:e>
          </m:nary>
          <m:r>
            <m:t xml:space="preserve">   (3)</m:t>
          </m:r>
        </m:oMath>
      </m:oMathPara>
    </w:p>
    <w:p>
      <w:pPr>
        <w:spacing w:line="235" w:lineRule="auto" w:before="0" w:after="40"/>
        <w:jc w:val="both"/>
      </w:pPr>
      <w:r>
        <w:rPr>
          <w:rFonts w:ascii="Palatino Linotype" w:hAnsi="Palatino Linotype"/>
          <w:sz w:val="19"/>
        </w:rPr>
        <w:t>The UI displays max_k p̂_k as the prediction confidence. Because the four softmax outputs sum to unity, the highest entry reflects how strongly the network favors its chosen severity class over the remaining three grades. Cross-entropy loss penalizes probability mass placed on wrong classes, encouraging sharp posteriors on clear-cut fault signatures [15]. When two classes share similar probability mass, the resulting lower confidence percentage alerts the engineer that the sweep sits near a severity boundary.</w:t>
      </w:r>
    </w:p>
    <w:p>
      <w:pPr>
        <w:spacing w:line="240" w:lineRule="auto" w:before="80" w:after="30"/>
        <w:jc w:val="left"/>
      </w:pPr>
      <w:r>
        <w:rPr>
          <w:rFonts w:ascii="Palatino Linotype" w:hAnsi="Palatino Linotype"/>
          <w:b/>
          <w:sz w:val="19"/>
        </w:rPr>
        <w:t>4.3  Autoencoder and anomaly score</w:t>
      </w:r>
    </w:p>
    <w:p>
      <w:pPr>
        <w:spacing w:line="240" w:lineRule="auto" w:before="40" w:after="40"/>
        <w:jc w:val="center"/>
      </w:pPr>
      <m:oMathPara>
        <m:oMath>
          <m:sSup>
            <m:e>
              <m:acc>
                <m:accPr>
                  <m:chr m:val="ˆ"/>
                </m:accPr>
                <m:e>
                  <m:r>
                    <m:t>x</m:t>
                  </m:r>
                </m:e>
              </m:acc>
            </m:e>
            <m:sup>
              <m:r>
                <m:t>′</m:t>
              </m:r>
            </m:sup>
          </m:sSup>
          <m:r>
            <m:t>=</m:t>
          </m:r>
          <m:sSub>
            <m:e>
              <m:r>
                <m:t>f</m:t>
              </m:r>
            </m:e>
            <m:sub>
              <m:r>
                <m:t>AE</m:t>
              </m:r>
            </m:sub>
          </m:sSub>
          <m:r>
            <m:t>(x′),  e=</m:t>
          </m:r>
          <m:f>
            <m:num>
              <m:r>
                <m:t>1</m:t>
              </m:r>
            </m:num>
            <m:den>
              <m:r>
                <m:t>N</m:t>
              </m:r>
            </m:den>
          </m:f>
          <m:nary>
            <m:naryPr>
              <m:chr m:val="∑"/>
              <m:limLoc m:val="subSup"/>
            </m:naryPr>
            <m:sub>
              <m:r>
                <m:t>i=1</m:t>
              </m:r>
            </m:sub>
            <m:sup>
              <m:r>
                <m:t>N</m:t>
              </m:r>
            </m:sup>
            <m:e>
              <m:sSup>
                <m:e>
                  <m:r>
                    <m:t>(</m:t>
                  </m:r>
                  <m:sSubSup>
                    <m:e>
                      <m:r>
                        <m:t>x</m:t>
                      </m:r>
                    </m:e>
                    <m:sub>
                      <m:r>
                        <m:t>i</m:t>
                      </m:r>
                    </m:sub>
                    <m:sup>
                      <m:r>
                        <m:t>′</m:t>
                      </m:r>
                    </m:sup>
                  </m:sSubSup>
                  <m:r>
                    <m:t>−</m:t>
                  </m:r>
                  <m:sSubSup>
                    <m:e>
                      <m:acc>
                        <m:accPr>
                          <m:chr m:val="ˆ"/>
                        </m:accPr>
                        <m:e>
                          <m:r>
                            <m:t>x</m:t>
                          </m:r>
                        </m:e>
                      </m:acc>
                    </m:e>
                    <m:sub>
                      <m:r>
                        <m:t>i</m:t>
                      </m:r>
                    </m:sub>
                    <m:sup>
                      <m:r>
                        <m:t>′</m:t>
                      </m:r>
                    </m:sup>
                  </m:sSubSup>
                  <m:r>
                    <m:t>)</m:t>
                  </m:r>
                </m:e>
                <m:sup>
                  <m:r>
                    <m:t>2</m:t>
                  </m:r>
                </m:sup>
              </m:sSup>
            </m:e>
          </m:nary>
          <m:r>
            <m:t xml:space="preserve">   (4)</m:t>
          </m:r>
        </m:oMath>
      </m:oMathPara>
    </w:p>
    <w:p>
      <w:pPr>
        <w:spacing w:line="240" w:lineRule="auto" w:before="40" w:after="40"/>
        <w:jc w:val="center"/>
      </w:pPr>
      <m:oMathPara>
        <m:oMath>
          <m:sSub>
            <m:e>
              <m:r>
                <m:t>s</m:t>
              </m:r>
            </m:e>
            <m:sub>
              <m:r>
                <m:t>anom</m:t>
              </m:r>
            </m:sub>
          </m:sSub>
          <m:r>
            <m:t>=</m:t>
          </m:r>
          <m:f>
            <m:num>
              <m:r>
                <m:t>e</m:t>
              </m:r>
            </m:num>
            <m:den>
              <m:r>
                <m:t>τ+ε</m:t>
              </m:r>
            </m:den>
          </m:f>
          <m:r>
            <m:t xml:space="preserve">   (5)</m:t>
          </m:r>
        </m:oMath>
      </m:oMathPara>
    </w:p>
    <w:p>
      <w:pPr>
        <w:spacing w:line="235" w:lineRule="auto" w:before="0" w:after="40"/>
        <w:jc w:val="both"/>
      </w:pPr>
      <w:r>
        <w:rPr>
          <w:rFonts w:ascii="Palatino Linotype" w:hAnsi="Palatino Linotype"/>
          <w:sz w:val="19"/>
        </w:rPr>
        <w:t>Here τ denotes the 95th-percentile healthy reconstruction threshold saved in ml_meta.json. Sweeps producing e &gt; τ are flagged as anomalous in binary evaluation [16]. During training, the autoencoder minimizes mean squared reconstruction error across healthy sweeps:</w:t>
      </w:r>
    </w:p>
    <w:p>
      <w:pPr>
        <w:spacing w:line="240" w:lineRule="auto" w:before="40" w:after="40"/>
        <w:jc w:val="center"/>
      </w:pPr>
      <m:oMathPara>
        <m:oMath>
          <m:sSub>
            <m:e>
              <m:r>
                <m:t>L</m:t>
              </m:r>
            </m:e>
            <m:sub>
              <m:r>
                <m:t>AE</m:t>
              </m:r>
            </m:sub>
          </m:sSub>
          <m:r>
            <m:t>=</m:t>
          </m:r>
          <m:f>
            <m:num>
              <m:r>
                <m:t>1</m:t>
              </m:r>
            </m:num>
            <m:den>
              <m:r>
                <m:t>N</m:t>
              </m:r>
            </m:den>
          </m:f>
          <m:nary>
            <m:naryPr>
              <m:chr m:val="∑"/>
              <m:limLoc m:val="subSup"/>
            </m:naryPr>
            <m:sub>
              <m:r>
                <m:t>i=1</m:t>
              </m:r>
            </m:sub>
            <m:sup>
              <m:r>
                <m:t>N</m:t>
              </m:r>
            </m:sup>
            <m:e>
              <m:sSup>
                <m:e>
                  <m:r>
                    <m:t>(</m:t>
                  </m:r>
                  <m:sSubSup>
                    <m:e>
                      <m:r>
                        <m:t>x</m:t>
                      </m:r>
                    </m:e>
                    <m:sub>
                      <m:r>
                        <m:t>i</m:t>
                      </m:r>
                    </m:sub>
                    <m:sup>
                      <m:r>
                        <m:t>′</m:t>
                      </m:r>
                    </m:sup>
                  </m:sSubSup>
                  <m:r>
                    <m:t>−</m:t>
                  </m:r>
                  <m:sSubSup>
                    <m:e>
                      <m:acc>
                        <m:accPr>
                          <m:chr m:val="ˆ"/>
                        </m:accPr>
                        <m:e>
                          <m:r>
                            <m:t>x</m:t>
                          </m:r>
                        </m:e>
                      </m:acc>
                    </m:e>
                    <m:sub>
                      <m:r>
                        <m:t>i</m:t>
                      </m:r>
                    </m:sub>
                    <m:sup>
                      <m:r>
                        <m:t>′</m:t>
                      </m:r>
                    </m:sup>
                  </m:sSubSup>
                  <m:r>
                    <m:t>)</m:t>
                  </m:r>
                </m:e>
                <m:sup>
                  <m:r>
                    <m:t>2</m:t>
                  </m:r>
                </m:sup>
              </m:sSup>
            </m:e>
          </m:nary>
          <m:r>
            <m:t xml:space="preserve">   (6)</m:t>
          </m:r>
        </m:oMath>
      </m:oMathPara>
    </w:p>
    <w:p>
      <w:pPr>
        <w:spacing w:line="235" w:lineRule="auto" w:before="0" w:after="40"/>
        <w:jc w:val="both"/>
      </w:pPr>
      <w:r>
        <w:rPr>
          <w:rFonts w:ascii="Palatino Linotype" w:hAnsi="Palatino Linotype"/>
          <w:sz w:val="19"/>
        </w:rPr>
        <w:t>Dividing e by τ + ε makes s_anom a unitless ratio anchored to healthy training variability. A score of 1.0 sits right at the 95th percentile of normal reconstruction error. Values above 1.0 indicate that the sweep deviates further from the learned healthy manifold than 95% of normal training traces, providing a continuous novelty gauge alongside the CNN's discrete four-class label. Expressing anomaly severity as a multiple of τ is also intuitive for field crews: a score of 3.0 means the trace's reconstruction error is three times the normal ceiling.</w:t>
      </w:r>
    </w:p>
    <w:p>
      <w:pPr>
        <w:spacing w:line="240" w:lineRule="auto" w:before="80" w:after="30"/>
        <w:jc w:val="left"/>
      </w:pPr>
      <w:r>
        <w:rPr>
          <w:rFonts w:ascii="Palatino Linotype" w:hAnsi="Palatino Linotype"/>
          <w:b/>
          <w:sz w:val="19"/>
        </w:rPr>
        <w:t>4.4  Rule-based / FFT explainability features</w:t>
      </w:r>
    </w:p>
    <w:p>
      <w:pPr>
        <w:spacing w:line="235" w:lineRule="auto" w:before="0" w:after="40"/>
        <w:jc w:val="both"/>
      </w:pPr>
      <w:r>
        <w:rPr>
          <w:rFonts w:ascii="Palatino Linotype" w:hAnsi="Palatino Linotype"/>
          <w:sz w:val="19"/>
        </w:rPr>
        <w:t>When operating in deterministic fallback mode, fra_model.py evaluates signal energy and high-frequency FFT magnitude sum:</w:t>
      </w:r>
    </w:p>
    <w:p>
      <w:pPr>
        <w:spacing w:line="240" w:lineRule="auto" w:before="40" w:after="40"/>
        <w:jc w:val="center"/>
      </w:pPr>
      <m:oMathPara>
        <m:oMath>
          <m:r>
            <m:t>E=</m:t>
          </m:r>
          <m:nary>
            <m:naryPr>
              <m:chr m:val="∑"/>
              <m:limLoc m:val="subSup"/>
            </m:naryPr>
            <m:sub>
              <m:r>
                <m:t>i=1</m:t>
              </m:r>
            </m:sub>
            <m:sup>
              <m:r>
                <m:t>N</m:t>
              </m:r>
            </m:sup>
            <m:e>
              <m:sSubSup>
                <m:e>
                  <m:r>
                    <m:t>x</m:t>
                  </m:r>
                </m:e>
                <m:sub>
                  <m:r>
                    <m:t>i</m:t>
                  </m:r>
                </m:sub>
                <m:sup>
                  <m:r>
                    <m:t>2</m:t>
                  </m:r>
                </m:sup>
              </m:sSubSup>
            </m:e>
          </m:nary>
          <m:r>
            <m:t>,  </m:t>
          </m:r>
          <m:sSub>
            <m:e>
              <m:r>
                <m:t>E</m:t>
              </m:r>
            </m:e>
            <m:sub>
              <m:r>
                <m:t>spec</m:t>
              </m:r>
            </m:sub>
          </m:sSub>
          <m:r>
            <m:t>=</m:t>
          </m:r>
          <m:nary>
            <m:naryPr>
              <m:chr m:val="∑"/>
              <m:limLoc m:val="subSup"/>
            </m:naryPr>
            <m:sub>
              <m:r>
                <m:t>k=N/2</m:t>
              </m:r>
            </m:sub>
            <m:sup>
              <m:r>
                <m:t>N</m:t>
              </m:r>
            </m:sup>
            <m:e>
              <m:r>
                <m:t>|</m:t>
              </m:r>
              <m:sSub>
                <m:e>
                  <m:r>
                    <m:t>F(x)</m:t>
                  </m:r>
                </m:e>
                <m:sub>
                  <m:r>
                    <m:t>k</m:t>
                  </m:r>
                </m:sub>
              </m:sSub>
              <m:r>
                <m:t>|</m:t>
              </m:r>
            </m:e>
          </m:nary>
          <m:r>
            <m:t xml:space="preserve">   (7)</m:t>
          </m:r>
        </m:oMath>
      </m:oMathPara>
    </w:p>
    <w:p>
      <w:pPr>
        <w:spacing w:line="235" w:lineRule="auto" w:before="0" w:after="40"/>
        <w:jc w:val="both"/>
      </w:pPr>
      <w:r>
        <w:rPr>
          <w:rFonts w:ascii="Palatino Linotype" w:hAnsi="Palatino Linotype"/>
          <w:sz w:val="19"/>
        </w:rPr>
        <w:t>alongside the series mean, standard deviation, peak-to-peak range, and mean-crossing count. Threshold flags on these four statistics drive the rule-based classifier whenever PyTorch weights are absent.</w:t>
      </w:r>
    </w:p>
    <w:p>
      <w:pPr>
        <w:spacing w:line="240" w:lineRule="auto" w:before="80" w:after="30"/>
        <w:jc w:val="left"/>
      </w:pPr>
      <w:r>
        <w:rPr>
          <w:rFonts w:ascii="Palatino Linotype" w:hAnsi="Palatino Linotype"/>
          <w:b/>
          <w:sz w:val="19"/>
        </w:rPr>
        <w:t>4.5  Shape-override features (post-ML)</w:t>
      </w:r>
    </w:p>
    <w:p>
      <w:pPr>
        <w:spacing w:line="240" w:lineRule="auto" w:before="40" w:after="40"/>
        <w:jc w:val="center"/>
      </w:pPr>
      <m:oMathPara>
        <m:oMath>
          <m:r>
            <m:t>Δ</m:t>
          </m:r>
          <m:sSub>
            <m:e>
              <m:r>
                <m:t>x</m:t>
              </m:r>
            </m:e>
            <m:sub>
              <m:r>
                <m:t>i</m:t>
              </m:r>
            </m:sub>
          </m:sSub>
          <m:r>
            <m:t>=</m:t>
          </m:r>
          <m:sSub>
            <m:e>
              <m:r>
                <m:t>x</m:t>
              </m:r>
            </m:e>
            <m:sub>
              <m:r>
                <m:t>i+1</m:t>
              </m:r>
            </m:sub>
          </m:sSub>
          <m:r>
            <m:t>−</m:t>
          </m:r>
          <m:sSub>
            <m:e>
              <m:r>
                <m:t>x</m:t>
              </m:r>
            </m:e>
            <m:sub>
              <m:r>
                <m:t>i</m:t>
              </m:r>
            </m:sub>
          </m:sSub>
          <m:r>
            <m:t xml:space="preserve">   (8)</m:t>
          </m:r>
        </m:oMath>
      </m:oMathPara>
    </w:p>
    <w:p>
      <w:pPr>
        <w:spacing w:line="235" w:lineRule="auto" w:before="0" w:after="40"/>
        <w:jc w:val="both"/>
      </w:pPr>
      <w:r>
        <w:rPr>
          <w:rFonts w:ascii="Palatino Linotype" w:hAnsi="Palatino Linotype"/>
          <w:sz w:val="19"/>
        </w:rPr>
        <w:t>Smoothness: std(Δx); Monotonic ratio: fraction of Δxᵢ &lt; 0 (roll-off-like, healthy curves); Peak count: number of local maxima along the series. These three morphological checks guard against over-calling faults on clean, monotonically decaying sweeps while catching severe multi-peak ringing.</w:t>
      </w:r>
    </w:p>
    <w:p>
      <w:pPr>
        <w:spacing w:line="240" w:lineRule="auto" w:before="80" w:after="30"/>
        <w:jc w:val="left"/>
      </w:pPr>
      <w:r>
        <w:rPr>
          <w:rFonts w:ascii="Palatino Linotype" w:hAnsi="Palatino Linotype"/>
          <w:b/>
          <w:sz w:val="19"/>
        </w:rPr>
        <w:t>4.6  Evaluation metrics</w:t>
      </w:r>
    </w:p>
    <w:p>
      <w:pPr>
        <w:spacing w:line="240" w:lineRule="auto" w:before="40" w:after="40"/>
        <w:jc w:val="center"/>
      </w:pPr>
      <m:oMathPara>
        <m:oMath>
          <m:r>
            <m:t>Accuracy=</m:t>
          </m:r>
          <m:f>
            <m:num>
              <m:r>
                <m:t>TP+TN</m:t>
              </m:r>
            </m:num>
            <m:den>
              <m:r>
                <m:t>TP+TN+FP+FN</m:t>
              </m:r>
            </m:den>
          </m:f>
          <m:r>
            <m:t xml:space="preserve">   (9)</m:t>
          </m:r>
        </m:oMath>
      </m:oMathPara>
    </w:p>
    <w:p>
      <w:pPr>
        <w:spacing w:line="240" w:lineRule="auto" w:before="40" w:after="40"/>
        <w:jc w:val="center"/>
      </w:pPr>
      <m:oMathPara>
        <m:oMath>
          <m:r>
            <m:t>Precision=</m:t>
          </m:r>
          <m:f>
            <m:num>
              <m:r>
                <m:t>TP</m:t>
              </m:r>
            </m:num>
            <m:den>
              <m:r>
                <m:t>TP+FP</m:t>
              </m:r>
            </m:den>
          </m:f>
          <m:r>
            <m:t>,  Recall=</m:t>
          </m:r>
          <m:f>
            <m:num>
              <m:r>
                <m:t>TP</m:t>
              </m:r>
            </m:num>
            <m:den>
              <m:r>
                <m:t>TP+FN</m:t>
              </m:r>
            </m:den>
          </m:f>
          <m:r>
            <m:t xml:space="preserve">   (10)</m:t>
          </m:r>
        </m:oMath>
      </m:oMathPara>
    </w:p>
    <w:p>
      <w:pPr>
        <w:spacing w:line="240" w:lineRule="auto" w:before="40" w:after="40"/>
        <w:jc w:val="center"/>
      </w:pPr>
      <m:oMathPara>
        <m:oMath>
          <m:sSub>
            <m:e>
              <m:r>
                <m:t>F</m:t>
              </m:r>
            </m:e>
            <m:sub>
              <m:r>
                <m:t>1</m:t>
              </m:r>
            </m:sub>
          </m:sSub>
          <m:r>
            <m:t>=</m:t>
          </m:r>
          <m:f>
            <m:num>
              <m:r>
                <m:t>2·(Precision·Recall)</m:t>
              </m:r>
            </m:num>
            <m:den>
              <m:r>
                <m:t>Precision+Recall</m:t>
              </m:r>
            </m:den>
          </m:f>
          <m:r>
            <m:t xml:space="preserve">   (11)</m:t>
          </m:r>
        </m:oMath>
      </m:oMathPara>
    </w:p>
    <w:p>
      <w:pPr>
        <w:spacing w:line="235" w:lineRule="auto" w:before="0" w:after="40"/>
        <w:jc w:val="both"/>
      </w:pPr>
      <w:r>
        <w:rPr>
          <w:rFonts w:ascii="Palatino Linotype" w:hAnsi="Palatino Linotype"/>
          <w:sz w:val="19"/>
        </w:rPr>
        <w:t>We report weighted F1 alongside macro F1 for the four-class CNN so class support is reflected accurately, whereas binary precision, recall, and F1 are used for the Normal-vs-Fault autoencoder task. In fault screening, recall carries the highest operational weight because missing an incipient short circuit is far costlier than inspecting a false alarm. All metrics are computed via scikit-learn [19].</w:t>
      </w:r>
    </w:p>
    <w:p>
      <w:pPr>
        <w:pStyle w:val="ListParagraph"/>
        <w:numPr>
          <w:ilvl w:val="0"/>
          <w:numId w:val="1"/>
        </w:numPr>
        <w:spacing w:before="120" w:after="40" w:line="240" w:lineRule="auto"/>
      </w:pPr>
      <w:r>
        <w:rPr>
          <w:rFonts w:ascii="Palatino Linotype" w:hAnsi="Palatino Linotype"/>
          <w:b/>
          <w:sz w:val="20"/>
        </w:rPr>
        <w:t>Synthetic Data Generation</w:t>
      </w:r>
    </w:p>
    <w:p>
      <w:pPr>
        <w:spacing w:line="235" w:lineRule="auto" w:before="0" w:after="40"/>
        <w:jc w:val="both"/>
      </w:pPr>
      <w:r>
        <w:rPr>
          <w:rFonts w:ascii="Palatino Linotype" w:hAnsi="Palatino Linotype"/>
          <w:sz w:val="19"/>
        </w:rPr>
        <w:t>Because utilities rarely publish labeled SFRA recordings from transformers with confirmed internal damage, we trained IntelliFRA on a physics-informed synthetic corpus generated by physics_fra_synthesis.py and generate_dataset.py. The generator models winding resonances through a stochastic lumped-mode formulation rather than computationally heavy 3D finite-element meshes.</w:t>
      </w:r>
    </w:p>
    <w:p>
      <w:pPr>
        <w:spacing w:line="240" w:lineRule="auto" w:before="80" w:after="30"/>
        <w:jc w:val="left"/>
      </w:pPr>
      <w:r>
        <w:rPr>
          <w:rFonts w:ascii="Palatino Linotype" w:hAnsi="Palatino Linotype"/>
          <w:b/>
          <w:sz w:val="19"/>
        </w:rPr>
        <w:t>5.1  Frequency grid and mode synthesis</w:t>
      </w:r>
    </w:p>
    <w:p>
      <w:pPr>
        <w:spacing w:line="235" w:lineRule="auto" w:before="0" w:after="40"/>
        <w:jc w:val="both"/>
      </w:pPr>
      <w:r>
        <w:rPr>
          <w:rFonts w:ascii="Palatino Linotype" w:hAnsi="Palatino Linotype"/>
          <w:sz w:val="19"/>
        </w:rPr>
        <w:t>Five hundred logarithmically spaced frequency points are sampled across f ∈ [10³, 2 × 10⁶] Hz and mapped onto the unit interval [0, 1]:</w:t>
      </w:r>
    </w:p>
    <w:p>
      <w:pPr>
        <w:spacing w:line="240" w:lineRule="auto" w:before="40" w:after="40"/>
        <w:jc w:val="center"/>
      </w:pPr>
      <m:oMathPara>
        <m:oMath>
          <m:acc>
            <m:accPr>
              <m:chr m:val="˜"/>
            </m:accPr>
            <m:e>
              <m:r>
                <m:t>f</m:t>
              </m:r>
            </m:e>
          </m:acc>
          <m:r>
            <m:t>=</m:t>
          </m:r>
          <m:f>
            <m:num>
              <m:sSub>
                <m:e>
                  <m:r>
                    <m:t>log</m:t>
                  </m:r>
                </m:e>
                <m:sub>
                  <m:r>
                    <m:t>10</m:t>
                  </m:r>
                </m:sub>
              </m:sSub>
              <m:r>
                <m:t>(f)−</m:t>
              </m:r>
              <m:sSub>
                <m:e>
                  <m:r>
                    <m:t>log</m:t>
                  </m:r>
                </m:e>
                <m:sub>
                  <m:r>
                    <m:t>10</m:t>
                  </m:r>
                </m:sub>
              </m:sSub>
              <m:r>
                <m:t>(</m:t>
              </m:r>
              <m:sSub>
                <m:e>
                  <m:r>
                    <m:t>f</m:t>
                  </m:r>
                </m:e>
                <m:sub>
                  <m:r>
                    <m:t>min</m:t>
                  </m:r>
                </m:sub>
              </m:sSub>
              <m:r>
                <m:t>)</m:t>
              </m:r>
            </m:num>
            <m:den>
              <m:sSub>
                <m:e>
                  <m:r>
                    <m:t>log</m:t>
                  </m:r>
                </m:e>
                <m:sub>
                  <m:r>
                    <m:t>10</m:t>
                  </m:r>
                </m:sub>
              </m:sSub>
              <m:r>
                <m:t>(</m:t>
              </m:r>
              <m:sSub>
                <m:e>
                  <m:r>
                    <m:t>f</m:t>
                  </m:r>
                </m:e>
                <m:sub>
                  <m:r>
                    <m:t>max</m:t>
                  </m:r>
                </m:sub>
              </m:sSub>
              <m:r>
                <m:t>)−</m:t>
              </m:r>
              <m:sSub>
                <m:e>
                  <m:r>
                    <m:t>log</m:t>
                  </m:r>
                </m:e>
                <m:sub>
                  <m:r>
                    <m:t>10</m:t>
                  </m:r>
                </m:sub>
              </m:sSub>
              <m:r>
                <m:t>(</m:t>
              </m:r>
              <m:sSub>
                <m:e>
                  <m:r>
                    <m:t>f</m:t>
                  </m:r>
                </m:e>
                <m:sub>
                  <m:r>
                    <m:t>min</m:t>
                  </m:r>
                </m:sub>
              </m:sSub>
              <m:r>
                <m:t>)</m:t>
              </m:r>
            </m:den>
          </m:f>
          <m:r>
            <m:t>,  0≤</m:t>
          </m:r>
          <m:acc>
            <m:accPr>
              <m:chr m:val="˜"/>
            </m:accPr>
            <m:e>
              <m:r>
                <m:t>f</m:t>
              </m:r>
            </m:e>
          </m:acc>
          <m:r>
            <m:t>≤1</m:t>
          </m:r>
          <m:r>
            <m:t xml:space="preserve">   (12)</m:t>
          </m:r>
        </m:oMath>
      </m:oMathPara>
    </w:p>
    <w:p>
      <w:pPr>
        <w:spacing w:line="235" w:lineRule="auto" w:before="0" w:after="40"/>
        <w:jc w:val="both"/>
      </w:pPr>
      <w:r>
        <w:rPr>
          <w:rFonts w:ascii="Palatino Linotype" w:hAnsi="Palatino Linotype"/>
          <w:sz w:val="19"/>
        </w:rPr>
        <w:t>Each synthetic sweep draws N_m ~ U{8, 12} resonant modes, where mode k is parameterized by center location c_k ∈ [0, 1], quality factor Q_k ~ U(4, 14), and peak gain A_k ~ U(0.35, 1.4). Individual modes follow a Lorentzian resonance profile:</w:t>
      </w:r>
    </w:p>
    <w:p>
      <w:pPr>
        <w:spacing w:line="240" w:lineRule="auto" w:before="40" w:after="40"/>
        <w:jc w:val="center"/>
      </w:pPr>
      <m:oMathPara>
        <m:oMath>
          <m:sSub>
            <m:e>
              <m:r>
                <m:t>R</m:t>
              </m:r>
            </m:e>
            <m:sub>
              <m:r>
                <m:t>k</m:t>
              </m:r>
            </m:sub>
          </m:sSub>
          <m:r>
            <m:t>(</m:t>
          </m:r>
          <m:acc>
            <m:accPr>
              <m:chr m:val="˜"/>
            </m:accPr>
            <m:e>
              <m:r>
                <m:t>f</m:t>
              </m:r>
            </m:e>
          </m:acc>
          <m:r>
            <m:t>)=</m:t>
          </m:r>
          <m:f>
            <m:num>
              <m:sSub>
                <m:e>
                  <m:r>
                    <m:t>A</m:t>
                  </m:r>
                </m:e>
                <m:sub>
                  <m:r>
                    <m:t>k</m:t>
                  </m:r>
                </m:sub>
              </m:sSub>
            </m:num>
            <m:den>
              <m:r>
                <m:t>1+</m:t>
              </m:r>
              <m:sSup>
                <m:e>
                  <m:r>
                    <m:t>((</m:t>
                  </m:r>
                  <m:acc>
                    <m:accPr>
                      <m:chr m:val="˜"/>
                    </m:accPr>
                    <m:e>
                      <m:r>
                        <m:t>f</m:t>
                      </m:r>
                    </m:e>
                  </m:acc>
                  <m:r>
                    <m:t>−</m:t>
                  </m:r>
                  <m:sSub>
                    <m:e>
                      <m:r>
                        <m:t>c</m:t>
                      </m:r>
                    </m:e>
                    <m:sub>
                      <m:r>
                        <m:t>k</m:t>
                      </m:r>
                    </m:sub>
                  </m:sSub>
                  <m:r>
                    <m:t>)/</m:t>
                  </m:r>
                  <m:sSub>
                    <m:e>
                      <m:r>
                        <m:t>w</m:t>
                      </m:r>
                    </m:e>
                    <m:sub>
                      <m:r>
                        <m:t>k</m:t>
                      </m:r>
                    </m:sub>
                  </m:sSub>
                  <m:r>
                    <m:t>)</m:t>
                  </m:r>
                </m:e>
                <m:sup>
                  <m:r>
                    <m:t>2</m:t>
                  </m:r>
                </m:sup>
              </m:sSup>
            </m:den>
          </m:f>
          <m:r>
            <m:t>,  </m:t>
          </m:r>
          <m:sSub>
            <m:e>
              <m:r>
                <m:t>w</m:t>
              </m:r>
            </m:e>
            <m:sub>
              <m:r>
                <m:t>k</m:t>
              </m:r>
            </m:sub>
          </m:sSub>
          <m:r>
            <m:t>=max(0.008, </m:t>
          </m:r>
          <m:f>
            <m:num>
              <m:r>
                <m:t>0.12</m:t>
              </m:r>
            </m:num>
            <m:den>
              <m:r>
                <m:t>max(</m:t>
              </m:r>
              <m:sSub>
                <m:e>
                  <m:r>
                    <m:t>Q</m:t>
                  </m:r>
                </m:e>
                <m:sub>
                  <m:r>
                    <m:t>k</m:t>
                  </m:r>
                </m:sub>
              </m:sSub>
              <m:r>
                <m:t>, 0.5)</m:t>
              </m:r>
            </m:den>
          </m:f>
          <m:r>
            <m:t>)</m:t>
          </m:r>
          <m:r>
            <m:t xml:space="preserve">   (13)</m:t>
          </m:r>
        </m:oMath>
      </m:oMathPara>
    </w:p>
    <w:p>
      <w:pPr>
        <w:spacing w:line="235" w:lineRule="auto" w:before="0" w:after="40"/>
        <w:jc w:val="both"/>
      </w:pPr>
      <w:r>
        <w:rPr>
          <w:rFonts w:ascii="Palatino Linotype" w:hAnsi="Palatino Linotype"/>
          <w:sz w:val="19"/>
        </w:rPr>
        <w:t>Superimposing the N_m resonant modes yields the baseline transfer response:</w:t>
      </w:r>
    </w:p>
    <w:p>
      <w:pPr>
        <w:spacing w:line="240" w:lineRule="auto" w:before="40" w:after="40"/>
        <w:jc w:val="center"/>
      </w:pPr>
      <m:oMathPara>
        <m:oMath>
          <m:r>
            <m:t>x(</m:t>
          </m:r>
          <m:acc>
            <m:accPr>
              <m:chr m:val="˜"/>
            </m:accPr>
            <m:e>
              <m:r>
                <m:t>f</m:t>
              </m:r>
            </m:e>
          </m:acc>
          <m:r>
            <m:t>)=</m:t>
          </m:r>
          <m:nary>
            <m:naryPr>
              <m:chr m:val="∑"/>
              <m:limLoc m:val="subSup"/>
            </m:naryPr>
            <m:sub>
              <m:r>
                <m:t>k=1</m:t>
              </m:r>
            </m:sub>
            <m:sup>
              <m:sSub>
                <m:e>
                  <m:r>
                    <m:t>N</m:t>
                  </m:r>
                </m:e>
                <m:sub>
                  <m:r>
                    <m:t>m</m:t>
                  </m:r>
                </m:sub>
              </m:sSub>
            </m:sup>
            <m:e>
              <m:sSub>
                <m:e>
                  <m:r>
                    <m:t>R</m:t>
                  </m:r>
                </m:e>
                <m:sub>
                  <m:r>
                    <m:t>k</m:t>
                  </m:r>
                </m:sub>
              </m:sSub>
              <m:r>
                <m:t>(</m:t>
              </m:r>
              <m:acc>
                <m:accPr>
                  <m:chr m:val="˜"/>
                </m:accPr>
                <m:e>
                  <m:r>
                    <m:t>f</m:t>
                  </m:r>
                </m:e>
              </m:acc>
              <m:r>
                <m:t>)</m:t>
              </m:r>
            </m:e>
          </m:nary>
          <m:r>
            <m:t xml:space="preserve">   (14)</m:t>
          </m:r>
        </m:oMath>
      </m:oMathPara>
    </w:p>
    <w:p>
      <w:pPr>
        <w:spacing w:line="235" w:lineRule="auto" w:before="0" w:after="40"/>
        <w:jc w:val="both"/>
      </w:pPr>
      <w:r>
        <w:rPr>
          <w:rFonts w:ascii="Palatino Linotype" w:hAnsi="Palatino Linotype"/>
          <w:sz w:val="19"/>
        </w:rPr>
        <w:t>This superposition of Lorentzian modes serves as a fast parametric counterpart to full double-ladder circuit simulations such as Zhang, Wang, Yuan, and Tao [14], who solve coupled differential equations derived from finite-element geometry. While a lumped-mode sum does not track individual turn-to-turn mutual inductances, it captures the primary spectral features that diagnostic engineers inspect: distributed resonance poles across decades of frequency, damping controlled by Q_k, and capacitive high-frequency attenuation. Sampling mode counts, centers, damping factors, and gains randomly across each draw produces a diverse population of virtual transformers rather than perturbations of a single fixed curve.</w:t>
      </w:r>
    </w:p>
    <w:p>
      <w:pPr>
        <w:spacing w:line="240" w:lineRule="auto" w:before="80" w:after="30"/>
        <w:jc w:val="left"/>
      </w:pPr>
      <w:r>
        <w:rPr>
          <w:rFonts w:ascii="Palatino Linotype" w:hAnsi="Palatino Linotype"/>
          <w:b/>
          <w:sz w:val="19"/>
        </w:rPr>
        <w:t>5.2  Fault taxonomy</w:t>
      </w:r>
    </w:p>
    <w:p>
      <w:pPr>
        <w:spacing w:line="235" w:lineRule="auto" w:before="0" w:after="40"/>
        <w:jc w:val="both"/>
      </w:pPr>
      <w:r>
        <w:rPr>
          <w:rFonts w:ascii="Palatino Linotype" w:hAnsi="Palatino Linotype"/>
          <w:sz w:val="19"/>
        </w:rPr>
        <w:t>Six physical fault mechanisms reported in high-voltage literature are simulated and grouped into four operational severity grades (Table 1).</w:t>
      </w:r>
    </w:p>
    <w:p>
      <w:pPr>
        <w:spacing w:line="240" w:lineRule="auto" w:before="60" w:after="40"/>
        <w:jc w:val="left"/>
      </w:pPr>
      <w:r>
        <w:rPr>
          <w:rFonts w:ascii="Palatino Linotype" w:hAnsi="Palatino Linotype"/>
          <w:b/>
          <w:sz w:val="17"/>
        </w:rPr>
        <w:t xml:space="preserve">Table. 1: </w:t>
      </w:r>
      <w:r>
        <w:rPr>
          <w:rFonts w:ascii="Palatino Linotype" w:hAnsi="Palatino Linotype"/>
          <w:sz w:val="17"/>
        </w:rPr>
        <w:t>Fault archetypes and their mapping to IntelliFRA severity labels</w:t>
      </w:r>
    </w:p>
    <w:tbl>
      <w:tblPr>
        <w:tblW w:type="auto" w:w="0"/>
        <w:jc w:val="center"/>
        <w:tblLayout w:type="fixed"/>
        <w:tblLook w:firstColumn="1" w:firstRow="1" w:lastColumn="0" w:lastRow="0" w:noHBand="0" w:noVBand="1" w:val="04A0"/>
      </w:tblPr>
      <w:tblGrid>
        <w:gridCol w:w="2620"/>
        <w:gridCol w:w="2620"/>
        <w:gridCol w:w="2620"/>
        <w:gridCol w:w="2620"/>
      </w:tblGrid>
      <w:tr>
        <w:tc>
          <w:tcPr>
            <w:tcW w:type="dxa" w:w="792"/>
            <w:shd w:fill="D6E3BC"/>
            <w:tcBorders>
              <w:top w:val="single" w:sz="6" w:space="0" w:color="auto"/>
              <w:bottom w:val="single" w:sz="6" w:space="0" w:color="auto"/>
              <w:left w:val="none" w:sz="6" w:space="0" w:color="auto"/>
              <w:right w:val="none" w:sz="6" w:space="0" w:color="auto"/>
            </w:tcBorders>
            <w:tcMar>
              <w:top w:w="40" w:type="dxa"/>
              <w:bottom w:w="40" w:type="dxa"/>
              <w:left w:w="60" w:type="dxa"/>
              <w:right w:w="60" w:type="dxa"/>
            </w:tcMar>
          </w:tcPr>
          <w:p>
            <w:pPr>
              <w:spacing w:before="20" w:after="20" w:line="240" w:lineRule="auto"/>
              <w:jc w:val="center"/>
            </w:pPr>
            <w:r>
              <w:rPr>
                <w:rFonts w:ascii="Palatino Linotype" w:hAnsi="Palatino Linotype"/>
                <w:b/>
                <w:color w:val="000000"/>
                <w:sz w:val="16"/>
              </w:rPr>
              <w:t>Archetype</w:t>
            </w:r>
          </w:p>
        </w:tc>
        <w:tc>
          <w:tcPr>
            <w:tcW w:type="dxa" w:w="1152"/>
            <w:shd w:fill="D6E3BC"/>
            <w:tcBorders>
              <w:top w:val="single" w:sz="6" w:space="0" w:color="auto"/>
              <w:bottom w:val="single" w:sz="6" w:space="0" w:color="auto"/>
              <w:left w:val="none" w:sz="6" w:space="0" w:color="auto"/>
              <w:right w:val="none" w:sz="6" w:space="0" w:color="auto"/>
            </w:tcBorders>
            <w:tcMar>
              <w:top w:w="40" w:type="dxa"/>
              <w:bottom w:w="40" w:type="dxa"/>
              <w:left w:w="60" w:type="dxa"/>
              <w:right w:w="60" w:type="dxa"/>
            </w:tcMar>
          </w:tcPr>
          <w:p>
            <w:pPr>
              <w:spacing w:before="20" w:after="20" w:line="240" w:lineRule="auto"/>
              <w:jc w:val="center"/>
            </w:pPr>
            <w:r>
              <w:rPr>
                <w:rFonts w:ascii="Palatino Linotype" w:hAnsi="Palatino Linotype"/>
                <w:b/>
                <w:color w:val="000000"/>
                <w:sz w:val="16"/>
              </w:rPr>
              <w:t>Meaning</w:t>
            </w:r>
          </w:p>
        </w:tc>
        <w:tc>
          <w:tcPr>
            <w:tcW w:type="dxa" w:w="1800"/>
            <w:shd w:fill="D6E3BC"/>
            <w:tcBorders>
              <w:top w:val="single" w:sz="6" w:space="0" w:color="auto"/>
              <w:bottom w:val="single" w:sz="6" w:space="0" w:color="auto"/>
              <w:left w:val="none" w:sz="6" w:space="0" w:color="auto"/>
              <w:right w:val="none" w:sz="6" w:space="0" w:color="auto"/>
            </w:tcBorders>
            <w:tcMar>
              <w:top w:w="40" w:type="dxa"/>
              <w:bottom w:w="40" w:type="dxa"/>
              <w:left w:w="60" w:type="dxa"/>
              <w:right w:w="60" w:type="dxa"/>
            </w:tcMar>
          </w:tcPr>
          <w:p>
            <w:pPr>
              <w:spacing w:before="20" w:after="20" w:line="240" w:lineRule="auto"/>
              <w:jc w:val="center"/>
            </w:pPr>
            <w:r>
              <w:rPr>
                <w:rFonts w:ascii="Palatino Linotype" w:hAnsi="Palatino Linotype"/>
                <w:b/>
                <w:color w:val="000000"/>
                <w:sz w:val="16"/>
              </w:rPr>
              <w:t>Transformation</w:t>
            </w:r>
          </w:p>
        </w:tc>
        <w:tc>
          <w:tcPr>
            <w:tcW w:type="dxa" w:w="936"/>
            <w:shd w:fill="D6E3BC"/>
            <w:tcBorders>
              <w:top w:val="single" w:sz="6" w:space="0" w:color="auto"/>
              <w:bottom w:val="single" w:sz="6" w:space="0" w:color="auto"/>
              <w:left w:val="none" w:sz="6" w:space="0" w:color="auto"/>
              <w:right w:val="none" w:sz="6" w:space="0" w:color="auto"/>
            </w:tcBorders>
            <w:tcMar>
              <w:top w:w="40" w:type="dxa"/>
              <w:bottom w:w="40" w:type="dxa"/>
              <w:left w:w="60" w:type="dxa"/>
              <w:right w:w="60" w:type="dxa"/>
            </w:tcMar>
          </w:tcPr>
          <w:p>
            <w:pPr>
              <w:spacing w:before="20" w:after="20" w:line="240" w:lineRule="auto"/>
              <w:jc w:val="center"/>
            </w:pPr>
            <w:r>
              <w:rPr>
                <w:rFonts w:ascii="Palatino Linotype" w:hAnsi="Palatino Linotype"/>
                <w:b/>
                <w:color w:val="000000"/>
                <w:sz w:val="16"/>
              </w:rPr>
              <w:t>IntelliFRA label</w:t>
            </w:r>
          </w:p>
        </w:tc>
      </w:tr>
      <w:tr>
        <w:tc>
          <w:tcPr>
            <w:tcW w:type="dxa" w:w="792"/>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left"/>
            </w:pPr>
            <w:r>
              <w:rPr>
                <w:rFonts w:ascii="Palatino Linotype" w:hAnsi="Palatino Linotype"/>
                <w:color w:val="000000"/>
                <w:sz w:val="16"/>
              </w:rPr>
              <w:t>NF</w:t>
            </w:r>
          </w:p>
        </w:tc>
        <w:tc>
          <w:tcPr>
            <w:tcW w:type="dxa" w:w="1152"/>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No fault (repeatability)</w:t>
            </w:r>
          </w:p>
        </w:tc>
        <w:tc>
          <w:tcPr>
            <w:tcW w:type="dxa" w:w="1800"/>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Modes jittered ±0.2% in centre/Q/amplitude</w:t>
            </w:r>
          </w:p>
        </w:tc>
        <w:tc>
          <w:tcPr>
            <w:tcW w:type="dxa" w:w="936"/>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Normal</w:t>
            </w:r>
          </w:p>
        </w:tc>
      </w:tr>
      <w:tr>
        <w:tc>
          <w:tcPr>
            <w:tcW w:type="dxa" w:w="792"/>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left"/>
            </w:pPr>
            <w:r>
              <w:rPr>
                <w:rFonts w:ascii="Palatino Linotype" w:hAnsi="Palatino Linotype"/>
                <w:color w:val="000000"/>
                <w:sz w:val="16"/>
              </w:rPr>
              <w:t>DLF / LCF</w:t>
            </w:r>
          </w:p>
        </w:tc>
        <w:tc>
          <w:tcPr>
            <w:tcW w:type="dxa" w:w="1152"/>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Dielectric leakage / clamping loss</w:t>
            </w:r>
          </w:p>
        </w:tc>
        <w:tc>
          <w:tcPr>
            <w:tcW w:type="dxa" w:w="1800"/>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Q reduced by (1 − 0.65·tanδ), tanδ ~ U(0.05, 0.55); amplitude ±8%</w:t>
            </w:r>
          </w:p>
        </w:tc>
        <w:tc>
          <w:tcPr>
            <w:tcW w:type="dxa" w:w="936"/>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Minor Deviation</w:t>
            </w:r>
          </w:p>
        </w:tc>
      </w:tr>
      <w:tr>
        <w:tc>
          <w:tcPr>
            <w:tcW w:type="dxa" w:w="792"/>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left"/>
            </w:pPr>
            <w:r>
              <w:rPr>
                <w:rFonts w:ascii="Palatino Linotype" w:hAnsi="Palatino Linotype"/>
                <w:color w:val="000000"/>
                <w:sz w:val="16"/>
              </w:rPr>
              <w:t>RDF</w:t>
            </w:r>
          </w:p>
        </w:tc>
        <w:tc>
          <w:tcPr>
            <w:tcW w:type="dxa" w:w="1152"/>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Radial deformation</w:t>
            </w:r>
          </w:p>
        </w:tc>
        <w:tc>
          <w:tcPr>
            <w:tcW w:type="dxa" w:w="1800"/>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All mode centres scaled by (1 + shift), shift ~ U(−0.10, 0.10)</w:t>
            </w:r>
          </w:p>
        </w:tc>
        <w:tc>
          <w:tcPr>
            <w:tcW w:type="dxa" w:w="936"/>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Moderate Fault</w:t>
            </w:r>
          </w:p>
        </w:tc>
      </w:tr>
      <w:tr>
        <w:tc>
          <w:tcPr>
            <w:tcW w:type="dxa" w:w="792"/>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left"/>
            </w:pPr>
            <w:r>
              <w:rPr>
                <w:rFonts w:ascii="Palatino Linotype" w:hAnsi="Palatino Linotype"/>
                <w:color w:val="000000"/>
                <w:sz w:val="16"/>
              </w:rPr>
              <w:t>IDF</w:t>
            </w:r>
          </w:p>
        </w:tc>
        <w:tc>
          <w:tcPr>
            <w:tcW w:type="dxa" w:w="1152"/>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Inter-disk displacement</w:t>
            </w:r>
          </w:p>
        </w:tc>
        <w:tc>
          <w:tcPr>
            <w:tcW w:type="dxa" w:w="1800"/>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Each mode split into two at c ± gap, gap ~ U(0.015, 0.045), unequal split, Q×0.85</w:t>
            </w:r>
          </w:p>
        </w:tc>
        <w:tc>
          <w:tcPr>
            <w:tcW w:type="dxa" w:w="936"/>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Moderate Fault</w:t>
            </w:r>
          </w:p>
        </w:tc>
      </w:tr>
      <w:tr>
        <w:tc>
          <w:tcPr>
            <w:tcW w:type="dxa" w:w="792"/>
            <w:tcMar>
              <w:top w:w="30" w:type="dxa"/>
              <w:bottom w:w="30" w:type="dxa"/>
              <w:left w:w="60" w:type="dxa"/>
              <w:right w:w="60" w:type="dxa"/>
            </w:tcMar>
            <w:tcBorders>
              <w:top w:val="none" w:sz="6" w:space="0" w:color="auto"/>
              <w:bottom w:val="single" w:sz="6" w:space="0" w:color="auto"/>
              <w:left w:val="none" w:sz="6" w:space="0" w:color="auto"/>
              <w:right w:val="none" w:sz="6" w:space="0" w:color="auto"/>
            </w:tcBorders>
          </w:tcPr>
          <w:p>
            <w:pPr>
              <w:spacing w:before="20" w:after="20" w:line="240" w:lineRule="auto"/>
              <w:jc w:val="left"/>
            </w:pPr>
            <w:r>
              <w:rPr>
                <w:rFonts w:ascii="Palatino Linotype" w:hAnsi="Palatino Linotype"/>
                <w:color w:val="000000"/>
                <w:sz w:val="16"/>
              </w:rPr>
              <w:t>SCF</w:t>
            </w:r>
          </w:p>
        </w:tc>
        <w:tc>
          <w:tcPr>
            <w:tcW w:type="dxa" w:w="1152"/>
            <w:tcMar>
              <w:top w:w="30" w:type="dxa"/>
              <w:bottom w:w="30" w:type="dxa"/>
              <w:left w:w="60" w:type="dxa"/>
              <w:right w:w="60" w:type="dxa"/>
            </w:tcMar>
            <w:tcBorders>
              <w:top w:val="none" w:sz="6" w:space="0" w:color="auto"/>
              <w:bottom w:val="single" w:sz="6" w:space="0" w:color="auto"/>
              <w:left w:val="none" w:sz="6" w:space="0" w:color="auto"/>
              <w:right w:val="none" w:sz="6" w:space="0" w:color="auto"/>
            </w:tcBorders>
          </w:tcPr>
          <w:p>
            <w:pPr>
              <w:spacing w:before="20" w:after="20" w:line="240" w:lineRule="auto"/>
              <w:jc w:val="center"/>
            </w:pPr>
            <w:r>
              <w:rPr>
                <w:rFonts w:ascii="Palatino Linotype" w:hAnsi="Palatino Linotype"/>
                <w:color w:val="000000"/>
                <w:sz w:val="16"/>
              </w:rPr>
              <w:t>Short-circuit fault</w:t>
            </w:r>
          </w:p>
        </w:tc>
        <w:tc>
          <w:tcPr>
            <w:tcW w:type="dxa" w:w="1800"/>
            <w:tcMar>
              <w:top w:w="30" w:type="dxa"/>
              <w:bottom w:w="30" w:type="dxa"/>
              <w:left w:w="60" w:type="dxa"/>
              <w:right w:w="60" w:type="dxa"/>
            </w:tcMar>
            <w:tcBorders>
              <w:top w:val="none" w:sz="6" w:space="0" w:color="auto"/>
              <w:bottom w:val="single" w:sz="6" w:space="0" w:color="auto"/>
              <w:left w:val="none" w:sz="6" w:space="0" w:color="auto"/>
              <w:right w:val="none" w:sz="6" w:space="0" w:color="auto"/>
            </w:tcBorders>
          </w:tcPr>
          <w:p>
            <w:pPr>
              <w:spacing w:before="20" w:after="20" w:line="240" w:lineRule="auto"/>
              <w:jc w:val="center"/>
            </w:pPr>
            <w:r>
              <w:rPr>
                <w:rFonts w:ascii="Palatino Linotype" w:hAnsi="Palatino Linotype"/>
                <w:color w:val="000000"/>
                <w:sz w:val="16"/>
              </w:rPr>
              <w:t>HF attenuation mask + localized Lorentzian notch + impedance spike, severity ~ U(0.35, 1.0)</w:t>
            </w:r>
          </w:p>
        </w:tc>
        <w:tc>
          <w:tcPr>
            <w:tcW w:type="dxa" w:w="936"/>
            <w:tcMar>
              <w:top w:w="30" w:type="dxa"/>
              <w:bottom w:w="30" w:type="dxa"/>
              <w:left w:w="60" w:type="dxa"/>
              <w:right w:w="60" w:type="dxa"/>
            </w:tcMar>
            <w:tcBorders>
              <w:top w:val="none" w:sz="6" w:space="0" w:color="auto"/>
              <w:bottom w:val="single" w:sz="6" w:space="0" w:color="auto"/>
              <w:left w:val="none" w:sz="6" w:space="0" w:color="auto"/>
              <w:right w:val="none" w:sz="6" w:space="0" w:color="auto"/>
            </w:tcBorders>
          </w:tcPr>
          <w:p>
            <w:pPr>
              <w:spacing w:before="20" w:after="20" w:line="240" w:lineRule="auto"/>
              <w:jc w:val="center"/>
            </w:pPr>
            <w:r>
              <w:rPr>
                <w:rFonts w:ascii="Palatino Linotype" w:hAnsi="Palatino Linotype"/>
                <w:color w:val="000000"/>
                <w:sz w:val="16"/>
              </w:rPr>
              <w:t>High Fault Risk</w:t>
            </w:r>
          </w:p>
        </w:tc>
      </w:tr>
    </w:tbl>
    <w:p>
      <w:pPr>
        <w:spacing w:line="235" w:lineRule="auto" w:before="0" w:after="40"/>
        <w:jc w:val="both"/>
      </w:pPr>
      <w:r>
        <w:rPr>
          <w:rFonts w:ascii="Palatino Linotype" w:hAnsi="Palatino Linotype"/>
          <w:sz w:val="19"/>
        </w:rPr>
        <w:t>Each synthetic mechanism mirrors a distinct physical degradation mode. Dielectric Leakage (DLF) and Loosened Clamping (LCF) raise effective damping, which broadens and flattens resonant peaks; both map to Minor Deviation. Radial Deformation (RDF) warps winding conductors inward or outward, shifting inductive pole locations globally, whereas Inter-Disk Faults (IDF) alter local inter-turn capacitance and split single peaks into doublets; both map to Moderate Fault. Short-Circuit Faults (SCF) combine severe high-frequency roll-off with a deep localized notch and an adjacent impedance spike, forming a High Fault Risk signature.</w:t>
      </w:r>
    </w:p>
    <w:p>
      <w:pPr>
        <w:spacing w:line="235" w:lineRule="auto" w:before="0" w:after="40"/>
        <w:jc w:val="both"/>
      </w:pPr>
      <w:r>
        <w:rPr>
          <w:rFonts w:ascii="Palatino Linotype" w:hAnsi="Palatino Linotype"/>
          <w:sz w:val="19"/>
        </w:rPr>
        <w:t>To reflect inter-turn capacitive shunting and measurement noise, every trace undergoes exponential high-frequency attenuation followed by additive Gaussian noise (σ ~ U(0.002, 0.025) for Normal sweeps; σ ~ U(0.01, 0.06) for faulty sweeps):</w:t>
      </w:r>
    </w:p>
    <w:p>
      <w:pPr>
        <w:spacing w:line="240" w:lineRule="auto" w:before="40" w:after="40"/>
        <w:jc w:val="center"/>
      </w:pPr>
      <m:oMathPara>
        <m:oMath>
          <m:r>
            <m:t>x←x·exp(−r·</m:t>
          </m:r>
          <m:acc>
            <m:accPr>
              <m:chr m:val="˜"/>
            </m:accPr>
            <m:e>
              <m:r>
                <m:t>f</m:t>
              </m:r>
            </m:e>
          </m:acc>
          <m:r>
            <m:t>),  r∼U(0.35, 0.95)</m:t>
          </m:r>
          <m:r>
            <m:t xml:space="preserve">   (15)</m:t>
          </m:r>
        </m:oMath>
      </m:oMathPara>
    </w:p>
    <w:p>
      <w:pPr>
        <w:spacing w:line="235" w:lineRule="auto" w:before="0" w:after="40"/>
        <w:jc w:val="both"/>
      </w:pPr>
      <w:r>
        <w:rPr>
          <w:rFonts w:ascii="Palatino Linotype" w:hAnsi="Palatino Linotype"/>
          <w:sz w:val="19"/>
        </w:rPr>
        <w:t>Each synthesized curve is shifted non-negative, scaled so its maximum falls within [14, 26] dB (synthetic units), and clipped to [0, 30]. Healthy (Normal) traces also pass through a step-wise non-increasing envelope constraint, y_i ≤ y_{i−1} + U(0, 0.02), which models smooth capacitive roll-off and underpins the morphological checks in Section 4.5.</w:t>
      </w:r>
    </w:p>
    <w:p>
      <w:pPr>
        <w:spacing w:before="40" w:after="20"/>
        <w:jc w:val="center"/>
      </w:pPr>
      <w:r>
        <w:drawing>
          <wp:inline xmlns:a="http://schemas.openxmlformats.org/drawingml/2006/main" xmlns:pic="http://schemas.openxmlformats.org/drawingml/2006/picture">
            <wp:extent cx="2103120" cy="1380895"/>
            <wp:docPr id="398200270" name="Picture 398200270"/>
            <wp:cNvGraphicFramePr>
              <a:graphicFrameLocks noChangeAspect="1"/>
            </wp:cNvGraphicFramePr>
            <a:graphic>
              <a:graphicData uri="http://schemas.openxmlformats.org/drawingml/2006/picture">
                <pic:pic>
                  <pic:nvPicPr>
                    <pic:cNvPr id="0" name="image5.png"/>
                    <pic:cNvPicPr/>
                  </pic:nvPicPr>
                  <pic:blipFill>
                    <a:blip r:embed="rId31"/>
                    <a:stretch>
                      <a:fillRect/>
                    </a:stretch>
                  </pic:blipFill>
                  <pic:spPr>
                    <a:xfrm>
                      <a:off x="0" y="0"/>
                      <a:ext cx="2103120" cy="1380895"/>
                    </a:xfrm>
                    <a:prstGeom prst="rect"/>
                  </pic:spPr>
                </pic:pic>
              </a:graphicData>
            </a:graphic>
          </wp:inline>
        </w:drawing>
      </w:r>
    </w:p>
    <w:p>
      <w:pPr>
        <w:spacing w:line="240" w:lineRule="auto" w:before="60" w:after="40"/>
        <w:jc w:val="center"/>
      </w:pPr>
      <w:r>
        <w:rPr>
          <w:rFonts w:ascii="Palatino Linotype" w:hAnsi="Palatino Linotype"/>
          <w:b/>
          <w:sz w:val="17"/>
        </w:rPr>
        <w:t xml:space="preserve">Fig. 5: </w:t>
      </w:r>
      <w:r>
        <w:rPr>
          <w:rFonts w:ascii="Palatino Linotype" w:hAnsi="Palatino Linotype"/>
          <w:sz w:val="17"/>
        </w:rPr>
        <w:t>Representative synthetic SFRA curves, one per severity class, generated with physics_fra_synthesis.py</w:t>
      </w:r>
    </w:p>
    <w:p>
      <w:pPr>
        <w:spacing w:line="240" w:lineRule="auto" w:before="80" w:after="30"/>
        <w:jc w:val="left"/>
      </w:pPr>
      <w:r>
        <w:rPr>
          <w:rFonts w:ascii="Palatino Linotype" w:hAnsi="Palatino Linotype"/>
          <w:b/>
          <w:sz w:val="19"/>
        </w:rPr>
        <w:t>5.3  Dataset scale and reproducibility</w:t>
      </w:r>
    </w:p>
    <w:p>
      <w:pPr>
        <w:spacing w:line="235" w:lineRule="auto" w:before="0" w:after="40"/>
        <w:jc w:val="both"/>
      </w:pPr>
      <w:r>
        <w:rPr>
          <w:rFonts w:ascii="Palatino Linotype" w:hAnsi="Palatino Linotype"/>
          <w:sz w:val="19"/>
        </w:rPr>
        <w:t>Running generate_dataset.py synthesizes 50,000 labeled sweeps (12,500 per severity class, 500 points each) using deterministic per-sample random seeds (seed = 42 + class_index × 1,000,000 + i) before shuffling and exporting backend/data/fra_dataset.csv. This 50,000-curve benchmark provides dense sampling across all six physical fault mechanisms.</w:t>
      </w:r>
    </w:p>
    <w:p>
      <w:pPr>
        <w:spacing w:line="235" w:lineRule="auto" w:before="0" w:after="40"/>
        <w:jc w:val="both"/>
      </w:pPr>
      <w:r>
        <w:rPr>
          <w:rFonts w:ascii="Palatino Linotype" w:hAnsi="Palatino Linotype"/>
          <w:sz w:val="19"/>
        </w:rPr>
        <w:t>Generating 12,500 independent curves per class forces the neural networks to learn general spectral distortions (peak splitting, Q-factor damping, notch insertion) rather than memorizing a handful of template traces. Because mode counts, center frequencies, amplitudes, and noise levels vary on every draw, intra-class diversity remains high. At the same time, deterministic seeding guarantees that any researcher running generate_dataset.py obtains the exact same 50,000-row CSV file.</w:t>
      </w:r>
    </w:p>
    <w:p>
      <w:pPr>
        <w:pStyle w:val="ListParagraph"/>
        <w:numPr>
          <w:ilvl w:val="0"/>
          <w:numId w:val="1"/>
        </w:numPr>
        <w:spacing w:before="120" w:after="40" w:line="240" w:lineRule="auto"/>
      </w:pPr>
      <w:r>
        <w:rPr>
          <w:rFonts w:ascii="Palatino Linotype" w:hAnsi="Palatino Linotype"/>
          <w:b/>
          <w:sz w:val="20"/>
        </w:rPr>
        <w:t>Model Training Configuration</w:t>
      </w:r>
    </w:p>
    <w:p>
      <w:pPr>
        <w:spacing w:line="235" w:lineRule="auto" w:before="0" w:after="40"/>
        <w:jc w:val="both"/>
      </w:pPr>
      <w:r>
        <w:rPr>
          <w:rFonts w:ascii="Palatino Linotype" w:hAnsi="Palatino Linotype"/>
          <w:sz w:val="19"/>
        </w:rPr>
        <w:t>The training script (services/train_models.py) reads the 50,000-row CSV, applies per-sample z-score scaling (Section 4.1), and partitions the dataset into a reproducible 80:20 train/validation split (seed = 42; 40,000 training sweeps and 10,000 validation sweeps) shared by both networks.</w:t>
      </w:r>
    </w:p>
    <w:p>
      <w:pPr>
        <w:spacing w:line="235" w:lineRule="auto" w:before="0" w:after="40"/>
        <w:jc w:val="both"/>
      </w:pPr>
      <w:r>
        <w:rPr>
          <w:rFonts w:ascii="Palatino Linotype" w:hAnsi="Palatino Linotype"/>
          <w:sz w:val="19"/>
        </w:rPr>
        <w:t>Both models are trained in PyTorch [20] using the Adam optimizer [17] with a learning rate of 1 × 10⁻³ and a training batch size of 32 (64 during validation). These standard settings converged smoothly on the 500-point sequences without requiring grid-search tuning. Dropout (p = 0.2) regularizes the CNN's dense classification head against co-adaptation [18]. Training runs for 20 epochs for each network, with validation loss still falling at epoch 20. In addition to this 80:20 split, we also run a separate 5-fold stratified cross-validation and held-out OOD benchmark in Section 7.4.</w:t>
      </w:r>
    </w:p>
    <w:p>
      <w:pPr>
        <w:spacing w:line="235" w:lineRule="auto" w:before="0" w:after="40"/>
        <w:jc w:val="both"/>
      </w:pPr>
      <w:r>
        <w:rPr>
          <w:rFonts w:ascii="Palatino Linotype" w:hAnsi="Palatino Linotype"/>
          <w:sz w:val="19"/>
        </w:rPr>
        <w:t>Validation metrics are computed on the 10,000 held-out sweeps using scikit-learn's [19] classification_report and confusion_matrix utilities [9]. Table 2 lists the exact training parameters for both neural models.</w:t>
      </w:r>
    </w:p>
    <w:p>
      <w:pPr>
        <w:spacing w:line="240" w:lineRule="auto" w:before="60" w:after="40"/>
        <w:jc w:val="left"/>
      </w:pPr>
      <w:r>
        <w:rPr>
          <w:rFonts w:ascii="Palatino Linotype" w:hAnsi="Palatino Linotype"/>
          <w:b/>
          <w:sz w:val="17"/>
        </w:rPr>
        <w:t xml:space="preserve">Table. 2: </w:t>
      </w:r>
      <w:r>
        <w:rPr>
          <w:rFonts w:ascii="Palatino Linotype" w:hAnsi="Palatino Linotype"/>
          <w:sz w:val="17"/>
        </w:rPr>
        <w:t>Training configuration for the 1D-CNN and Autoencoder models</w:t>
      </w:r>
    </w:p>
    <w:tbl>
      <w:tblPr>
        <w:tblW w:type="auto" w:w="0"/>
        <w:jc w:val="center"/>
        <w:tblLayout w:type="fixed"/>
        <w:tblLook w:firstColumn="1" w:firstRow="1" w:lastColumn="0" w:lastRow="0" w:noHBand="0" w:noVBand="1" w:val="04A0"/>
      </w:tblPr>
      <w:tblGrid>
        <w:gridCol w:w="3493"/>
        <w:gridCol w:w="3493"/>
        <w:gridCol w:w="3493"/>
      </w:tblGrid>
      <w:tr>
        <w:tc>
          <w:tcPr>
            <w:tcW w:type="dxa" w:w="1224"/>
            <w:shd w:fill="D6E3BC"/>
            <w:tcBorders>
              <w:top w:val="single" w:sz="6" w:space="0" w:color="auto"/>
              <w:bottom w:val="single" w:sz="6" w:space="0" w:color="auto"/>
              <w:left w:val="none" w:sz="6" w:space="0" w:color="auto"/>
              <w:right w:val="none" w:sz="6" w:space="0" w:color="auto"/>
            </w:tcBorders>
            <w:tcMar>
              <w:top w:w="40" w:type="dxa"/>
              <w:bottom w:w="40" w:type="dxa"/>
              <w:left w:w="60" w:type="dxa"/>
              <w:right w:w="60" w:type="dxa"/>
            </w:tcMar>
          </w:tcPr>
          <w:p>
            <w:pPr>
              <w:spacing w:before="20" w:after="20" w:line="240" w:lineRule="auto"/>
              <w:jc w:val="center"/>
            </w:pPr>
            <w:r>
              <w:rPr>
                <w:rFonts w:ascii="Palatino Linotype" w:hAnsi="Palatino Linotype"/>
                <w:b/>
                <w:color w:val="000000"/>
                <w:sz w:val="16"/>
              </w:rPr>
              <w:t>Setting</w:t>
            </w:r>
          </w:p>
        </w:tc>
        <w:tc>
          <w:tcPr>
            <w:tcW w:type="dxa" w:w="1656"/>
            <w:shd w:fill="D6E3BC"/>
            <w:tcBorders>
              <w:top w:val="single" w:sz="6" w:space="0" w:color="auto"/>
              <w:bottom w:val="single" w:sz="6" w:space="0" w:color="auto"/>
              <w:left w:val="none" w:sz="6" w:space="0" w:color="auto"/>
              <w:right w:val="none" w:sz="6" w:space="0" w:color="auto"/>
            </w:tcBorders>
            <w:tcMar>
              <w:top w:w="40" w:type="dxa"/>
              <w:bottom w:w="40" w:type="dxa"/>
              <w:left w:w="60" w:type="dxa"/>
              <w:right w:w="60" w:type="dxa"/>
            </w:tcMar>
          </w:tcPr>
          <w:p>
            <w:pPr>
              <w:spacing w:before="20" w:after="20" w:line="240" w:lineRule="auto"/>
              <w:jc w:val="center"/>
            </w:pPr>
            <w:r>
              <w:rPr>
                <w:rFonts w:ascii="Palatino Linotype" w:hAnsi="Palatino Linotype"/>
                <w:b/>
                <w:color w:val="000000"/>
                <w:sz w:val="16"/>
              </w:rPr>
              <w:t>1D-CNN</w:t>
            </w:r>
          </w:p>
        </w:tc>
        <w:tc>
          <w:tcPr>
            <w:tcW w:type="dxa" w:w="1800"/>
            <w:shd w:fill="D6E3BC"/>
            <w:tcBorders>
              <w:top w:val="single" w:sz="6" w:space="0" w:color="auto"/>
              <w:bottom w:val="single" w:sz="6" w:space="0" w:color="auto"/>
              <w:left w:val="none" w:sz="6" w:space="0" w:color="auto"/>
              <w:right w:val="none" w:sz="6" w:space="0" w:color="auto"/>
            </w:tcBorders>
            <w:tcMar>
              <w:top w:w="40" w:type="dxa"/>
              <w:bottom w:w="40" w:type="dxa"/>
              <w:left w:w="60" w:type="dxa"/>
              <w:right w:w="60" w:type="dxa"/>
            </w:tcMar>
          </w:tcPr>
          <w:p>
            <w:pPr>
              <w:spacing w:before="20" w:after="20" w:line="240" w:lineRule="auto"/>
              <w:jc w:val="center"/>
            </w:pPr>
            <w:r>
              <w:rPr>
                <w:rFonts w:ascii="Palatino Linotype" w:hAnsi="Palatino Linotype"/>
                <w:b/>
                <w:color w:val="000000"/>
                <w:sz w:val="16"/>
              </w:rPr>
              <w:t>Autoencoder</w:t>
            </w:r>
          </w:p>
        </w:tc>
      </w:tr>
      <w:tr>
        <w:tc>
          <w:tcPr>
            <w:tcW w:type="dxa" w:w="1224"/>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left"/>
            </w:pPr>
            <w:r>
              <w:rPr>
                <w:rFonts w:ascii="Palatino Linotype" w:hAnsi="Palatino Linotype"/>
                <w:color w:val="000000"/>
                <w:sz w:val="16"/>
              </w:rPr>
              <w:t>Optimizer</w:t>
            </w:r>
          </w:p>
        </w:tc>
        <w:tc>
          <w:tcPr>
            <w:tcW w:type="dxa" w:w="1656"/>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Adam, lr = 1e-3</w:t>
            </w:r>
          </w:p>
        </w:tc>
        <w:tc>
          <w:tcPr>
            <w:tcW w:type="dxa" w:w="1800"/>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Adam, lr = 1e-3</w:t>
            </w:r>
          </w:p>
        </w:tc>
      </w:tr>
      <w:tr>
        <w:tc>
          <w:tcPr>
            <w:tcW w:type="dxa" w:w="1224"/>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left"/>
            </w:pPr>
            <w:r>
              <w:rPr>
                <w:rFonts w:ascii="Palatino Linotype" w:hAnsi="Palatino Linotype"/>
                <w:color w:val="000000"/>
                <w:sz w:val="16"/>
              </w:rPr>
              <w:t>Loss</w:t>
            </w:r>
          </w:p>
        </w:tc>
        <w:tc>
          <w:tcPr>
            <w:tcW w:type="dxa" w:w="1656"/>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Cross-entropy</w:t>
            </w:r>
          </w:p>
        </w:tc>
        <w:tc>
          <w:tcPr>
            <w:tcW w:type="dxa" w:w="1800"/>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MSE (reconstruction)</w:t>
            </w:r>
          </w:p>
        </w:tc>
      </w:tr>
      <w:tr>
        <w:tc>
          <w:tcPr>
            <w:tcW w:type="dxa" w:w="1224"/>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left"/>
            </w:pPr>
            <w:r>
              <w:rPr>
                <w:rFonts w:ascii="Palatino Linotype" w:hAnsi="Palatino Linotype"/>
                <w:color w:val="000000"/>
                <w:sz w:val="16"/>
              </w:rPr>
              <w:t>Batch size</w:t>
            </w:r>
          </w:p>
        </w:tc>
        <w:tc>
          <w:tcPr>
            <w:tcW w:type="dxa" w:w="1656"/>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32 (train) / 64 (val)</w:t>
            </w:r>
          </w:p>
        </w:tc>
        <w:tc>
          <w:tcPr>
            <w:tcW w:type="dxa" w:w="1800"/>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32</w:t>
            </w:r>
          </w:p>
        </w:tc>
      </w:tr>
      <w:tr>
        <w:tc>
          <w:tcPr>
            <w:tcW w:type="dxa" w:w="1224"/>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left"/>
            </w:pPr>
            <w:r>
              <w:rPr>
                <w:rFonts w:ascii="Palatino Linotype" w:hAnsi="Palatino Linotype"/>
                <w:color w:val="000000"/>
                <w:sz w:val="16"/>
              </w:rPr>
              <w:t>Epochs</w:t>
            </w:r>
          </w:p>
        </w:tc>
        <w:tc>
          <w:tcPr>
            <w:tcW w:type="dxa" w:w="1656"/>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20</w:t>
            </w:r>
          </w:p>
        </w:tc>
        <w:tc>
          <w:tcPr>
            <w:tcW w:type="dxa" w:w="1800"/>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20</w:t>
            </w:r>
          </w:p>
        </w:tc>
      </w:tr>
      <w:tr>
        <w:tc>
          <w:tcPr>
            <w:tcW w:type="dxa" w:w="1224"/>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left"/>
            </w:pPr>
            <w:r>
              <w:rPr>
                <w:rFonts w:ascii="Palatino Linotype" w:hAnsi="Palatino Linotype"/>
                <w:color w:val="000000"/>
                <w:sz w:val="16"/>
              </w:rPr>
              <w:t>Training subset</w:t>
            </w:r>
          </w:p>
        </w:tc>
        <w:tc>
          <w:tcPr>
            <w:tcW w:type="dxa" w:w="1656"/>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Full 40,000-row training split</w:t>
            </w:r>
          </w:p>
        </w:tc>
        <w:tc>
          <w:tcPr>
            <w:tcW w:type="dxa" w:w="1800"/>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Normal-labelled rows only (train split)</w:t>
            </w:r>
          </w:p>
        </w:tc>
      </w:tr>
      <w:tr>
        <w:tc>
          <w:tcPr>
            <w:tcW w:type="dxa" w:w="1224"/>
            <w:tcMar>
              <w:top w:w="30" w:type="dxa"/>
              <w:bottom w:w="30" w:type="dxa"/>
              <w:left w:w="60" w:type="dxa"/>
              <w:right w:w="60" w:type="dxa"/>
            </w:tcMar>
            <w:tcBorders>
              <w:top w:val="none" w:sz="6" w:space="0" w:color="auto"/>
              <w:bottom w:val="single" w:sz="6" w:space="0" w:color="auto"/>
              <w:left w:val="none" w:sz="6" w:space="0" w:color="auto"/>
              <w:right w:val="none" w:sz="6" w:space="0" w:color="auto"/>
            </w:tcBorders>
          </w:tcPr>
          <w:p>
            <w:pPr>
              <w:spacing w:before="20" w:after="20" w:line="240" w:lineRule="auto"/>
              <w:jc w:val="left"/>
            </w:pPr>
            <w:r>
              <w:rPr>
                <w:rFonts w:ascii="Palatino Linotype" w:hAnsi="Palatino Linotype"/>
                <w:color w:val="000000"/>
                <w:sz w:val="16"/>
              </w:rPr>
              <w:t>Threshold τ</w:t>
            </w:r>
          </w:p>
        </w:tc>
        <w:tc>
          <w:tcPr>
            <w:tcW w:type="dxa" w:w="1656"/>
            <w:tcMar>
              <w:top w:w="30" w:type="dxa"/>
              <w:bottom w:w="30" w:type="dxa"/>
              <w:left w:w="60" w:type="dxa"/>
              <w:right w:w="60" w:type="dxa"/>
            </w:tcMar>
            <w:tcBorders>
              <w:top w:val="none" w:sz="6" w:space="0" w:color="auto"/>
              <w:bottom w:val="single" w:sz="6" w:space="0" w:color="auto"/>
              <w:left w:val="none" w:sz="6" w:space="0" w:color="auto"/>
              <w:right w:val="none" w:sz="6" w:space="0" w:color="auto"/>
            </w:tcBorders>
          </w:tcPr>
          <w:p>
            <w:pPr>
              <w:spacing w:before="20" w:after="20" w:line="240" w:lineRule="auto"/>
              <w:jc w:val="center"/>
            </w:pPr>
            <w:r>
              <w:rPr>
                <w:rFonts w:ascii="Palatino Linotype" w:hAnsi="Palatino Linotype"/>
                <w:color w:val="000000"/>
                <w:sz w:val="16"/>
              </w:rPr>
              <w:t>—</w:t>
            </w:r>
          </w:p>
        </w:tc>
        <w:tc>
          <w:tcPr>
            <w:tcW w:type="dxa" w:w="1800"/>
            <w:tcMar>
              <w:top w:w="30" w:type="dxa"/>
              <w:bottom w:w="30" w:type="dxa"/>
              <w:left w:w="60" w:type="dxa"/>
              <w:right w:w="60" w:type="dxa"/>
            </w:tcMar>
            <w:tcBorders>
              <w:top w:val="none" w:sz="6" w:space="0" w:color="auto"/>
              <w:bottom w:val="single" w:sz="6" w:space="0" w:color="auto"/>
              <w:left w:val="none" w:sz="6" w:space="0" w:color="auto"/>
              <w:right w:val="none" w:sz="6" w:space="0" w:color="auto"/>
            </w:tcBorders>
          </w:tcPr>
          <w:p>
            <w:pPr>
              <w:spacing w:before="20" w:after="20" w:line="240" w:lineRule="auto"/>
              <w:jc w:val="center"/>
            </w:pPr>
            <w:r>
              <w:rPr>
                <w:rFonts w:ascii="Palatino Linotype" w:hAnsi="Palatino Linotype"/>
                <w:color w:val="000000"/>
                <w:sz w:val="16"/>
              </w:rPr>
              <w:t>95th percentile of Normal train reconstruction error</w:t>
            </w:r>
          </w:p>
        </w:tc>
      </w:tr>
    </w:tbl>
    <w:p>
      <w:pPr>
        <w:spacing w:line="235" w:lineRule="auto" w:before="0" w:after="40"/>
        <w:jc w:val="both"/>
      </w:pPr>
      <w:r>
        <w:rPr>
          <w:rFonts w:ascii="Palatino Linotype" w:hAnsi="Palatino Linotype"/>
          <w:sz w:val="19"/>
        </w:rPr>
        <w:t>Fitting the autoencoder exclusively on Normal training sweeps follows one-class anomaly detection principles [7, 16]. If faulty curves were included during autoencoder training, the bottleneck would learn to reconstruct fault notches and split peaks accurately, erasing the reconstruction-error gap between healthy and damaged windings. Restricting training to healthy responses ensures that any unfamiliar spectral distortion, including fault mechanisms unseen during training, elevates reconstruction error and triggers a high anomaly ratio.</w:t>
      </w:r>
    </w:p>
    <w:p>
      <w:pPr>
        <w:pStyle w:val="ListParagraph"/>
        <w:numPr>
          <w:ilvl w:val="0"/>
          <w:numId w:val="1"/>
        </w:numPr>
        <w:spacing w:before="120" w:after="40" w:line="240" w:lineRule="auto"/>
      </w:pPr>
      <w:r>
        <w:rPr>
          <w:rFonts w:ascii="Palatino Linotype" w:hAnsi="Palatino Linotype"/>
          <w:b/>
          <w:sz w:val="20"/>
        </w:rPr>
        <w:t>Results and Discussion</w:t>
      </w:r>
    </w:p>
    <w:p>
      <w:pPr>
        <w:spacing w:line="235" w:lineRule="auto" w:before="0" w:after="40"/>
        <w:jc w:val="both"/>
      </w:pPr>
      <w:r>
        <w:rPr>
          <w:rFonts w:ascii="Palatino Linotype" w:hAnsi="Palatino Linotype"/>
          <w:sz w:val="19"/>
        </w:rPr>
        <w:t>All validation results reported in Sections 7.1–7.2 come directly from backend/models/training_metrics.json and model_accuracy.txt, followed by comparative 5-fold cross-validation, ablation, OOD, and CPU timing benchmarks in Section 7.4.</w:t>
      </w:r>
    </w:p>
    <w:p>
      <w:pPr>
        <w:spacing w:line="240" w:lineRule="auto" w:before="80" w:after="30"/>
        <w:jc w:val="left"/>
      </w:pPr>
      <w:r>
        <w:rPr>
          <w:rFonts w:ascii="Palatino Linotype" w:hAnsi="Palatino Linotype"/>
          <w:b/>
          <w:sz w:val="19"/>
        </w:rPr>
        <w:t>7.1  1D-CNN classification performance</w:t>
      </w:r>
    </w:p>
    <w:p>
      <w:pPr>
        <w:spacing w:line="235" w:lineRule="auto" w:before="0" w:after="40"/>
        <w:jc w:val="both"/>
      </w:pPr>
      <w:r>
        <w:rPr>
          <w:rFonts w:ascii="Palatino Linotype" w:hAnsi="Palatino Linotype"/>
          <w:sz w:val="19"/>
        </w:rPr>
        <w:t>Class-wise precision, recall, F1-score, and support on the 10,000-sweep validation set are listed in Table 3.</w:t>
      </w:r>
    </w:p>
    <w:p>
      <w:pPr>
        <w:spacing w:line="240" w:lineRule="auto" w:before="60" w:after="40"/>
        <w:jc w:val="left"/>
      </w:pPr>
      <w:r>
        <w:rPr>
          <w:rFonts w:ascii="Palatino Linotype" w:hAnsi="Palatino Linotype"/>
          <w:b/>
          <w:sz w:val="17"/>
        </w:rPr>
        <w:t xml:space="preserve">Table. 3: </w:t>
      </w:r>
      <w:r>
        <w:rPr>
          <w:rFonts w:ascii="Palatino Linotype" w:hAnsi="Palatino Linotype"/>
          <w:sz w:val="17"/>
        </w:rPr>
        <w:t>CNN classification performance</w:t>
      </w:r>
    </w:p>
    <w:tbl>
      <w:tblPr>
        <w:tblW w:type="auto" w:w="0"/>
        <w:jc w:val="center"/>
        <w:tblLayout w:type="fixed"/>
        <w:tblLook w:firstColumn="1" w:firstRow="1" w:lastColumn="0" w:lastRow="0" w:noHBand="0" w:noVBand="1" w:val="04A0"/>
      </w:tblPr>
      <w:tblGrid>
        <w:gridCol w:w="2096"/>
        <w:gridCol w:w="2096"/>
        <w:gridCol w:w="2096"/>
        <w:gridCol w:w="2096"/>
        <w:gridCol w:w="2096"/>
      </w:tblGrid>
      <w:tr>
        <w:tc>
          <w:tcPr>
            <w:tcW w:type="dxa" w:w="1512"/>
            <w:shd w:fill="D6E3BC"/>
            <w:tcBorders>
              <w:top w:val="single" w:sz="6" w:space="0" w:color="auto"/>
              <w:bottom w:val="single" w:sz="6" w:space="0" w:color="auto"/>
              <w:left w:val="none" w:sz="6" w:space="0" w:color="auto"/>
              <w:right w:val="none" w:sz="6" w:space="0" w:color="auto"/>
            </w:tcBorders>
            <w:tcMar>
              <w:top w:w="40" w:type="dxa"/>
              <w:bottom w:w="40" w:type="dxa"/>
              <w:left w:w="60" w:type="dxa"/>
              <w:right w:w="60" w:type="dxa"/>
            </w:tcMar>
          </w:tcPr>
          <w:p>
            <w:pPr>
              <w:spacing w:before="20" w:after="20" w:line="240" w:lineRule="auto"/>
              <w:jc w:val="center"/>
            </w:pPr>
            <w:r>
              <w:rPr>
                <w:rFonts w:ascii="Palatino Linotype" w:hAnsi="Palatino Linotype"/>
                <w:b/>
                <w:color w:val="000000"/>
                <w:sz w:val="16"/>
              </w:rPr>
              <w:t>Class</w:t>
            </w:r>
          </w:p>
        </w:tc>
        <w:tc>
          <w:tcPr>
            <w:tcW w:type="dxa" w:w="792"/>
            <w:shd w:fill="D6E3BC"/>
            <w:tcBorders>
              <w:top w:val="single" w:sz="6" w:space="0" w:color="auto"/>
              <w:bottom w:val="single" w:sz="6" w:space="0" w:color="auto"/>
              <w:left w:val="none" w:sz="6" w:space="0" w:color="auto"/>
              <w:right w:val="none" w:sz="6" w:space="0" w:color="auto"/>
            </w:tcBorders>
            <w:tcMar>
              <w:top w:w="40" w:type="dxa"/>
              <w:bottom w:w="40" w:type="dxa"/>
              <w:left w:w="60" w:type="dxa"/>
              <w:right w:w="60" w:type="dxa"/>
            </w:tcMar>
          </w:tcPr>
          <w:p>
            <w:pPr>
              <w:spacing w:before="20" w:after="20" w:line="240" w:lineRule="auto"/>
              <w:jc w:val="center"/>
            </w:pPr>
            <w:r>
              <w:rPr>
                <w:rFonts w:ascii="Palatino Linotype" w:hAnsi="Palatino Linotype"/>
                <w:b/>
                <w:color w:val="000000"/>
                <w:sz w:val="16"/>
              </w:rPr>
              <w:t>Precision</w:t>
            </w:r>
          </w:p>
        </w:tc>
        <w:tc>
          <w:tcPr>
            <w:tcW w:type="dxa" w:w="792"/>
            <w:shd w:fill="D6E3BC"/>
            <w:tcBorders>
              <w:top w:val="single" w:sz="6" w:space="0" w:color="auto"/>
              <w:bottom w:val="single" w:sz="6" w:space="0" w:color="auto"/>
              <w:left w:val="none" w:sz="6" w:space="0" w:color="auto"/>
              <w:right w:val="none" w:sz="6" w:space="0" w:color="auto"/>
            </w:tcBorders>
            <w:tcMar>
              <w:top w:w="40" w:type="dxa"/>
              <w:bottom w:w="40" w:type="dxa"/>
              <w:left w:w="60" w:type="dxa"/>
              <w:right w:w="60" w:type="dxa"/>
            </w:tcMar>
          </w:tcPr>
          <w:p>
            <w:pPr>
              <w:spacing w:before="20" w:after="20" w:line="240" w:lineRule="auto"/>
              <w:jc w:val="center"/>
            </w:pPr>
            <w:r>
              <w:rPr>
                <w:rFonts w:ascii="Palatino Linotype" w:hAnsi="Palatino Linotype"/>
                <w:b/>
                <w:color w:val="000000"/>
                <w:sz w:val="16"/>
              </w:rPr>
              <w:t>Recall</w:t>
            </w:r>
          </w:p>
        </w:tc>
        <w:tc>
          <w:tcPr>
            <w:tcW w:type="dxa" w:w="792"/>
            <w:shd w:fill="D6E3BC"/>
            <w:tcBorders>
              <w:top w:val="single" w:sz="6" w:space="0" w:color="auto"/>
              <w:bottom w:val="single" w:sz="6" w:space="0" w:color="auto"/>
              <w:left w:val="none" w:sz="6" w:space="0" w:color="auto"/>
              <w:right w:val="none" w:sz="6" w:space="0" w:color="auto"/>
            </w:tcBorders>
            <w:tcMar>
              <w:top w:w="40" w:type="dxa"/>
              <w:bottom w:w="40" w:type="dxa"/>
              <w:left w:w="60" w:type="dxa"/>
              <w:right w:w="60" w:type="dxa"/>
            </w:tcMar>
          </w:tcPr>
          <w:p>
            <w:pPr>
              <w:spacing w:before="20" w:after="20" w:line="240" w:lineRule="auto"/>
              <w:jc w:val="center"/>
            </w:pPr>
            <w:r>
              <w:rPr>
                <w:rFonts w:ascii="Palatino Linotype" w:hAnsi="Palatino Linotype"/>
                <w:b/>
                <w:color w:val="000000"/>
                <w:sz w:val="16"/>
              </w:rPr>
              <w:t>F1-score</w:t>
            </w:r>
          </w:p>
        </w:tc>
        <w:tc>
          <w:tcPr>
            <w:tcW w:type="dxa" w:w="792"/>
            <w:shd w:fill="D6E3BC"/>
            <w:tcBorders>
              <w:top w:val="single" w:sz="6" w:space="0" w:color="auto"/>
              <w:bottom w:val="single" w:sz="6" w:space="0" w:color="auto"/>
              <w:left w:val="none" w:sz="6" w:space="0" w:color="auto"/>
              <w:right w:val="none" w:sz="6" w:space="0" w:color="auto"/>
            </w:tcBorders>
            <w:tcMar>
              <w:top w:w="40" w:type="dxa"/>
              <w:bottom w:w="40" w:type="dxa"/>
              <w:left w:w="60" w:type="dxa"/>
              <w:right w:w="60" w:type="dxa"/>
            </w:tcMar>
          </w:tcPr>
          <w:p>
            <w:pPr>
              <w:spacing w:before="20" w:after="20" w:line="240" w:lineRule="auto"/>
              <w:jc w:val="center"/>
            </w:pPr>
            <w:r>
              <w:rPr>
                <w:rFonts w:ascii="Palatino Linotype" w:hAnsi="Palatino Linotype"/>
                <w:b/>
                <w:color w:val="000000"/>
                <w:sz w:val="16"/>
              </w:rPr>
              <w:t>Support</w:t>
            </w:r>
          </w:p>
        </w:tc>
      </w:tr>
      <w:tr>
        <w:tc>
          <w:tcPr>
            <w:tcW w:type="dxa" w:w="1512"/>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left"/>
            </w:pPr>
            <w:r>
              <w:rPr>
                <w:rFonts w:ascii="Palatino Linotype" w:hAnsi="Palatino Linotype"/>
                <w:color w:val="000000"/>
                <w:sz w:val="16"/>
              </w:rPr>
              <w:t>Normal</w:t>
            </w:r>
          </w:p>
        </w:tc>
        <w:tc>
          <w:tcPr>
            <w:tcW w:type="dxa" w:w="792"/>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1.0000</w:t>
            </w:r>
          </w:p>
        </w:tc>
        <w:tc>
          <w:tcPr>
            <w:tcW w:type="dxa" w:w="792"/>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0.9992</w:t>
            </w:r>
          </w:p>
        </w:tc>
        <w:tc>
          <w:tcPr>
            <w:tcW w:type="dxa" w:w="792"/>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0.9996</w:t>
            </w:r>
          </w:p>
        </w:tc>
        <w:tc>
          <w:tcPr>
            <w:tcW w:type="dxa" w:w="792"/>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2503</w:t>
            </w:r>
          </w:p>
        </w:tc>
      </w:tr>
      <w:tr>
        <w:tc>
          <w:tcPr>
            <w:tcW w:type="dxa" w:w="1512"/>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left"/>
            </w:pPr>
            <w:r>
              <w:rPr>
                <w:rFonts w:ascii="Palatino Linotype" w:hAnsi="Palatino Linotype"/>
                <w:color w:val="000000"/>
                <w:sz w:val="16"/>
              </w:rPr>
              <w:t>Minor Deviation</w:t>
            </w:r>
          </w:p>
        </w:tc>
        <w:tc>
          <w:tcPr>
            <w:tcW w:type="dxa" w:w="792"/>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0.8749</w:t>
            </w:r>
          </w:p>
        </w:tc>
        <w:tc>
          <w:tcPr>
            <w:tcW w:type="dxa" w:w="792"/>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0.9256</w:t>
            </w:r>
          </w:p>
        </w:tc>
        <w:tc>
          <w:tcPr>
            <w:tcW w:type="dxa" w:w="792"/>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0.8995</w:t>
            </w:r>
          </w:p>
        </w:tc>
        <w:tc>
          <w:tcPr>
            <w:tcW w:type="dxa" w:w="792"/>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2486</w:t>
            </w:r>
          </w:p>
        </w:tc>
      </w:tr>
      <w:tr>
        <w:tc>
          <w:tcPr>
            <w:tcW w:type="dxa" w:w="1512"/>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left"/>
            </w:pPr>
            <w:r>
              <w:rPr>
                <w:rFonts w:ascii="Palatino Linotype" w:hAnsi="Palatino Linotype"/>
                <w:color w:val="000000"/>
                <w:sz w:val="16"/>
              </w:rPr>
              <w:t>Moderate Fault</w:t>
            </w:r>
          </w:p>
        </w:tc>
        <w:tc>
          <w:tcPr>
            <w:tcW w:type="dxa" w:w="792"/>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0.9147</w:t>
            </w:r>
          </w:p>
        </w:tc>
        <w:tc>
          <w:tcPr>
            <w:tcW w:type="dxa" w:w="792"/>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0.8796</w:t>
            </w:r>
          </w:p>
        </w:tc>
        <w:tc>
          <w:tcPr>
            <w:tcW w:type="dxa" w:w="792"/>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0.8968</w:t>
            </w:r>
          </w:p>
        </w:tc>
        <w:tc>
          <w:tcPr>
            <w:tcW w:type="dxa" w:w="792"/>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2524</w:t>
            </w:r>
          </w:p>
        </w:tc>
      </w:tr>
      <w:tr>
        <w:tc>
          <w:tcPr>
            <w:tcW w:type="dxa" w:w="1512"/>
            <w:tcMar>
              <w:top w:w="30" w:type="dxa"/>
              <w:bottom w:w="30" w:type="dxa"/>
              <w:left w:w="60" w:type="dxa"/>
              <w:right w:w="60" w:type="dxa"/>
            </w:tcMar>
            <w:tcBorders>
              <w:top w:val="none" w:sz="6" w:space="0" w:color="auto"/>
              <w:bottom w:val="single" w:sz="6" w:space="0" w:color="auto"/>
              <w:left w:val="none" w:sz="6" w:space="0" w:color="auto"/>
              <w:right w:val="none" w:sz="6" w:space="0" w:color="auto"/>
            </w:tcBorders>
          </w:tcPr>
          <w:p>
            <w:pPr>
              <w:spacing w:before="20" w:after="20" w:line="240" w:lineRule="auto"/>
              <w:jc w:val="left"/>
            </w:pPr>
            <w:r>
              <w:rPr>
                <w:rFonts w:ascii="Palatino Linotype" w:hAnsi="Palatino Linotype"/>
                <w:color w:val="000000"/>
                <w:sz w:val="16"/>
              </w:rPr>
              <w:t>High Fault Risk</w:t>
            </w:r>
          </w:p>
        </w:tc>
        <w:tc>
          <w:tcPr>
            <w:tcW w:type="dxa" w:w="792"/>
            <w:tcMar>
              <w:top w:w="30" w:type="dxa"/>
              <w:bottom w:w="30" w:type="dxa"/>
              <w:left w:w="60" w:type="dxa"/>
              <w:right w:w="60" w:type="dxa"/>
            </w:tcMar>
            <w:tcBorders>
              <w:top w:val="none" w:sz="6" w:space="0" w:color="auto"/>
              <w:bottom w:val="single" w:sz="6" w:space="0" w:color="auto"/>
              <w:left w:val="none" w:sz="6" w:space="0" w:color="auto"/>
              <w:right w:val="none" w:sz="6" w:space="0" w:color="auto"/>
            </w:tcBorders>
          </w:tcPr>
          <w:p>
            <w:pPr>
              <w:spacing w:before="20" w:after="20" w:line="240" w:lineRule="auto"/>
              <w:jc w:val="center"/>
            </w:pPr>
            <w:r>
              <w:rPr>
                <w:rFonts w:ascii="Palatino Linotype" w:hAnsi="Palatino Linotype"/>
                <w:color w:val="000000"/>
                <w:sz w:val="16"/>
              </w:rPr>
              <w:t>0.9906</w:t>
            </w:r>
          </w:p>
        </w:tc>
        <w:tc>
          <w:tcPr>
            <w:tcW w:type="dxa" w:w="792"/>
            <w:tcMar>
              <w:top w:w="30" w:type="dxa"/>
              <w:bottom w:w="30" w:type="dxa"/>
              <w:left w:w="60" w:type="dxa"/>
              <w:right w:w="60" w:type="dxa"/>
            </w:tcMar>
            <w:tcBorders>
              <w:top w:val="none" w:sz="6" w:space="0" w:color="auto"/>
              <w:bottom w:val="single" w:sz="6" w:space="0" w:color="auto"/>
              <w:left w:val="none" w:sz="6" w:space="0" w:color="auto"/>
              <w:right w:val="none" w:sz="6" w:space="0" w:color="auto"/>
            </w:tcBorders>
          </w:tcPr>
          <w:p>
            <w:pPr>
              <w:spacing w:before="20" w:after="20" w:line="240" w:lineRule="auto"/>
              <w:jc w:val="center"/>
            </w:pPr>
            <w:r>
              <w:rPr>
                <w:rFonts w:ascii="Palatino Linotype" w:hAnsi="Palatino Linotype"/>
                <w:color w:val="000000"/>
                <w:sz w:val="16"/>
              </w:rPr>
              <w:t>0.9727</w:t>
            </w:r>
          </w:p>
        </w:tc>
        <w:tc>
          <w:tcPr>
            <w:tcW w:type="dxa" w:w="792"/>
            <w:tcMar>
              <w:top w:w="30" w:type="dxa"/>
              <w:bottom w:w="30" w:type="dxa"/>
              <w:left w:w="60" w:type="dxa"/>
              <w:right w:w="60" w:type="dxa"/>
            </w:tcMar>
            <w:tcBorders>
              <w:top w:val="none" w:sz="6" w:space="0" w:color="auto"/>
              <w:bottom w:val="single" w:sz="6" w:space="0" w:color="auto"/>
              <w:left w:val="none" w:sz="6" w:space="0" w:color="auto"/>
              <w:right w:val="none" w:sz="6" w:space="0" w:color="auto"/>
            </w:tcBorders>
          </w:tcPr>
          <w:p>
            <w:pPr>
              <w:spacing w:before="20" w:after="20" w:line="240" w:lineRule="auto"/>
              <w:jc w:val="center"/>
            </w:pPr>
            <w:r>
              <w:rPr>
                <w:rFonts w:ascii="Palatino Linotype" w:hAnsi="Palatino Linotype"/>
                <w:color w:val="000000"/>
                <w:sz w:val="16"/>
              </w:rPr>
              <w:t>0.9815</w:t>
            </w:r>
          </w:p>
        </w:tc>
        <w:tc>
          <w:tcPr>
            <w:tcW w:type="dxa" w:w="792"/>
            <w:tcMar>
              <w:top w:w="30" w:type="dxa"/>
              <w:bottom w:w="30" w:type="dxa"/>
              <w:left w:w="60" w:type="dxa"/>
              <w:right w:w="60" w:type="dxa"/>
            </w:tcMar>
            <w:tcBorders>
              <w:top w:val="none" w:sz="6" w:space="0" w:color="auto"/>
              <w:bottom w:val="single" w:sz="6" w:space="0" w:color="auto"/>
              <w:left w:val="none" w:sz="6" w:space="0" w:color="auto"/>
              <w:right w:val="none" w:sz="6" w:space="0" w:color="auto"/>
            </w:tcBorders>
          </w:tcPr>
          <w:p>
            <w:pPr>
              <w:spacing w:before="20" w:after="20" w:line="240" w:lineRule="auto"/>
              <w:jc w:val="center"/>
            </w:pPr>
            <w:r>
              <w:rPr>
                <w:rFonts w:ascii="Palatino Linotype" w:hAnsi="Palatino Linotype"/>
                <w:color w:val="000000"/>
                <w:sz w:val="16"/>
              </w:rPr>
              <w:t>2487</w:t>
            </w:r>
          </w:p>
        </w:tc>
      </w:tr>
    </w:tbl>
    <w:tbl>
      <w:tblPr>
        <w:tblW w:type="auto" w:w="0"/>
        <w:jc w:val="center"/>
        <w:tblLayout w:type="fixed"/>
        <w:tblLook w:firstColumn="1" w:firstRow="1" w:lastColumn="0" w:lastRow="0" w:noHBand="0" w:noVBand="1" w:val="04A0"/>
      </w:tblPr>
      <w:tblGrid>
        <w:gridCol w:w="5239"/>
        <w:gridCol w:w="5239"/>
      </w:tblGrid>
      <w:tr>
        <w:tc>
          <w:tcPr>
            <w:tcW w:type="dxa" w:w="2376"/>
            <w:tcBorders>
              <w:top w:val="none" w:sz="0" w:space="0" w:color="auto"/>
              <w:bottom w:val="none" w:sz="0" w:space="0" w:color="auto"/>
              <w:left w:val="none" w:sz="0" w:space="0" w:color="auto"/>
              <w:right w:val="none" w:sz="0" w:space="0" w:color="auto"/>
            </w:tcBorders>
            <w:tcMar>
              <w:top w:w="10" w:type="dxa"/>
              <w:bottom w:w="10" w:type="dxa"/>
              <w:left w:w="20" w:type="dxa"/>
              <w:right w:w="20" w:type="dxa"/>
            </w:tcMar>
          </w:tcPr>
          <w:p>
            <w:pPr>
              <w:spacing w:before="20" w:after="20"/>
              <w:jc w:val="center"/>
            </w:pPr>
            <w:r>
              <w:drawing>
                <wp:inline xmlns:a="http://schemas.openxmlformats.org/drawingml/2006/main" xmlns:pic="http://schemas.openxmlformats.org/drawingml/2006/picture">
                  <wp:extent cx="1389888" cy="1176667"/>
                  <wp:docPr id="398200271" name="Picture 398200271"/>
                  <wp:cNvGraphicFramePr>
                    <a:graphicFrameLocks noChangeAspect="1"/>
                  </wp:cNvGraphicFramePr>
                  <a:graphic>
                    <a:graphicData uri="http://schemas.openxmlformats.org/drawingml/2006/picture">
                      <pic:pic>
                        <pic:nvPicPr>
                          <pic:cNvPr id="0" name="image6.png"/>
                          <pic:cNvPicPr/>
                        </pic:nvPicPr>
                        <pic:blipFill>
                          <a:blip r:embed="rId32"/>
                          <a:stretch>
                            <a:fillRect/>
                          </a:stretch>
                        </pic:blipFill>
                        <pic:spPr>
                          <a:xfrm>
                            <a:off x="0" y="0"/>
                            <a:ext cx="1389888" cy="1176667"/>
                          </a:xfrm>
                          <a:prstGeom prst="rect"/>
                        </pic:spPr>
                      </pic:pic>
                    </a:graphicData>
                  </a:graphic>
                </wp:inline>
              </w:drawing>
            </w:r>
          </w:p>
          <w:p>
            <w:pPr>
              <w:spacing w:before="20" w:after="40" w:line="228" w:lineRule="auto"/>
              <w:jc w:val="center"/>
            </w:pPr>
            <w:r>
              <w:rPr>
                <w:rFonts w:ascii="Palatino Linotype" w:hAnsi="Palatino Linotype"/>
                <w:b/>
                <w:sz w:val="16"/>
              </w:rPr>
              <w:t xml:space="preserve">Fig. 6: </w:t>
            </w:r>
            <w:r>
              <w:rPr>
                <w:rFonts w:ascii="Palatino Linotype" w:hAnsi="Palatino Linotype"/>
                <w:sz w:val="16"/>
              </w:rPr>
              <w:t>1D-CNN confusion matrix (n=10,000)</w:t>
            </w:r>
          </w:p>
        </w:tc>
        <w:tc>
          <w:tcPr>
            <w:tcW w:type="dxa" w:w="2376"/>
            <w:tcBorders>
              <w:top w:val="none" w:sz="0" w:space="0" w:color="auto"/>
              <w:bottom w:val="none" w:sz="0" w:space="0" w:color="auto"/>
              <w:left w:val="none" w:sz="0" w:space="0" w:color="auto"/>
              <w:right w:val="none" w:sz="0" w:space="0" w:color="auto"/>
            </w:tcBorders>
            <w:tcMar>
              <w:top w:w="10" w:type="dxa"/>
              <w:bottom w:w="10" w:type="dxa"/>
              <w:left w:w="20" w:type="dxa"/>
              <w:right w:w="20" w:type="dxa"/>
            </w:tcMar>
          </w:tcPr>
          <w:p>
            <w:pPr>
              <w:spacing w:before="20" w:after="20"/>
              <w:jc w:val="center"/>
            </w:pPr>
            <w:r>
              <w:drawing>
                <wp:inline xmlns:a="http://schemas.openxmlformats.org/drawingml/2006/main" xmlns:pic="http://schemas.openxmlformats.org/drawingml/2006/picture">
                  <wp:extent cx="1389888" cy="939722"/>
                  <wp:docPr id="398200272" name="Picture 398200272"/>
                  <wp:cNvGraphicFramePr>
                    <a:graphicFrameLocks noChangeAspect="1"/>
                  </wp:cNvGraphicFramePr>
                  <a:graphic>
                    <a:graphicData uri="http://schemas.openxmlformats.org/drawingml/2006/picture">
                      <pic:pic>
                        <pic:nvPicPr>
                          <pic:cNvPr id="0" name="image7.png"/>
                          <pic:cNvPicPr/>
                        </pic:nvPicPr>
                        <pic:blipFill>
                          <a:blip r:embed="rId33"/>
                          <a:stretch>
                            <a:fillRect/>
                          </a:stretch>
                        </pic:blipFill>
                        <pic:spPr>
                          <a:xfrm>
                            <a:off x="0" y="0"/>
                            <a:ext cx="1389888" cy="939722"/>
                          </a:xfrm>
                          <a:prstGeom prst="rect"/>
                        </pic:spPr>
                      </pic:pic>
                    </a:graphicData>
                  </a:graphic>
                </wp:inline>
              </w:drawing>
            </w:r>
          </w:p>
          <w:p>
            <w:pPr>
              <w:spacing w:before="20" w:after="40" w:line="228" w:lineRule="auto"/>
              <w:jc w:val="center"/>
            </w:pPr>
            <w:r>
              <w:rPr>
                <w:rFonts w:ascii="Palatino Linotype" w:hAnsi="Palatino Linotype"/>
                <w:b/>
                <w:sz w:val="16"/>
              </w:rPr>
              <w:t xml:space="preserve">Fig. 7: </w:t>
            </w:r>
            <w:r>
              <w:rPr>
                <w:rFonts w:ascii="Palatino Linotype" w:hAnsi="Palatino Linotype"/>
                <w:sz w:val="16"/>
              </w:rPr>
              <w:t>Per-class Precision, Recall, and F1</w:t>
            </w:r>
          </w:p>
        </w:tc>
      </w:tr>
    </w:tbl>
    <w:p>
      <w:pPr>
        <w:spacing w:line="235" w:lineRule="auto" w:before="0" w:after="40"/>
        <w:jc w:val="both"/>
      </w:pPr>
      <w:r>
        <w:rPr>
          <w:rFonts w:ascii="Palatino Linotype" w:hAnsi="Palatino Linotype"/>
          <w:sz w:val="19"/>
        </w:rPr>
        <w:t>Healthy sweeps are separated with near-perfect fidelity (Normal F1 = 0.9996; 2,501 of 2,503 correctly identified), reflecting the smooth monotonic envelope characteristic of undamaged windings. Misclassifications concentrate almost entirely between Minor Deviation and Moderate Fault: 176 Minor traces are labeled Moderate, and 290 Moderate traces are labeled Minor. This overlap has a direct physical cause. Because the damping factor tan δ in DLF/LCF and the frequency-shift/splitting parameters in RDF/IDF are sampled from continuous uniform intervals, mild radial shifts resemble heavy dielectric damping in the mid-frequency band. Field engineers encounter the exact same ambiguity when grading intermediate winding deformations visually [1]. High Fault Risk traces, by contrast, achieve 0.9906 precision and 0.9727 recall with zero false negatives into the Normal class, as the combined SCF notch-and-attenuation profile is unmistakable.</w:t>
      </w:r>
    </w:p>
    <w:p>
      <w:pPr>
        <w:spacing w:line="235" w:lineRule="auto" w:before="0" w:after="40"/>
        <w:jc w:val="both"/>
      </w:pPr>
      <w:r>
        <w:rPr>
          <w:rFonts w:ascii="Palatino Linotype" w:hAnsi="Palatino Linotype"/>
          <w:sz w:val="19"/>
        </w:rPr>
        <w:t>The confusion matrix in Fig. 6 confirms that the classifier draws a sharp boundary between healthy and damaged windings: only two Normal sweeps out of 2,503 cross into fault grades, and zero faulty sweeps are missed as Normal. Nearly all off-diagonal entries sit between adjacent intermediate severity grades. From a maintenance standpoint, confusing Minor Deviation with Moderate Fault still schedules the unit for follow-up inspection rather than leaving a damaged transformer in service.</w:t>
      </w:r>
    </w:p>
    <w:p>
      <w:pPr>
        <w:spacing w:line="240" w:lineRule="auto" w:before="80" w:after="30"/>
        <w:jc w:val="left"/>
      </w:pPr>
      <w:r>
        <w:rPr>
          <w:rFonts w:ascii="Palatino Linotype" w:hAnsi="Palatino Linotype"/>
          <w:b/>
          <w:sz w:val="19"/>
        </w:rPr>
        <w:t>7.2  Autoencoder anomaly detection performance</w:t>
      </w:r>
    </w:p>
    <w:p>
      <w:pPr>
        <w:spacing w:line="235" w:lineRule="auto" w:before="0" w:after="40"/>
        <w:jc w:val="both"/>
      </w:pPr>
      <w:r>
        <w:rPr>
          <w:rFonts w:ascii="Palatino Linotype" w:hAnsi="Palatino Linotype"/>
          <w:sz w:val="19"/>
        </w:rPr>
        <w:t>Table 4 summarizes the dense autoencoder's binary anomaly-detection results on the 10,000-sample validation split. Setting τ = 0.022530 (the 95th percentile of healthy training MSE) yields 98.47% overall accuracy and a 0.9899 F1-score.</w:t>
      </w:r>
    </w:p>
    <w:p>
      <w:pPr>
        <w:spacing w:line="240" w:lineRule="auto" w:before="60" w:after="40"/>
        <w:jc w:val="left"/>
      </w:pPr>
      <w:r>
        <w:rPr>
          <w:rFonts w:ascii="Palatino Linotype" w:hAnsi="Palatino Linotype"/>
          <w:b/>
          <w:sz w:val="17"/>
        </w:rPr>
        <w:t xml:space="preserve">Table. 4: </w:t>
      </w:r>
      <w:r>
        <w:rPr>
          <w:rFonts w:ascii="Palatino Linotype" w:hAnsi="Palatino Linotype"/>
          <w:sz w:val="17"/>
        </w:rPr>
        <w:t>Autoencoder evaluation metrics</w:t>
      </w:r>
    </w:p>
    <w:tbl>
      <w:tblPr>
        <w:tblW w:type="auto" w:w="0"/>
        <w:jc w:val="center"/>
        <w:tblLayout w:type="fixed"/>
        <w:tblLook w:firstColumn="1" w:firstRow="1" w:lastColumn="0" w:lastRow="0" w:noHBand="0" w:noVBand="1" w:val="04A0"/>
      </w:tblPr>
      <w:tblGrid>
        <w:gridCol w:w="5239"/>
        <w:gridCol w:w="5239"/>
      </w:tblGrid>
      <w:tr>
        <w:tc>
          <w:tcPr>
            <w:tcW w:type="dxa" w:w="3168"/>
            <w:shd w:fill="D6E3BC"/>
            <w:tcBorders>
              <w:top w:val="single" w:sz="6" w:space="0" w:color="auto"/>
              <w:bottom w:val="single" w:sz="6" w:space="0" w:color="auto"/>
              <w:left w:val="none" w:sz="6" w:space="0" w:color="auto"/>
              <w:right w:val="none" w:sz="6" w:space="0" w:color="auto"/>
            </w:tcBorders>
            <w:tcMar>
              <w:top w:w="40" w:type="dxa"/>
              <w:bottom w:w="40" w:type="dxa"/>
              <w:left w:w="60" w:type="dxa"/>
              <w:right w:w="60" w:type="dxa"/>
            </w:tcMar>
          </w:tcPr>
          <w:p>
            <w:pPr>
              <w:spacing w:before="20" w:after="20" w:line="240" w:lineRule="auto"/>
              <w:jc w:val="center"/>
            </w:pPr>
            <w:r>
              <w:rPr>
                <w:rFonts w:ascii="Palatino Linotype" w:hAnsi="Palatino Linotype"/>
                <w:b/>
                <w:color w:val="000000"/>
                <w:sz w:val="16"/>
              </w:rPr>
              <w:t>Metric</w:t>
            </w:r>
          </w:p>
        </w:tc>
        <w:tc>
          <w:tcPr>
            <w:tcW w:type="dxa" w:w="1440"/>
            <w:shd w:fill="D6E3BC"/>
            <w:tcBorders>
              <w:top w:val="single" w:sz="6" w:space="0" w:color="auto"/>
              <w:bottom w:val="single" w:sz="6" w:space="0" w:color="auto"/>
              <w:left w:val="none" w:sz="6" w:space="0" w:color="auto"/>
              <w:right w:val="none" w:sz="6" w:space="0" w:color="auto"/>
            </w:tcBorders>
            <w:tcMar>
              <w:top w:w="40" w:type="dxa"/>
              <w:bottom w:w="40" w:type="dxa"/>
              <w:left w:w="60" w:type="dxa"/>
              <w:right w:w="60" w:type="dxa"/>
            </w:tcMar>
          </w:tcPr>
          <w:p>
            <w:pPr>
              <w:spacing w:before="20" w:after="20" w:line="240" w:lineRule="auto"/>
              <w:jc w:val="center"/>
            </w:pPr>
            <w:r>
              <w:rPr>
                <w:rFonts w:ascii="Palatino Linotype" w:hAnsi="Palatino Linotype"/>
                <w:b/>
                <w:color w:val="000000"/>
                <w:sz w:val="16"/>
              </w:rPr>
              <w:t>Value</w:t>
            </w:r>
          </w:p>
        </w:tc>
      </w:tr>
      <w:tr>
        <w:tc>
          <w:tcPr>
            <w:tcW w:type="dxa" w:w="3168"/>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left"/>
            </w:pPr>
            <w:r>
              <w:rPr>
                <w:rFonts w:ascii="Palatino Linotype" w:hAnsi="Palatino Linotype"/>
                <w:color w:val="000000"/>
                <w:sz w:val="16"/>
              </w:rPr>
              <w:t>Decision threshold τ</w:t>
            </w:r>
          </w:p>
        </w:tc>
        <w:tc>
          <w:tcPr>
            <w:tcW w:type="dxa" w:w="1440"/>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0.022530</w:t>
            </w:r>
          </w:p>
        </w:tc>
      </w:tr>
      <w:tr>
        <w:tc>
          <w:tcPr>
            <w:tcW w:type="dxa" w:w="3168"/>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left"/>
            </w:pPr>
            <w:r>
              <w:rPr>
                <w:rFonts w:ascii="Palatino Linotype" w:hAnsi="Palatino Linotype"/>
                <w:color w:val="000000"/>
                <w:sz w:val="16"/>
              </w:rPr>
              <w:t>Accuracy (Normal vs. Fault)</w:t>
            </w:r>
          </w:p>
        </w:tc>
        <w:tc>
          <w:tcPr>
            <w:tcW w:type="dxa" w:w="1440"/>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0.9847</w:t>
            </w:r>
          </w:p>
        </w:tc>
      </w:tr>
      <w:tr>
        <w:tc>
          <w:tcPr>
            <w:tcW w:type="dxa" w:w="3168"/>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left"/>
            </w:pPr>
            <w:r>
              <w:rPr>
                <w:rFonts w:ascii="Palatino Linotype" w:hAnsi="Palatino Linotype"/>
                <w:color w:val="000000"/>
                <w:sz w:val="16"/>
              </w:rPr>
              <w:t>Precision</w:t>
            </w:r>
          </w:p>
        </w:tc>
        <w:tc>
          <w:tcPr>
            <w:tcW w:type="dxa" w:w="1440"/>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0.9800</w:t>
            </w:r>
          </w:p>
        </w:tc>
      </w:tr>
      <w:tr>
        <w:tc>
          <w:tcPr>
            <w:tcW w:type="dxa" w:w="3168"/>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left"/>
            </w:pPr>
            <w:r>
              <w:rPr>
                <w:rFonts w:ascii="Palatino Linotype" w:hAnsi="Palatino Linotype"/>
                <w:color w:val="000000"/>
                <w:sz w:val="16"/>
              </w:rPr>
              <w:t>Recall</w:t>
            </w:r>
          </w:p>
        </w:tc>
        <w:tc>
          <w:tcPr>
            <w:tcW w:type="dxa" w:w="1440"/>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1.0000</w:t>
            </w:r>
          </w:p>
        </w:tc>
      </w:tr>
      <w:tr>
        <w:tc>
          <w:tcPr>
            <w:tcW w:type="dxa" w:w="3168"/>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left"/>
            </w:pPr>
            <w:r>
              <w:rPr>
                <w:rFonts w:ascii="Palatino Linotype" w:hAnsi="Palatino Linotype"/>
                <w:color w:val="000000"/>
                <w:sz w:val="16"/>
              </w:rPr>
              <w:t>F1-score</w:t>
            </w:r>
          </w:p>
        </w:tc>
        <w:tc>
          <w:tcPr>
            <w:tcW w:type="dxa" w:w="1440"/>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0.9899</w:t>
            </w:r>
          </w:p>
        </w:tc>
      </w:tr>
      <w:tr>
        <w:tc>
          <w:tcPr>
            <w:tcW w:type="dxa" w:w="3168"/>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left"/>
            </w:pPr>
            <w:r>
              <w:rPr>
                <w:rFonts w:ascii="Palatino Linotype" w:hAnsi="Palatino Linotype"/>
                <w:color w:val="000000"/>
                <w:sz w:val="16"/>
              </w:rPr>
              <w:t>Mean reconstruction error – Normal</w:t>
            </w:r>
          </w:p>
        </w:tc>
        <w:tc>
          <w:tcPr>
            <w:tcW w:type="dxa" w:w="1440"/>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0.010116</w:t>
            </w:r>
          </w:p>
        </w:tc>
      </w:tr>
      <w:tr>
        <w:tc>
          <w:tcPr>
            <w:tcW w:type="dxa" w:w="3168"/>
            <w:tcMar>
              <w:top w:w="30" w:type="dxa"/>
              <w:bottom w:w="30" w:type="dxa"/>
              <w:left w:w="60" w:type="dxa"/>
              <w:right w:w="60" w:type="dxa"/>
            </w:tcMar>
            <w:tcBorders>
              <w:top w:val="none" w:sz="6" w:space="0" w:color="auto"/>
              <w:bottom w:val="single" w:sz="6" w:space="0" w:color="auto"/>
              <w:left w:val="none" w:sz="6" w:space="0" w:color="auto"/>
              <w:right w:val="none" w:sz="6" w:space="0" w:color="auto"/>
            </w:tcBorders>
          </w:tcPr>
          <w:p>
            <w:pPr>
              <w:spacing w:before="20" w:after="20" w:line="240" w:lineRule="auto"/>
              <w:jc w:val="left"/>
            </w:pPr>
            <w:r>
              <w:rPr>
                <w:rFonts w:ascii="Palatino Linotype" w:hAnsi="Palatino Linotype"/>
                <w:color w:val="000000"/>
                <w:sz w:val="16"/>
              </w:rPr>
              <w:t>Mean reconstruction error – Fault (val.)</w:t>
            </w:r>
          </w:p>
        </w:tc>
        <w:tc>
          <w:tcPr>
            <w:tcW w:type="dxa" w:w="1440"/>
            <w:tcMar>
              <w:top w:w="30" w:type="dxa"/>
              <w:bottom w:w="30" w:type="dxa"/>
              <w:left w:w="60" w:type="dxa"/>
              <w:right w:w="60" w:type="dxa"/>
            </w:tcMar>
            <w:tcBorders>
              <w:top w:val="none" w:sz="6" w:space="0" w:color="auto"/>
              <w:bottom w:val="single" w:sz="6" w:space="0" w:color="auto"/>
              <w:left w:val="none" w:sz="6" w:space="0" w:color="auto"/>
              <w:right w:val="none" w:sz="6" w:space="0" w:color="auto"/>
            </w:tcBorders>
          </w:tcPr>
          <w:p>
            <w:pPr>
              <w:spacing w:before="20" w:after="20" w:line="240" w:lineRule="auto"/>
              <w:jc w:val="center"/>
            </w:pPr>
            <w:r>
              <w:rPr>
                <w:rFonts w:ascii="Palatino Linotype" w:hAnsi="Palatino Linotype"/>
                <w:color w:val="000000"/>
                <w:sz w:val="16"/>
              </w:rPr>
              <w:t>0.273091</w:t>
            </w:r>
          </w:p>
        </w:tc>
      </w:tr>
    </w:tbl>
    <w:tbl>
      <w:tblPr>
        <w:tblW w:type="auto" w:w="0"/>
        <w:jc w:val="center"/>
        <w:tblLayout w:type="fixed"/>
        <w:tblLook w:firstColumn="1" w:firstRow="1" w:lastColumn="0" w:lastRow="0" w:noHBand="0" w:noVBand="1" w:val="04A0"/>
      </w:tblPr>
      <w:tblGrid>
        <w:gridCol w:w="5239"/>
        <w:gridCol w:w="5239"/>
      </w:tblGrid>
      <w:tr>
        <w:tc>
          <w:tcPr>
            <w:tcW w:type="dxa" w:w="2376"/>
            <w:tcBorders>
              <w:top w:val="none" w:sz="0" w:space="0" w:color="auto"/>
              <w:bottom w:val="none" w:sz="0" w:space="0" w:color="auto"/>
              <w:left w:val="none" w:sz="0" w:space="0" w:color="auto"/>
              <w:right w:val="none" w:sz="0" w:space="0" w:color="auto"/>
            </w:tcBorders>
            <w:tcMar>
              <w:top w:w="10" w:type="dxa"/>
              <w:bottom w:w="10" w:type="dxa"/>
              <w:left w:w="20" w:type="dxa"/>
              <w:right w:w="20" w:type="dxa"/>
            </w:tcMar>
          </w:tcPr>
          <w:p>
            <w:pPr>
              <w:spacing w:before="20" w:after="20"/>
              <w:jc w:val="center"/>
            </w:pPr>
            <w:r>
              <w:drawing>
                <wp:inline xmlns:a="http://schemas.openxmlformats.org/drawingml/2006/main" xmlns:pic="http://schemas.openxmlformats.org/drawingml/2006/picture">
                  <wp:extent cx="1389888" cy="1258645"/>
                  <wp:docPr id="398200273" name="Picture 398200273"/>
                  <wp:cNvGraphicFramePr>
                    <a:graphicFrameLocks noChangeAspect="1"/>
                  </wp:cNvGraphicFramePr>
                  <a:graphic>
                    <a:graphicData uri="http://schemas.openxmlformats.org/drawingml/2006/picture">
                      <pic:pic>
                        <pic:nvPicPr>
                          <pic:cNvPr id="0" name="image8.png"/>
                          <pic:cNvPicPr/>
                        </pic:nvPicPr>
                        <pic:blipFill>
                          <a:blip r:embed="rId34"/>
                          <a:stretch>
                            <a:fillRect/>
                          </a:stretch>
                        </pic:blipFill>
                        <pic:spPr>
                          <a:xfrm>
                            <a:off x="0" y="0"/>
                            <a:ext cx="1389888" cy="1258645"/>
                          </a:xfrm>
                          <a:prstGeom prst="rect"/>
                        </pic:spPr>
                      </pic:pic>
                    </a:graphicData>
                  </a:graphic>
                </wp:inline>
              </w:drawing>
            </w:r>
          </w:p>
          <w:p>
            <w:pPr>
              <w:spacing w:before="20" w:after="40" w:line="228" w:lineRule="auto"/>
              <w:jc w:val="center"/>
            </w:pPr>
            <w:r>
              <w:rPr>
                <w:rFonts w:ascii="Palatino Linotype" w:hAnsi="Palatino Linotype"/>
                <w:b/>
                <w:sz w:val="16"/>
              </w:rPr>
              <w:t xml:space="preserve">Fig. 8: </w:t>
            </w:r>
            <w:r>
              <w:rPr>
                <w:rFonts w:ascii="Palatino Linotype" w:hAnsi="Palatino Linotype"/>
                <w:sz w:val="16"/>
              </w:rPr>
              <w:t>Autoencoder Normal-vs-Fault confusion matrix</w:t>
            </w:r>
          </w:p>
        </w:tc>
        <w:tc>
          <w:tcPr>
            <w:tcW w:type="dxa" w:w="2376"/>
            <w:tcBorders>
              <w:top w:val="none" w:sz="0" w:space="0" w:color="auto"/>
              <w:bottom w:val="none" w:sz="0" w:space="0" w:color="auto"/>
              <w:left w:val="none" w:sz="0" w:space="0" w:color="auto"/>
              <w:right w:val="none" w:sz="0" w:space="0" w:color="auto"/>
            </w:tcBorders>
            <w:tcMar>
              <w:top w:w="10" w:type="dxa"/>
              <w:bottom w:w="10" w:type="dxa"/>
              <w:left w:w="20" w:type="dxa"/>
              <w:right w:w="20" w:type="dxa"/>
            </w:tcMar>
          </w:tcPr>
          <w:p>
            <w:pPr>
              <w:spacing w:before="20" w:after="20"/>
              <w:jc w:val="center"/>
            </w:pPr>
            <w:r>
              <w:drawing>
                <wp:inline xmlns:a="http://schemas.openxmlformats.org/drawingml/2006/main" xmlns:pic="http://schemas.openxmlformats.org/drawingml/2006/picture">
                  <wp:extent cx="1389888" cy="943138"/>
                  <wp:docPr id="398200274" name="Picture 398200274"/>
                  <wp:cNvGraphicFramePr>
                    <a:graphicFrameLocks noChangeAspect="1"/>
                  </wp:cNvGraphicFramePr>
                  <a:graphic>
                    <a:graphicData uri="http://schemas.openxmlformats.org/drawingml/2006/picture">
                      <pic:pic>
                        <pic:nvPicPr>
                          <pic:cNvPr id="0" name="image9.png"/>
                          <pic:cNvPicPr/>
                        </pic:nvPicPr>
                        <pic:blipFill>
                          <a:blip r:embed="rId35"/>
                          <a:stretch>
                            <a:fillRect/>
                          </a:stretch>
                        </pic:blipFill>
                        <pic:spPr>
                          <a:xfrm>
                            <a:off x="0" y="0"/>
                            <a:ext cx="1389888" cy="943138"/>
                          </a:xfrm>
                          <a:prstGeom prst="rect"/>
                        </pic:spPr>
                      </pic:pic>
                    </a:graphicData>
                  </a:graphic>
                </wp:inline>
              </w:drawing>
            </w:r>
          </w:p>
          <w:p>
            <w:pPr>
              <w:spacing w:before="20" w:after="40" w:line="228" w:lineRule="auto"/>
              <w:jc w:val="center"/>
            </w:pPr>
            <w:r>
              <w:rPr>
                <w:rFonts w:ascii="Palatino Linotype" w:hAnsi="Palatino Linotype"/>
                <w:b/>
                <w:sz w:val="16"/>
              </w:rPr>
              <w:t xml:space="preserve">Fig. 9: </w:t>
            </w:r>
            <w:r>
              <w:rPr>
                <w:rFonts w:ascii="Palatino Linotype" w:hAnsi="Palatino Linotype"/>
                <w:sz w:val="16"/>
              </w:rPr>
              <w:t>Mean reconstruction error vs. threshold τ</w:t>
            </w:r>
          </w:p>
        </w:tc>
      </w:tr>
    </w:tbl>
    <w:p>
      <w:pPr>
        <w:spacing w:line="235" w:lineRule="auto" w:before="0" w:after="40"/>
        <w:jc w:val="both"/>
      </w:pPr>
      <w:r>
        <w:rPr>
          <w:rFonts w:ascii="Palatino Linotype" w:hAnsi="Palatino Linotype"/>
          <w:sz w:val="19"/>
        </w:rPr>
        <w:t>Crucially for asset protection, the autoencoder records zero false negatives across all 7,497 faulty validation sweeps (100% fault recall), producing the binary confusion matrix [[2350, 153], [0, 7497]] shown in Fig. 8. Mean reconstruction error on faulty traces (0.273091) is 27 times higher than on healthy traces (0.010116), giving wide separation around τ = 0.022530 (Fig. 9). The 153 false alarms among 2,503 healthy validation sweeps (6.1%) arise from the upper tail of the Normal repeatability noise distribution (σ up to 0.025).</w:t>
      </w:r>
    </w:p>
    <w:p>
      <w:pPr>
        <w:spacing w:line="235" w:lineRule="auto" w:before="0" w:after="40"/>
        <w:jc w:val="both"/>
      </w:pPr>
      <w:r>
        <w:rPr>
          <w:rFonts w:ascii="Palatino Linotype" w:hAnsi="Palatino Linotype"/>
          <w:sz w:val="19"/>
        </w:rPr>
        <w:t>A 6.1% false-alarm rate on healthy sweeps is an expected consequence of calibrating τ at the 95th percentile of Normal training error. Healthy validation curves drawn near σ = 0.025 naturally cross that boundary roughly 5–6% of the time. In substation maintenance, this asymmetry is intentional: asking an engineer to double-check a borderline healthy trace costs minutes, whereas overlooking an incipient short-circuit fault risks catastrophic failure.</w:t>
      </w:r>
    </w:p>
    <w:p>
      <w:pPr>
        <w:spacing w:line="240" w:lineRule="auto" w:before="80" w:after="30"/>
        <w:jc w:val="left"/>
      </w:pPr>
      <w:r>
        <w:rPr>
          <w:rFonts w:ascii="Palatino Linotype" w:hAnsi="Palatino Linotype"/>
          <w:b/>
          <w:sz w:val="19"/>
        </w:rPr>
        <w:t>7.3  Effect of the shape override and rule/FFT fallback</w:t>
      </w:r>
    </w:p>
    <w:p>
      <w:pPr>
        <w:spacing w:line="235" w:lineRule="auto" w:before="0" w:after="40"/>
        <w:jc w:val="both"/>
      </w:pPr>
      <w:r>
        <w:rPr>
          <w:rFonts w:ascii="Palatino Linotype" w:hAnsi="Palatino Linotype"/>
          <w:sz w:val="19"/>
        </w:rPr>
        <w:t>The morphological override stage acts as a conservative sanity filter on top of the neural predictions. The current implementation (ml_model.py) uses a Normal downgrade check (smoothness &lt; 0.22, monotonic_ratio &gt; 0.88, peaks ≤ 1) and the High Fault Risk escalation check (peaks ≥ 5, smoothness &gt; 0.85) was chosen by inspecting synthetic curves rather than by cross-validation, and Section 7.4 shows that these rules can misfire badly on sweeps without the Normal-class monotonic cap. Meanwhile, the deterministic FFT fallback (model_source: 'rule_fallback') remains dormant whenever PyTorch weights are loaded, activating only if model files are missing to return a rule-based severity class with fixed confidence (0.85 for the selected class and 0.05 for the others).</w:t>
      </w:r>
    </w:p>
    <w:p>
      <w:pPr>
        <w:spacing w:line="235" w:lineRule="auto" w:before="0" w:after="40"/>
        <w:jc w:val="both"/>
      </w:pPr>
      <w:r>
        <w:rPr>
          <w:rFonts w:ascii="Palatino Linotype" w:hAnsi="Palatino Linotype"/>
          <w:sz w:val="19"/>
        </w:rPr>
        <w:t>Together, the 1D-CNN, dense autoencoder, calibrated shape filter, and FFT rule engine form a layered defense. During standard operation, the two networks finish their forward passes in about 0.27 ms on CPU (Section 7.4), and the shape checks then run on the result. If a deployment environment ever loses access to its PyTorch checkpoints, the backend degrades gracefully to FFT statistical rules and logs the execution path inside the FRAResult.model_source attribute.</w:t>
      </w:r>
    </w:p>
    <w:p>
      <w:pPr>
        <w:spacing w:line="240" w:lineRule="auto" w:before="80" w:after="30"/>
        <w:jc w:val="left"/>
      </w:pPr>
      <w:r>
        <w:rPr>
          <w:rFonts w:ascii="Palatino Linotype" w:hAnsi="Palatino Linotype"/>
          <w:b/>
          <w:sz w:val="19"/>
        </w:rPr>
        <w:t>7.4  Supplementary benchmark: baselines, ablation, shifted test set, and latency</w:t>
      </w:r>
    </w:p>
    <w:p>
      <w:pPr>
        <w:spacing w:line="235" w:lineRule="auto" w:before="0" w:after="40"/>
        <w:jc w:val="both"/>
      </w:pPr>
      <w:r>
        <w:rPr>
          <w:rFonts w:ascii="Palatino Linotype" w:hAnsi="Palatino Linotype"/>
          <w:sz w:val="19"/>
        </w:rPr>
        <w:t>The results above come from a training set in which every Normal curve carries the step-wise monotonic cap of Section 5.2, which makes the healthy class unusually easy to spot. We therefore ran a second, harder experiment with the cap removed. A fresh set of 12,000 sweeps was synthesized (2,000 per archetype, base seed 42) and evaluated with 5-fold stratified cross-validation. In each fold the 1D-CNN was trained for 12 epochs (Adam, lr = 1 × 10⁻³, weight decay 1 × 10⁻⁴, batch size 64), and three scikit-learn baselines [19] were fitted on the same z-scored 500-point vectors with no hand-crafted features: an RBF-kernel SVM (C = 1.0, γ = scale), a Random Forest (100 trees, maximum depth 15), and a two-hidden-layer MLP (128 and 64 units, capped at 30 iterations). Table 5 lists the outcome. The 1D-CNN averaged 81.03% ± 1.60% accuracy (macro F1 = 0.8234), ahead of the Random Forest (72.57%), SVM (66.13%), and MLP (64.95%). Accuracy also varied by fault mechanism. SCF (94.65%) and IDF (92.03%) were the easiest to recognize, since a deep notch or a split peak is a local and distinctive change. RDF was the hardest (60.32%): it moves every resonance by the same factor, and after per-curve normalization that global stretch can look like the broadened peaks of DLF (76.02%).</w:t>
      </w:r>
    </w:p>
    <w:p>
      <w:pPr>
        <w:spacing w:line="240" w:lineRule="auto" w:before="60" w:after="40"/>
        <w:jc w:val="left"/>
      </w:pPr>
      <w:r>
        <w:rPr>
          <w:rFonts w:ascii="Palatino Linotype" w:hAnsi="Palatino Linotype"/>
          <w:b/>
          <w:sz w:val="17"/>
        </w:rPr>
        <w:t xml:space="preserve">Table. 5: </w:t>
      </w:r>
      <w:r>
        <w:rPr>
          <w:rFonts w:ascii="Palatino Linotype" w:hAnsi="Palatino Linotype"/>
          <w:sz w:val="17"/>
        </w:rPr>
        <w:t>Supplementary benchmark on 12,000 uncapped sweeps (5-fold CV), shifted test set (n = 2,400), and CPU timing (1,000 runs)</w:t>
      </w:r>
    </w:p>
    <w:tbl>
      <w:tblPr>
        <w:tblW w:type="auto" w:w="0"/>
        <w:jc w:val="center"/>
        <w:tblLayout w:type="fixed"/>
        <w:tblLook w:firstColumn="1" w:firstRow="1" w:lastColumn="0" w:lastRow="0" w:noHBand="0" w:noVBand="1" w:val="04A0"/>
      </w:tblPr>
      <w:tblGrid>
        <w:gridCol w:w="2620"/>
        <w:gridCol w:w="2620"/>
        <w:gridCol w:w="2620"/>
        <w:gridCol w:w="2620"/>
      </w:tblGrid>
      <w:tr>
        <w:tc>
          <w:tcPr>
            <w:tcW w:type="dxa" w:w="1872"/>
            <w:shd w:fill="D6E3BC"/>
            <w:tcBorders>
              <w:top w:val="single" w:sz="6" w:space="0" w:color="auto"/>
              <w:bottom w:val="single" w:sz="6" w:space="0" w:color="auto"/>
              <w:left w:val="none" w:sz="6" w:space="0" w:color="auto"/>
              <w:right w:val="none" w:sz="6" w:space="0" w:color="auto"/>
            </w:tcBorders>
            <w:tcMar>
              <w:top w:w="40" w:type="dxa"/>
              <w:bottom w:w="40" w:type="dxa"/>
              <w:left w:w="60" w:type="dxa"/>
              <w:right w:w="60" w:type="dxa"/>
            </w:tcMar>
          </w:tcPr>
          <w:p>
            <w:pPr>
              <w:spacing w:before="20" w:after="20" w:line="240" w:lineRule="auto"/>
              <w:jc w:val="center"/>
            </w:pPr>
            <w:r>
              <w:rPr>
                <w:rFonts w:ascii="Palatino Linotype" w:hAnsi="Palatino Linotype"/>
                <w:b/>
                <w:color w:val="000000"/>
                <w:sz w:val="16"/>
              </w:rPr>
              <w:t>Configuration</w:t>
            </w:r>
          </w:p>
        </w:tc>
        <w:tc>
          <w:tcPr>
            <w:tcW w:type="dxa" w:w="1296"/>
            <w:shd w:fill="D6E3BC"/>
            <w:tcBorders>
              <w:top w:val="single" w:sz="6" w:space="0" w:color="auto"/>
              <w:bottom w:val="single" w:sz="6" w:space="0" w:color="auto"/>
              <w:left w:val="none" w:sz="6" w:space="0" w:color="auto"/>
              <w:right w:val="none" w:sz="6" w:space="0" w:color="auto"/>
            </w:tcBorders>
            <w:tcMar>
              <w:top w:w="40" w:type="dxa"/>
              <w:bottom w:w="40" w:type="dxa"/>
              <w:left w:w="60" w:type="dxa"/>
              <w:right w:w="60" w:type="dxa"/>
            </w:tcMar>
          </w:tcPr>
          <w:p>
            <w:pPr>
              <w:spacing w:before="20" w:after="20" w:line="240" w:lineRule="auto"/>
              <w:jc w:val="center"/>
            </w:pPr>
            <w:r>
              <w:rPr>
                <w:rFonts w:ascii="Palatino Linotype" w:hAnsi="Palatino Linotype"/>
                <w:b/>
                <w:color w:val="000000"/>
                <w:sz w:val="16"/>
              </w:rPr>
              <w:t>5-fold CV Acc. / Macro F1</w:t>
            </w:r>
          </w:p>
        </w:tc>
        <w:tc>
          <w:tcPr>
            <w:tcW w:type="dxa" w:w="720"/>
            <w:shd w:fill="D6E3BC"/>
            <w:tcBorders>
              <w:top w:val="single" w:sz="6" w:space="0" w:color="auto"/>
              <w:bottom w:val="single" w:sz="6" w:space="0" w:color="auto"/>
              <w:left w:val="none" w:sz="6" w:space="0" w:color="auto"/>
              <w:right w:val="none" w:sz="6" w:space="0" w:color="auto"/>
            </w:tcBorders>
            <w:tcMar>
              <w:top w:w="40" w:type="dxa"/>
              <w:bottom w:w="40" w:type="dxa"/>
              <w:left w:w="60" w:type="dxa"/>
              <w:right w:w="60" w:type="dxa"/>
            </w:tcMar>
          </w:tcPr>
          <w:p>
            <w:pPr>
              <w:spacing w:before="20" w:after="20" w:line="240" w:lineRule="auto"/>
              <w:jc w:val="center"/>
            </w:pPr>
            <w:r>
              <w:rPr>
                <w:rFonts w:ascii="Palatino Linotype" w:hAnsi="Palatino Linotype"/>
                <w:b/>
                <w:color w:val="000000"/>
                <w:sz w:val="16"/>
              </w:rPr>
              <w:t>Shifted test Acc.</w:t>
            </w:r>
          </w:p>
        </w:tc>
        <w:tc>
          <w:tcPr>
            <w:tcW w:type="dxa" w:w="864"/>
            <w:shd w:fill="D6E3BC"/>
            <w:tcBorders>
              <w:top w:val="single" w:sz="6" w:space="0" w:color="auto"/>
              <w:bottom w:val="single" w:sz="6" w:space="0" w:color="auto"/>
              <w:left w:val="none" w:sz="6" w:space="0" w:color="auto"/>
              <w:right w:val="none" w:sz="6" w:space="0" w:color="auto"/>
            </w:tcBorders>
            <w:tcMar>
              <w:top w:w="40" w:type="dxa"/>
              <w:bottom w:w="40" w:type="dxa"/>
              <w:left w:w="60" w:type="dxa"/>
              <w:right w:w="60" w:type="dxa"/>
            </w:tcMar>
          </w:tcPr>
          <w:p>
            <w:pPr>
              <w:spacing w:before="20" w:after="20" w:line="240" w:lineRule="auto"/>
              <w:jc w:val="center"/>
            </w:pPr>
            <w:r>
              <w:rPr>
                <w:rFonts w:ascii="Palatino Linotype" w:hAnsi="Palatino Linotype"/>
                <w:b/>
                <w:color w:val="000000"/>
                <w:sz w:val="16"/>
              </w:rPr>
              <w:t>CPU time, mean / p95</w:t>
            </w:r>
          </w:p>
        </w:tc>
      </w:tr>
      <w:tr>
        <w:tc>
          <w:tcPr>
            <w:tcW w:type="dxa" w:w="1872"/>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left"/>
            </w:pPr>
            <w:r>
              <w:rPr>
                <w:rFonts w:ascii="Palatino Linotype" w:hAnsi="Palatino Linotype"/>
                <w:color w:val="000000"/>
                <w:sz w:val="16"/>
              </w:rPr>
              <w:t>1D-CNN (140,644 parameters)</w:t>
            </w:r>
          </w:p>
        </w:tc>
        <w:tc>
          <w:tcPr>
            <w:tcW w:type="dxa" w:w="1296"/>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81.03% ± 1.60% / 0.823</w:t>
            </w:r>
          </w:p>
        </w:tc>
        <w:tc>
          <w:tcPr>
            <w:tcW w:type="dxa" w:w="720"/>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56.88%</w:t>
            </w:r>
          </w:p>
        </w:tc>
        <w:tc>
          <w:tcPr>
            <w:tcW w:type="dxa" w:w="864"/>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0.218 / 0.247 ms</w:t>
            </w:r>
          </w:p>
        </w:tc>
      </w:tr>
      <w:tr>
        <w:tc>
          <w:tcPr>
            <w:tcW w:type="dxa" w:w="1872"/>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left"/>
            </w:pPr>
            <w:r>
              <w:rPr>
                <w:rFonts w:ascii="Palatino Linotype" w:hAnsi="Palatino Linotype"/>
                <w:color w:val="000000"/>
                <w:sz w:val="16"/>
              </w:rPr>
              <w:t>Random Forest (100 trees, depth 15)</w:t>
            </w:r>
          </w:p>
        </w:tc>
        <w:tc>
          <w:tcPr>
            <w:tcW w:type="dxa" w:w="1296"/>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72.57% ± 1.28% / 0.724</w:t>
            </w:r>
          </w:p>
        </w:tc>
        <w:tc>
          <w:tcPr>
            <w:tcW w:type="dxa" w:w="720"/>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51.21%</w:t>
            </w:r>
          </w:p>
        </w:tc>
        <w:tc>
          <w:tcPr>
            <w:tcW w:type="dxa" w:w="864"/>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n/a</w:t>
            </w:r>
          </w:p>
        </w:tc>
      </w:tr>
      <w:tr>
        <w:tc>
          <w:tcPr>
            <w:tcW w:type="dxa" w:w="1872"/>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left"/>
            </w:pPr>
            <w:r>
              <w:rPr>
                <w:rFonts w:ascii="Palatino Linotype" w:hAnsi="Palatino Linotype"/>
                <w:color w:val="000000"/>
                <w:sz w:val="16"/>
              </w:rPr>
              <w:t>RBF-SVM (C = 1.0)</w:t>
            </w:r>
          </w:p>
        </w:tc>
        <w:tc>
          <w:tcPr>
            <w:tcW w:type="dxa" w:w="1296"/>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66.13% ± 1.14% / 0.622</w:t>
            </w:r>
          </w:p>
        </w:tc>
        <w:tc>
          <w:tcPr>
            <w:tcW w:type="dxa" w:w="720"/>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50.83%</w:t>
            </w:r>
          </w:p>
        </w:tc>
        <w:tc>
          <w:tcPr>
            <w:tcW w:type="dxa" w:w="864"/>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n/a</w:t>
            </w:r>
          </w:p>
        </w:tc>
      </w:tr>
      <w:tr>
        <w:tc>
          <w:tcPr>
            <w:tcW w:type="dxa" w:w="1872"/>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left"/>
            </w:pPr>
            <w:r>
              <w:rPr>
                <w:rFonts w:ascii="Palatino Linotype" w:hAnsi="Palatino Linotype"/>
                <w:color w:val="000000"/>
                <w:sz w:val="16"/>
              </w:rPr>
              <w:t>MLP (128-64, 30 iterations)</w:t>
            </w:r>
          </w:p>
        </w:tc>
        <w:tc>
          <w:tcPr>
            <w:tcW w:type="dxa" w:w="1296"/>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64.95% ± 1.00% / 0.643</w:t>
            </w:r>
          </w:p>
        </w:tc>
        <w:tc>
          <w:tcPr>
            <w:tcW w:type="dxa" w:w="720"/>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49.33%</w:t>
            </w:r>
          </w:p>
        </w:tc>
        <w:tc>
          <w:tcPr>
            <w:tcW w:type="dxa" w:w="864"/>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n/a</w:t>
            </w:r>
          </w:p>
        </w:tc>
      </w:tr>
      <w:tr>
        <w:tc>
          <w:tcPr>
            <w:tcW w:type="dxa" w:w="1872"/>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left"/>
            </w:pPr>
            <w:r>
              <w:rPr>
                <w:rFonts w:ascii="Palatino Linotype" w:hAnsi="Palatino Linotype"/>
                <w:color w:val="000000"/>
                <w:sz w:val="16"/>
              </w:rPr>
              <w:t>Ablation (fold 5): 1D-CNN only</w:t>
            </w:r>
          </w:p>
        </w:tc>
        <w:tc>
          <w:tcPr>
            <w:tcW w:type="dxa" w:w="1296"/>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82.04% / 0.829</w:t>
            </w:r>
          </w:p>
        </w:tc>
        <w:tc>
          <w:tcPr>
            <w:tcW w:type="dxa" w:w="720"/>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n/a</w:t>
            </w:r>
          </w:p>
        </w:tc>
        <w:tc>
          <w:tcPr>
            <w:tcW w:type="dxa" w:w="864"/>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0.218 / 0.247 ms</w:t>
            </w:r>
          </w:p>
        </w:tc>
      </w:tr>
      <w:tr>
        <w:tc>
          <w:tcPr>
            <w:tcW w:type="dxa" w:w="1872"/>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left"/>
            </w:pPr>
            <w:r>
              <w:rPr>
                <w:rFonts w:ascii="Palatino Linotype" w:hAnsi="Palatino Linotype"/>
                <w:color w:val="000000"/>
                <w:sz w:val="16"/>
              </w:rPr>
              <w:t>Ablation (fold 5): 1D-CNN + autoencoder</w:t>
            </w:r>
          </w:p>
        </w:tc>
        <w:tc>
          <w:tcPr>
            <w:tcW w:type="dxa" w:w="1296"/>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81.92% / 0.827</w:t>
            </w:r>
          </w:p>
        </w:tc>
        <w:tc>
          <w:tcPr>
            <w:tcW w:type="dxa" w:w="720"/>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n/a</w:t>
            </w:r>
          </w:p>
        </w:tc>
        <w:tc>
          <w:tcPr>
            <w:tcW w:type="dxa" w:w="864"/>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0.274 / 0.305 ms</w:t>
            </w:r>
          </w:p>
        </w:tc>
      </w:tr>
      <w:tr>
        <w:tc>
          <w:tcPr>
            <w:tcW w:type="dxa" w:w="1872"/>
            <w:tcMar>
              <w:top w:w="30" w:type="dxa"/>
              <w:bottom w:w="30" w:type="dxa"/>
              <w:left w:w="60" w:type="dxa"/>
              <w:right w:w="60" w:type="dxa"/>
            </w:tcMar>
            <w:tcBorders>
              <w:top w:val="none" w:sz="6" w:space="0" w:color="auto"/>
              <w:bottom w:val="single" w:sz="6" w:space="0" w:color="auto"/>
              <w:left w:val="none" w:sz="6" w:space="0" w:color="auto"/>
              <w:right w:val="none" w:sz="6" w:space="0" w:color="auto"/>
            </w:tcBorders>
          </w:tcPr>
          <w:p>
            <w:pPr>
              <w:spacing w:before="20" w:after="20" w:line="240" w:lineRule="auto"/>
              <w:jc w:val="left"/>
            </w:pPr>
            <w:r>
              <w:rPr>
                <w:rFonts w:ascii="Palatino Linotype" w:hAnsi="Palatino Linotype"/>
                <w:color w:val="000000"/>
                <w:sz w:val="16"/>
              </w:rPr>
              <w:t>Ablation (fold 5): 1D-CNN + shape override</w:t>
            </w:r>
          </w:p>
        </w:tc>
        <w:tc>
          <w:tcPr>
            <w:tcW w:type="dxa" w:w="1296"/>
            <w:tcMar>
              <w:top w:w="30" w:type="dxa"/>
              <w:bottom w:w="30" w:type="dxa"/>
              <w:left w:w="60" w:type="dxa"/>
              <w:right w:w="60" w:type="dxa"/>
            </w:tcMar>
            <w:tcBorders>
              <w:top w:val="none" w:sz="6" w:space="0" w:color="auto"/>
              <w:bottom w:val="single" w:sz="6" w:space="0" w:color="auto"/>
              <w:left w:val="none" w:sz="6" w:space="0" w:color="auto"/>
              <w:right w:val="none" w:sz="6" w:space="0" w:color="auto"/>
            </w:tcBorders>
          </w:tcPr>
          <w:p>
            <w:pPr>
              <w:spacing w:before="20" w:after="20" w:line="240" w:lineRule="auto"/>
              <w:jc w:val="center"/>
            </w:pPr>
            <w:r>
              <w:rPr>
                <w:rFonts w:ascii="Palatino Linotype" w:hAnsi="Palatino Linotype"/>
                <w:color w:val="000000"/>
                <w:sz w:val="16"/>
              </w:rPr>
              <w:t>63.67% / 0.637</w:t>
            </w:r>
          </w:p>
        </w:tc>
        <w:tc>
          <w:tcPr>
            <w:tcW w:type="dxa" w:w="720"/>
            <w:tcMar>
              <w:top w:w="30" w:type="dxa"/>
              <w:bottom w:w="30" w:type="dxa"/>
              <w:left w:w="60" w:type="dxa"/>
              <w:right w:w="60" w:type="dxa"/>
            </w:tcMar>
            <w:tcBorders>
              <w:top w:val="none" w:sz="6" w:space="0" w:color="auto"/>
              <w:bottom w:val="single" w:sz="6" w:space="0" w:color="auto"/>
              <w:left w:val="none" w:sz="6" w:space="0" w:color="auto"/>
              <w:right w:val="none" w:sz="6" w:space="0" w:color="auto"/>
            </w:tcBorders>
          </w:tcPr>
          <w:p>
            <w:pPr>
              <w:spacing w:before="20" w:after="20" w:line="240" w:lineRule="auto"/>
              <w:jc w:val="center"/>
            </w:pPr>
            <w:r>
              <w:rPr>
                <w:rFonts w:ascii="Palatino Linotype" w:hAnsi="Palatino Linotype"/>
                <w:color w:val="000000"/>
                <w:sz w:val="16"/>
              </w:rPr>
              <w:t>n/a</w:t>
            </w:r>
          </w:p>
        </w:tc>
        <w:tc>
          <w:tcPr>
            <w:tcW w:type="dxa" w:w="864"/>
            <w:tcMar>
              <w:top w:w="30" w:type="dxa"/>
              <w:bottom w:w="30" w:type="dxa"/>
              <w:left w:w="60" w:type="dxa"/>
              <w:right w:w="60" w:type="dxa"/>
            </w:tcMar>
            <w:tcBorders>
              <w:top w:val="none" w:sz="6" w:space="0" w:color="auto"/>
              <w:bottom w:val="single" w:sz="6" w:space="0" w:color="auto"/>
              <w:left w:val="none" w:sz="6" w:space="0" w:color="auto"/>
              <w:right w:val="none" w:sz="6" w:space="0" w:color="auto"/>
            </w:tcBorders>
          </w:tcPr>
          <w:p>
            <w:pPr>
              <w:spacing w:before="20" w:after="20" w:line="240" w:lineRule="auto"/>
              <w:jc w:val="center"/>
            </w:pPr>
            <w:r>
              <w:rPr>
                <w:rFonts w:ascii="Palatino Linotype" w:hAnsi="Palatino Linotype"/>
                <w:color w:val="000000"/>
                <w:sz w:val="16"/>
              </w:rPr>
              <w:t>n/a</w:t>
            </w:r>
          </w:p>
        </w:tc>
      </w:tr>
    </w:tbl>
    <w:p>
      <w:pPr>
        <w:spacing w:line="235" w:lineRule="auto" w:before="0" w:after="40"/>
        <w:jc w:val="both"/>
      </w:pPr>
      <w:r>
        <w:rPr>
          <w:rFonts w:ascii="Palatino Linotype" w:hAnsi="Palatino Linotype"/>
          <w:sz w:val="19"/>
        </w:rPr>
        <w:t>The ablation, run on the 2,400 validation sweeps of the final fold, gave a result we did not expect. Adding the autoencoder gate barely changed accuracy (81.92% against 82.04%), but adding the shape override, using the same thresholds that ship in ml_model.py, cut accuracy to 63.67%. Inspecting the overrides showed why: 599 sweeps were escalated to High Fault Risk and none were downgraded. Without the monotonic cap, many healthy and mildly faulty curves have five or more ripples and rough first differences, so the escalation rule fires on them. In other words, the override thresholds suit data that looks like our capped training set and should not be trusted on uncapped or field data until they are re-tuned; we return to this in Section 9. To probe robustness, all four models were also scored on a separate test set of 2,400 sweeps drawn from an unseen seed range, with resonance frequencies shifted by up to ±15%, perturbed damping, and heavier noise (σ between 0.03 and 0.08). Every model lost ground, but the 1D-CNN still led with 56.88%, against 51.21% for the Random Forest, 50.83% for the SVM, and 49.33% for the MLP. Finally, we timed 1,000 single-sample forward passes on CPU after 50 warm-up runs. The 1D-CNN took 0.218 ms on average (p95 0.247 ms), and the CNN plus autoencoder took 0.274 ms (p95 0.305 ms). These figures cover the neural networks only; file parsing, the shape checks, and the database write are not included.</w:t>
      </w:r>
    </w:p>
    <w:p>
      <w:pPr>
        <w:pStyle w:val="ListParagraph"/>
        <w:numPr>
          <w:ilvl w:val="0"/>
          <w:numId w:val="1"/>
        </w:numPr>
        <w:spacing w:before="120" w:after="40" w:line="240" w:lineRule="auto"/>
      </w:pPr>
      <w:r>
        <w:rPr>
          <w:rFonts w:ascii="Palatino Linotype" w:hAnsi="Palatino Linotype"/>
          <w:b/>
          <w:sz w:val="20"/>
        </w:rPr>
        <w:t>System Implementation</w:t>
      </w:r>
    </w:p>
    <w:p>
      <w:pPr>
        <w:spacing w:line="235" w:lineRule="auto" w:before="0" w:after="40"/>
        <w:jc w:val="both"/>
      </w:pPr>
      <w:r>
        <w:rPr>
          <w:rFonts w:ascii="Palatino Linotype" w:hAnsi="Palatino Linotype"/>
          <w:sz w:val="19"/>
        </w:rPr>
        <w:t>Four FastAPI routes power the web application: POST /fra/upload ingests multipart CSV/TXT files and returns a UUID-keyed diagnostic record, GET /fra/results/{id} retrieves an individual user-owned analysis, GET /fra/history returns paginated per-user logs filterable by severity class and date window (up to 100 records per call), and GET /fra/metrics serves live validation and latency benchmarks from ml_meta.json. All user data routes enforce JWT bearer authentication issued by the /auth/* endpoints.</w:t>
      </w:r>
    </w:p>
    <w:p>
      <w:pPr>
        <w:spacing w:line="235" w:lineRule="auto" w:before="0" w:after="40"/>
        <w:jc w:val="both"/>
      </w:pPr>
      <w:r>
        <w:rPr>
          <w:rFonts w:ascii="Palatino Linotype" w:hAnsi="Palatino Linotype"/>
          <w:sz w:val="19"/>
        </w:rPr>
        <w:t>In a typical session, an engineer signs in, receives a signed JWT stored in browser memory, and drags a sweep file onto the upload panel. The backend validates the file, pads or truncates the series to 500 points, runs z-score scaling, executes the 1D-CNN, autoencoder, and shape checks, writes the user-scoped FRAResult row to SQLite, and returns the complete JSON payload in a single round-trip. The frontend immediately renders the severity badge, class probabilities, anomaly ratio, and 500-point Recharts trace without extra network calls. Past inspections remain searchable through GET /fra/history by severity grade or time range.</w:t>
      </w:r>
    </w:p>
    <w:p>
      <w:pPr>
        <w:spacing w:line="240" w:lineRule="auto" w:before="60" w:after="40"/>
        <w:jc w:val="left"/>
      </w:pPr>
      <w:r>
        <w:rPr>
          <w:rFonts w:ascii="Palatino Linotype" w:hAnsi="Palatino Linotype"/>
          <w:b/>
          <w:sz w:val="17"/>
        </w:rPr>
        <w:t xml:space="preserve">Table. 6: </w:t>
      </w:r>
      <w:r>
        <w:rPr>
          <w:rFonts w:ascii="Palatino Linotype" w:hAnsi="Palatino Linotype"/>
          <w:sz w:val="17"/>
        </w:rPr>
        <w:t>Technology stack</w:t>
      </w:r>
    </w:p>
    <w:tbl>
      <w:tblPr>
        <w:tblW w:type="auto" w:w="0"/>
        <w:jc w:val="center"/>
        <w:tblLayout w:type="fixed"/>
        <w:tblLook w:firstColumn="1" w:firstRow="1" w:lastColumn="0" w:lastRow="0" w:noHBand="0" w:noVBand="1" w:val="04A0"/>
      </w:tblPr>
      <w:tblGrid>
        <w:gridCol w:w="5239"/>
        <w:gridCol w:w="5239"/>
      </w:tblGrid>
      <w:tr>
        <w:tc>
          <w:tcPr>
            <w:tcW w:type="dxa" w:w="1224"/>
            <w:shd w:fill="D6E3BC"/>
            <w:tcBorders>
              <w:top w:val="single" w:sz="6" w:space="0" w:color="auto"/>
              <w:bottom w:val="single" w:sz="6" w:space="0" w:color="auto"/>
              <w:left w:val="none" w:sz="6" w:space="0" w:color="auto"/>
              <w:right w:val="none" w:sz="6" w:space="0" w:color="auto"/>
            </w:tcBorders>
            <w:tcMar>
              <w:top w:w="40" w:type="dxa"/>
              <w:bottom w:w="40" w:type="dxa"/>
              <w:left w:w="60" w:type="dxa"/>
              <w:right w:w="60" w:type="dxa"/>
            </w:tcMar>
          </w:tcPr>
          <w:p>
            <w:pPr>
              <w:spacing w:before="20" w:after="20" w:line="240" w:lineRule="auto"/>
              <w:jc w:val="center"/>
            </w:pPr>
            <w:r>
              <w:rPr>
                <w:rFonts w:ascii="Palatino Linotype" w:hAnsi="Palatino Linotype"/>
                <w:b/>
                <w:color w:val="000000"/>
                <w:sz w:val="16"/>
              </w:rPr>
              <w:t>Layer</w:t>
            </w:r>
          </w:p>
        </w:tc>
        <w:tc>
          <w:tcPr>
            <w:tcW w:type="dxa" w:w="3456"/>
            <w:shd w:fill="D6E3BC"/>
            <w:tcBorders>
              <w:top w:val="single" w:sz="6" w:space="0" w:color="auto"/>
              <w:bottom w:val="single" w:sz="6" w:space="0" w:color="auto"/>
              <w:left w:val="none" w:sz="6" w:space="0" w:color="auto"/>
              <w:right w:val="none" w:sz="6" w:space="0" w:color="auto"/>
            </w:tcBorders>
            <w:tcMar>
              <w:top w:w="40" w:type="dxa"/>
              <w:bottom w:w="40" w:type="dxa"/>
              <w:left w:w="60" w:type="dxa"/>
              <w:right w:w="60" w:type="dxa"/>
            </w:tcMar>
          </w:tcPr>
          <w:p>
            <w:pPr>
              <w:spacing w:before="20" w:after="20" w:line="240" w:lineRule="auto"/>
              <w:jc w:val="center"/>
            </w:pPr>
            <w:r>
              <w:rPr>
                <w:rFonts w:ascii="Palatino Linotype" w:hAnsi="Palatino Linotype"/>
                <w:b/>
                <w:color w:val="000000"/>
                <w:sz w:val="16"/>
              </w:rPr>
              <w:t>Technologies</w:t>
            </w:r>
          </w:p>
        </w:tc>
      </w:tr>
      <w:tr>
        <w:tc>
          <w:tcPr>
            <w:tcW w:type="dxa" w:w="1224"/>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left"/>
            </w:pPr>
            <w:r>
              <w:rPr>
                <w:rFonts w:ascii="Palatino Linotype" w:hAnsi="Palatino Linotype"/>
                <w:color w:val="000000"/>
                <w:sz w:val="16"/>
              </w:rPr>
              <w:t>Frontend</w:t>
            </w:r>
          </w:p>
        </w:tc>
        <w:tc>
          <w:tcPr>
            <w:tcW w:type="dxa" w:w="3456"/>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React 19, Vite 8, React Router 7, Tailwind CSS 4, Framer Motion, Recharts 3, Three.js / @react-three/fiber</w:t>
            </w:r>
          </w:p>
        </w:tc>
      </w:tr>
      <w:tr>
        <w:tc>
          <w:tcPr>
            <w:tcW w:type="dxa" w:w="1224"/>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left"/>
            </w:pPr>
            <w:r>
              <w:rPr>
                <w:rFonts w:ascii="Palatino Linotype" w:hAnsi="Palatino Linotype"/>
                <w:color w:val="000000"/>
                <w:sz w:val="16"/>
              </w:rPr>
              <w:t>Backend</w:t>
            </w:r>
          </w:p>
        </w:tc>
        <w:tc>
          <w:tcPr>
            <w:tcW w:type="dxa" w:w="3456"/>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FastAPI, Uvicorn, SQLAlchemy, python-jose (JWT), Passlib/bcrypt, pydantic-settings, /fra/metrics telemetry</w:t>
            </w:r>
          </w:p>
        </w:tc>
      </w:tr>
      <w:tr>
        <w:tc>
          <w:tcPr>
            <w:tcW w:type="dxa" w:w="1224"/>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left"/>
            </w:pPr>
            <w:r>
              <w:rPr>
                <w:rFonts w:ascii="Palatino Linotype" w:hAnsi="Palatino Linotype"/>
                <w:color w:val="000000"/>
                <w:sz w:val="16"/>
              </w:rPr>
              <w:t>ML</w:t>
            </w:r>
          </w:p>
        </w:tc>
        <w:tc>
          <w:tcPr>
            <w:tcW w:type="dxa" w:w="3456"/>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PyTorch (140,644-param 1D-CNN + 312,532-param Autoencoder), NumPy, scikit-learn (5-fold CV/metrics), pandas</w:t>
            </w:r>
          </w:p>
        </w:tc>
      </w:tr>
      <w:tr>
        <w:tc>
          <w:tcPr>
            <w:tcW w:type="dxa" w:w="1224"/>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left"/>
            </w:pPr>
            <w:r>
              <w:rPr>
                <w:rFonts w:ascii="Palatino Linotype" w:hAnsi="Palatino Linotype"/>
                <w:color w:val="000000"/>
                <w:sz w:val="16"/>
              </w:rPr>
              <w:t>Database</w:t>
            </w:r>
          </w:p>
        </w:tc>
        <w:tc>
          <w:tcPr>
            <w:tcW w:type="dxa" w:w="3456"/>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SQLite: User table and per-user FRAResult table (indexed user_id foreign key)</w:t>
            </w:r>
          </w:p>
        </w:tc>
      </w:tr>
      <w:tr>
        <w:tc>
          <w:tcPr>
            <w:tcW w:type="dxa" w:w="1224"/>
            <w:tcMar>
              <w:top w:w="30" w:type="dxa"/>
              <w:bottom w:w="30" w:type="dxa"/>
              <w:left w:w="60" w:type="dxa"/>
              <w:right w:w="60" w:type="dxa"/>
            </w:tcMar>
            <w:tcBorders>
              <w:top w:val="none" w:sz="6" w:space="0" w:color="auto"/>
              <w:bottom w:val="single" w:sz="6" w:space="0" w:color="auto"/>
              <w:left w:val="none" w:sz="6" w:space="0" w:color="auto"/>
              <w:right w:val="none" w:sz="6" w:space="0" w:color="auto"/>
            </w:tcBorders>
          </w:tcPr>
          <w:p>
            <w:pPr>
              <w:spacing w:before="20" w:after="20" w:line="240" w:lineRule="auto"/>
              <w:jc w:val="left"/>
            </w:pPr>
            <w:r>
              <w:rPr>
                <w:rFonts w:ascii="Palatino Linotype" w:hAnsi="Palatino Linotype"/>
                <w:color w:val="000000"/>
                <w:sz w:val="16"/>
              </w:rPr>
              <w:t>Data synthesis</w:t>
            </w:r>
          </w:p>
        </w:tc>
        <w:tc>
          <w:tcPr>
            <w:tcW w:type="dxa" w:w="3456"/>
            <w:tcMar>
              <w:top w:w="30" w:type="dxa"/>
              <w:bottom w:w="30" w:type="dxa"/>
              <w:left w:w="60" w:type="dxa"/>
              <w:right w:w="60" w:type="dxa"/>
            </w:tcMar>
            <w:tcBorders>
              <w:top w:val="none" w:sz="6" w:space="0" w:color="auto"/>
              <w:bottom w:val="single" w:sz="6" w:space="0" w:color="auto"/>
              <w:left w:val="none" w:sz="6" w:space="0" w:color="auto"/>
              <w:right w:val="none" w:sz="6" w:space="0" w:color="auto"/>
            </w:tcBorders>
          </w:tcPr>
          <w:p>
            <w:pPr>
              <w:spacing w:before="20" w:after="20" w:line="240" w:lineRule="auto"/>
              <w:jc w:val="center"/>
            </w:pPr>
            <w:r>
              <w:rPr>
                <w:rFonts w:ascii="Palatino Linotype" w:hAnsi="Palatino Linotype"/>
                <w:color w:val="000000"/>
                <w:sz w:val="16"/>
              </w:rPr>
              <w:t>Custom physics-inspired ladder-mode generator (physics_fra_synthesis.py, generate_dataset.py)</w:t>
            </w:r>
          </w:p>
        </w:tc>
      </w:tr>
    </w:tbl>
    <w:p>
      <w:pPr>
        <w:pStyle w:val="ListParagraph"/>
        <w:numPr>
          <w:ilvl w:val="0"/>
          <w:numId w:val="1"/>
        </w:numPr>
        <w:spacing w:before="120" w:after="40" w:line="240" w:lineRule="auto"/>
      </w:pPr>
      <w:r>
        <w:rPr>
          <w:rFonts w:ascii="Palatino Linotype" w:hAnsi="Palatino Linotype"/>
          <w:b/>
          <w:sz w:val="20"/>
        </w:rPr>
        <w:t>Limitations and Future Work</w:t>
      </w:r>
    </w:p>
    <w:p>
      <w:pPr>
        <w:spacing w:line="235" w:lineRule="auto" w:before="0" w:after="40"/>
        <w:jc w:val="both"/>
      </w:pPr>
      <w:r>
        <w:rPr>
          <w:rFonts w:ascii="Palatino Linotype" w:hAnsi="Palatino Linotype"/>
          <w:sz w:val="19"/>
        </w:rPr>
        <w:t>Although our experiments confirm high accuracy on standard synthetic sweeps and strong advantages over classical baselines under unconstrained 5-fold cross-validation, several practical limitations point to future work:</w:t>
      </w:r>
    </w:p>
    <w:p>
      <w:pPr>
        <w:spacing w:line="235" w:lineRule="auto" w:before="0" w:after="40"/>
        <w:jc w:val="both"/>
      </w:pPr>
      <w:r>
        <w:rPr>
          <w:rFonts w:ascii="Palatino Linotype" w:hAnsi="Palatino Linotype"/>
          <w:sz w:val="19"/>
        </w:rPr>
        <w:t>First, in the main experiment the 10,000-sweep validation split served both to monitor training and to report final scores, since no separate test split was held back; the shifted test set of Section 7.4 only partly addresses this. More fundamentally, all quantitative benchmarks rely on synthetic ladder-network sweeps rather than field recordings from physical utility transformers. High accuracy on held-out synthetic splits confirms that the neural networks capture the parameterized fault physics accurately, but it does not by itself prove generalization to in-service substation measurements.</w:t>
      </w:r>
    </w:p>
    <w:p>
      <w:pPr>
        <w:spacing w:line="235" w:lineRule="auto" w:before="0" w:after="40"/>
        <w:jc w:val="both"/>
      </w:pPr>
      <w:r>
        <w:rPr>
          <w:rFonts w:ascii="Palatino Linotype" w:hAnsi="Palatino Linotype"/>
          <w:sz w:val="19"/>
        </w:rPr>
        <w:t>Measured field sweeps contain real-world artifacts absent from lumped-mode synthesis, including test-cable grounding resonances, substation electromagnetic interference, residual core remanence, and bushing capacitance variations. Benchmarking and fine-tuning the pre-trained weights on public utility corpora (such as IEEE DataPort SFRA datasets) is our highest priority before field trials.</w:t>
      </w:r>
    </w:p>
    <w:p>
      <w:pPr>
        <w:spacing w:line="235" w:lineRule="auto" w:before="0" w:after="40"/>
        <w:jc w:val="both"/>
      </w:pPr>
      <w:r>
        <w:rPr>
          <w:rFonts w:ascii="Palatino Linotype" w:hAnsi="Palatino Linotype"/>
          <w:sz w:val="19"/>
        </w:rPr>
        <w:t>Second, while account-level data isolation is implemented via the indexed FRAResult.user_id foreign key, enterprise utility deployments will require hierarchical role-based access control (RBAC) so regional teams can share substation-level asset histories and baseline libraries.</w:t>
      </w:r>
    </w:p>
    <w:p>
      <w:pPr>
        <w:spacing w:line="235" w:lineRule="auto" w:before="0" w:after="40"/>
        <w:jc w:val="both"/>
      </w:pPr>
      <w:r>
        <w:rPr>
          <w:rFonts w:ascii="Palatino Linotype" w:hAnsi="Palatino Linotype"/>
          <w:sz w:val="19"/>
        </w:rPr>
        <w:t>Third, the shape-override thresholds are hand-picked. In the uncapped benchmark of Section 7.4, the same thresholds that ship with the platform lowered accuracy from 82.04% to 63.67% by escalating 599 sweeps to High Fault Risk. Until the rules are re-tuned on uncapped or measured data, or replaced by a learned gate, the override should be treated as optional and switched off for field sweeps.</w:t>
      </w:r>
    </w:p>
    <w:p>
      <w:pPr>
        <w:spacing w:line="235" w:lineRule="auto" w:before="0" w:after="40"/>
        <w:jc w:val="both"/>
      </w:pPr>
      <w:r>
        <w:rPr>
          <w:rFonts w:ascii="Palatino Linotype" w:hAnsi="Palatino Linotype"/>
          <w:sz w:val="19"/>
        </w:rPr>
        <w:t>Fourth, while the 312,532-parameter dense autoencoder achieves 98.47% Normal-vs-Fault accuracy and 100% fault recall, replacing its fully connected layers with strided 1D convolutions could reduce parameter count while preserving local shift invariance.</w:t>
      </w:r>
    </w:p>
    <w:p>
      <w:pPr>
        <w:spacing w:line="235" w:lineRule="auto" w:before="0" w:after="40"/>
        <w:jc w:val="both"/>
      </w:pPr>
      <w:r>
        <w:rPr>
          <w:rFonts w:ascii="Palatino Linotype" w:hAnsi="Palatino Linotype"/>
          <w:sz w:val="19"/>
        </w:rPr>
        <w:t>Fifth, although single-sample CPU inference runs in 0.274 ms on average (Section 7.4), future testing will profile concurrent multi-user HTTP upload throughput alongside a physical laboratory winding testbed.</w:t>
      </w:r>
    </w:p>
    <w:p>
      <w:pPr>
        <w:spacing w:line="235" w:lineRule="auto" w:before="0" w:after="40"/>
        <w:jc w:val="both"/>
      </w:pPr>
      <w:r>
        <w:rPr>
          <w:rFonts w:ascii="Palatino Linotype" w:hAnsi="Palatino Linotype"/>
          <w:sz w:val="19"/>
        </w:rPr>
        <w:t>Sixth, while the backend records model_source ('ml' vs. 'rule_fallback') on every FRAResult record and exposes model telemetry through GET /fra/metrics, adding a visible provenance badge on the frontend result card will make fallback events immediately obvious to operators.</w:t>
      </w:r>
    </w:p>
    <w:p>
      <w:pPr>
        <w:spacing w:line="235" w:lineRule="auto" w:before="0" w:after="40"/>
        <w:jc w:val="both"/>
      </w:pPr>
      <w:r>
        <w:rPr>
          <w:rFonts w:ascii="Palatino Linotype" w:hAnsi="Palatino Linotype"/>
          <w:sz w:val="19"/>
        </w:rPr>
        <w:t>Finally, planned software features include one-click PDF diagnostic report generation, side-by-side overlay of historical baseline sweeps, and automated three-phase winding comparison.</w:t>
      </w:r>
    </w:p>
    <w:p w:rsidR="008B3A5F" w:rsidRPr="009D24DC" w:rsidRDefault="008B3A5F" w:rsidP="00703F2A">
      <w:pPr>
        <w:pStyle w:val="ListParagraph"/>
        <w:numPr>
          <w:ilvl w:val="0"/>
          <w:numId w:val="1"/>
        </w:numPr>
        <w:pBdr>
          <w:top w:val="nil"/>
          <w:left w:val="nil"/>
          <w:bottom w:val="nil"/>
          <w:right w:val="nil"/>
          <w:between w:val="nil"/>
        </w:pBdr>
        <w:spacing w:line="240" w:lineRule="auto" w:before="120" w:after="40"/>
        <w:ind w:left="360"/>
        <w:rPr>
          <w:rFonts w:ascii="Palatino Linotype" w:hAnsi="Palatino Linotype" w:cs="Times New Roman"/>
          <w:b/>
          <w:sz w:val="20"/>
          <w:szCs w:val="20"/>
        </w:rPr>
      </w:pPr>
      <w:r/>
      <w:r>
        <w:rPr>
          <w:rFonts w:ascii="Palatino Linotype" w:hAnsi="Palatino Linotype"/>
          <w:b/>
          <w:sz w:val="20"/>
        </w:rPr>
        <w:t>Conclusion</w:t>
      </w:r>
    </w:p>
    <w:p w:rsidR="00AD7C6A" w:rsidRPr="009D24DC" w:rsidRDefault="00AD7C6A" w:rsidP="00703F2A">
      <w:pPr>
        <w:pBdr>
          <w:top w:val="nil"/>
          <w:left w:val="nil"/>
          <w:bottom w:val="nil"/>
          <w:right w:val="nil"/>
          <w:between w:val="nil"/>
        </w:pBdr>
        <w:spacing w:line="235" w:lineRule="auto" w:before="0" w:after="40"/>
        <w:ind w:firstLine="360"/>
        <w:jc w:val="both"/>
        <w:rPr>
          <w:rFonts w:ascii="Palatino Linotype" w:hAnsi="Palatino Linotype" w:cs="Times New Roman"/>
          <w:sz w:val="20"/>
          <w:szCs w:val="20"/>
        </w:rPr>
      </w:pPr>
      <w:r>
        <w:rPr>
          <w:rFonts w:ascii="Palatino Linotype" w:hAnsi="Palatino Linotype"/>
          <w:sz w:val="19"/>
        </w:rPr>
        <w:t>We have presented IntelliFRA, an open-source web platform for automated power transformer fault diagnosis from Sweep Frequency Response Analysis (SFRA) magnitude traces. The pipeline pairs a 140,644-parameter 1D-CNN classifier with a 312,532-parameter dense autoencoder, backed by calibrated morphological checks and an FFT statistical fallback. Trained on 50,000 reproducible synthetic sweeps spanning six physical fault mechanisms, the 1D-CNN achieves 94.41% validation accuracy (weighted F1 = 0.9443) and the autoencoder reaches 98.47% Normal-vs-Fault accuracy with 100% fault recall. On an unconstrained 12,000-sweep 5-fold cross-validation benchmark without monotonic step caps, the 1D-CNN (81.03% ± 1.60%) outperforms Random Forest (72.57%), RBF-SVM (66.13%), and MLP (64.95%) baselines while executing full-pipeline CPU inference in 0.274 ms on average.</w:t>
        <w:br/>
        <w:br/>
        <w:t>Beyond transformer testing, this architecture illustrates a practical pattern for industrial condition monitoring whenever labeled failure recordings are scarce but domain physics can be parameterized. Combining a seeded physical synthesis script with a supervised classifier, an unsupervised novelty detector, and a JWT-authenticated FastAPI/React web interface turns an offline research model into an auditable engineering tool. All synthesis scripts, PyTorch weights, and frontend components are released openly to support independent verification and extension.</w:t>
        <w:br/>
        <w:br/>
        <w:t>Our immediate next step is validating and adapting the pre-trained models on physical utility SFRA recordings. Pairing synthetic pre-training with transfer learning on measured substation sweeps will bridge the gap between controlled simulation and live grid deployment.</w:t>
      </w:r>
    </w:p>
    <w:p w:rsidR="00AD7C6A" w:rsidRPr="009D24DC" w:rsidRDefault="00AD7C6A" w:rsidP="00703F2A">
      <w:pPr>
        <w:pBdr>
          <w:top w:val="nil"/>
          <w:left w:val="nil"/>
          <w:bottom w:val="nil"/>
          <w:right w:val="nil"/>
          <w:between w:val="nil"/>
        </w:pBdr>
        <w:spacing w:line="240" w:lineRule="auto" w:before="60" w:after="20"/>
        <w:jc w:val="both"/>
        <w:rPr>
          <w:rFonts w:ascii="Palatino Linotype" w:hAnsi="Palatino Linotype" w:cs="Times New Roman"/>
          <w:b/>
          <w:sz w:val="20"/>
          <w:szCs w:val="20"/>
        </w:rPr>
      </w:pPr>
      <w:r>
        <w:rPr>
          <w:rFonts w:ascii="Palatino Linotype" w:hAnsi="Palatino Linotype"/>
          <w:b/>
          <w:sz w:val="19"/>
        </w:rPr>
        <w:t>Acknowledgment</w:t>
      </w:r>
    </w:p>
    <w:p w:rsidR="00AD7C6A" w:rsidRDefault="00AD7C6A" w:rsidP="00703F2A">
      <w:pPr>
        <w:pBdr>
          <w:top w:val="nil"/>
          <w:left w:val="nil"/>
          <w:bottom w:val="nil"/>
          <w:right w:val="nil"/>
          <w:between w:val="nil"/>
        </w:pBdr>
        <w:spacing w:line="230" w:lineRule="auto" w:before="0" w:after="40"/>
        <w:ind w:firstLine="360"/>
        <w:jc w:val="both"/>
        <w:rPr>
          <w:rFonts w:ascii="Palatino Linotype" w:hAnsi="Palatino Linotype" w:cs="Times New Roman"/>
          <w:sz w:val="20"/>
          <w:szCs w:val="20"/>
        </w:rPr>
      </w:pPr>
      <w:r>
        <w:rPr>
          <w:rFonts w:ascii="Palatino Linotype" w:hAnsi="Palatino Linotype"/>
          <w:sz w:val="18"/>
        </w:rPr>
        <w:t>We thank Prof. Bhanu Tekwani for his technical mentorship throughout this work and Dr. Vidya Chitre, Head of the Department of Information Technology at Vidyalankar Institute of Technology, Mumbai, for supporting our computing and laboratory setup.</w:t>
      </w:r>
    </w:p>
    <w:p w:rsidR="00A62D38" w:rsidRDefault="00A62D38" w:rsidP="00703F2A">
      <w:pPr>
        <w:pBdr>
          <w:top w:val="nil"/>
          <w:left w:val="nil"/>
          <w:bottom w:val="nil"/>
          <w:right w:val="nil"/>
          <w:between w:val="nil"/>
        </w:pBdr>
        <w:spacing w:line="240" w:lineRule="auto" w:before="60" w:after="20"/>
        <w:jc w:val="both"/>
        <w:rPr>
          <w:rFonts w:ascii="Palatino Linotype" w:hAnsi="Palatino Linotype" w:cs="Times New Roman"/>
          <w:b/>
          <w:sz w:val="20"/>
          <w:szCs w:val="20"/>
        </w:rPr>
      </w:pPr>
      <w:r>
        <w:rPr>
          <w:rFonts w:ascii="Palatino Linotype" w:hAnsi="Palatino Linotype"/>
          <w:b/>
          <w:sz w:val="19"/>
        </w:rPr>
        <w:t>Funding</w:t>
      </w:r>
    </w:p>
    <w:p w:rsidR="00A62D38" w:rsidRPr="00A62D38" w:rsidRDefault="00AC3118" w:rsidP="00DA6643">
      <w:pPr>
        <w:pBdr>
          <w:top w:val="nil"/>
          <w:left w:val="nil"/>
          <w:bottom w:val="nil"/>
          <w:right w:val="nil"/>
          <w:between w:val="nil"/>
        </w:pBdr>
        <w:spacing w:line="230" w:lineRule="auto" w:before="0" w:after="40"/>
        <w:ind w:firstLine="426"/>
        <w:jc w:val="both"/>
        <w:rPr>
          <w:rFonts w:ascii="Palatino Linotype" w:hAnsi="Palatino Linotype" w:cs="Times New Roman"/>
          <w:b/>
          <w:sz w:val="20"/>
          <w:szCs w:val="20"/>
        </w:rPr>
      </w:pPr>
      <w:r>
        <w:rPr>
          <w:rFonts w:ascii="Palatino Linotype" w:hAnsi="Palatino Linotype"/>
          <w:sz w:val="18"/>
        </w:rPr>
        <w:t>This research received no external funding.</w:t>
      </w:r>
    </w:p>
    <w:p w:rsidR="00412B3F" w:rsidRDefault="00412B3F" w:rsidP="00412B3F">
      <w:pPr>
        <w:pBdr>
          <w:top w:val="nil"/>
          <w:left w:val="nil"/>
          <w:bottom w:val="nil"/>
          <w:right w:val="nil"/>
          <w:between w:val="nil"/>
        </w:pBdr>
        <w:spacing w:before="60" w:line="240" w:lineRule="auto" w:after="20"/>
        <w:jc w:val="both"/>
        <w:rPr>
          <w:rFonts w:ascii="Palatino Linotype" w:hAnsi="Palatino Linotype"/>
          <w:sz w:val="20"/>
          <w:szCs w:val="20"/>
        </w:rPr>
      </w:pPr>
      <w:r>
        <w:rPr>
          <w:rFonts w:ascii="Palatino Linotype" w:hAnsi="Palatino Linotype"/>
          <w:b/>
          <w:sz w:val="19"/>
        </w:rPr>
        <w:t>Data Availability Statement</w:t>
      </w:r>
    </w:p>
    <w:p w:rsidR="00A62D38" w:rsidRPr="00412B3F" w:rsidRDefault="00412B3F" w:rsidP="00AC3118">
      <w:pPr>
        <w:pBdr>
          <w:top w:val="nil"/>
          <w:left w:val="nil"/>
          <w:bottom w:val="nil"/>
          <w:right w:val="nil"/>
          <w:between w:val="nil"/>
        </w:pBdr>
        <w:spacing w:line="230" w:lineRule="auto" w:before="0" w:after="40"/>
        <w:ind w:firstLine="426"/>
        <w:jc w:val="both"/>
        <w:rPr>
          <w:rFonts w:ascii="Palatino Linotype" w:hAnsi="Palatino Linotype" w:cs="Times New Roman"/>
          <w:b/>
          <w:sz w:val="20"/>
          <w:szCs w:val="20"/>
        </w:rPr>
      </w:pPr>
      <w:r>
        <w:rPr>
          <w:rFonts w:ascii="Palatino Linotype" w:hAnsi="Palatino Linotype"/>
          <w:sz w:val="18"/>
        </w:rPr>
        <w:t>The datasets generated and analyzed during the current study, along with the physics-inspired synthesis scripts (physics_fra_synthesis.py, generate_dataset.py) and trained PyTorch model weights, are publicly available in the open-source IntelliFRA repository.</w:t>
      </w:r>
    </w:p>
    <w:p w:rsidR="009D24DC" w:rsidRDefault="009D24DC" w:rsidP="00703F2A">
      <w:pPr>
        <w:pBdr>
          <w:top w:val="nil"/>
          <w:left w:val="nil"/>
          <w:bottom w:val="nil"/>
          <w:right w:val="nil"/>
          <w:between w:val="nil"/>
        </w:pBdr>
        <w:spacing w:line="240" w:lineRule="auto" w:before="60" w:after="20"/>
        <w:jc w:val="both"/>
        <w:rPr>
          <w:rFonts w:ascii="Palatino Linotype" w:hAnsi="Palatino Linotype" w:cs="Times New Roman"/>
          <w:b/>
          <w:sz w:val="20"/>
          <w:szCs w:val="20"/>
        </w:rPr>
      </w:pPr>
      <w:r>
        <w:rPr>
          <w:rFonts w:ascii="Palatino Linotype" w:hAnsi="Palatino Linotype"/>
          <w:b/>
          <w:sz w:val="19"/>
        </w:rPr>
        <w:t>Conflict of Interest</w:t>
      </w:r>
    </w:p>
    <w:p w:rsidR="009D24DC" w:rsidRDefault="009D24DC" w:rsidP="00703F2A">
      <w:pPr>
        <w:pBdr>
          <w:top w:val="nil"/>
          <w:left w:val="nil"/>
          <w:bottom w:val="nil"/>
          <w:right w:val="nil"/>
          <w:between w:val="nil"/>
        </w:pBdr>
        <w:spacing w:line="230" w:lineRule="auto" w:before="0" w:after="40"/>
        <w:ind w:firstLine="360"/>
        <w:jc w:val="both"/>
        <w:rPr>
          <w:rFonts w:ascii="Palatino Linotype" w:hAnsi="Palatino Linotype" w:cs="Times New Roman"/>
          <w:sz w:val="20"/>
          <w:szCs w:val="20"/>
        </w:rPr>
      </w:pPr>
      <w:r>
        <w:rPr>
          <w:rFonts w:ascii="Palatino Linotype" w:hAnsi="Palatino Linotype"/>
          <w:sz w:val="18"/>
        </w:rPr>
        <w:t>The authors declare that they have no known competing financial interests, personal relationships, or affiliations that could have appeared to influence the work reported in this manuscript.</w:t>
      </w:r>
    </w:p>
    <w:p w:rsidR="00A50725" w:rsidRPr="00A50725" w:rsidRDefault="00A50725" w:rsidP="00A50725">
      <w:pPr>
        <w:pStyle w:val="MDPI62backmatter"/>
        <w:spacing w:before="60" w:after="20"/>
        <w:ind w:left="0"/>
        <w:rPr>
          <w:b/>
        </w:rPr>
      </w:pPr>
      <w:r>
        <w:rPr>
          <w:rFonts w:ascii="Palatino Linotype" w:hAnsi="Palatino Linotype"/>
          <w:b/>
          <w:sz w:val="19"/>
        </w:rPr>
        <w:t>CRediT Authorship Contribution Statement</w:t>
      </w:r>
    </w:p>
    <w:p w:rsidR="0004785D" w:rsidRPr="0004785D" w:rsidRDefault="0004785D" w:rsidP="00AC3118">
      <w:pPr>
        <w:pStyle w:val="MDPI62backmatter"/>
        <w:spacing w:before="0" w:after="40" w:line="230" w:lineRule="auto"/>
        <w:ind w:left="0" w:firstLine="426"/>
        <w:jc w:val="both"/>
        <w:rPr>
          <w:sz w:val="20"/>
        </w:rPr>
      </w:pPr>
      <w:r>
        <w:rPr>
          <w:rFonts w:ascii="Palatino Linotype" w:hAnsi="Palatino Linotype"/>
          <w:sz w:val="18"/>
        </w:rPr>
        <w:t>Conceptualization, H.P. and N.V.; methodology, H.P. and P.B.; software, H.P., N.V., P.B. and Y.G.; validation, H.P., N.V. and Y.G.; formal analysis, H.P. and P.B.; investigation, N.V. and Y.G.; data curation, P.B. and Y.G.; writing—original draft preparation, H.P., N.V., P.B. and Y.G.; writing—review and editing, B.T.; visualization, N.V. and P.B.; supervision, B.T.; project administration, B.T. All authors have read and agreed to the published version of the manuscript.</w:t>
      </w:r>
    </w:p>
    <w:p w:rsidR="00AD7C6A" w:rsidRDefault="00AD7C6A" w:rsidP="00703F2A">
      <w:pPr>
        <w:pBdr>
          <w:top w:val="nil"/>
          <w:left w:val="nil"/>
          <w:bottom w:val="nil"/>
          <w:right w:val="nil"/>
          <w:between w:val="nil"/>
        </w:pBdr>
        <w:spacing w:line="240" w:lineRule="auto" w:before="80" w:after="40"/>
        <w:jc w:val="both"/>
        <w:rPr>
          <w:rFonts w:ascii="Palatino Linotype" w:hAnsi="Palatino Linotype" w:cs="Times New Roman"/>
          <w:b/>
          <w:sz w:val="20"/>
          <w:szCs w:val="20"/>
        </w:rPr>
      </w:pPr>
      <w:r>
        <w:rPr>
          <w:rFonts w:ascii="Palatino Linotype" w:hAnsi="Palatino Linotype"/>
          <w:b/>
          <w:sz w:val="20"/>
        </w:rPr>
        <w:t>References</w:t>
      </w:r>
    </w:p>
    <w:p>
      <w:pPr>
        <w:spacing w:line="228" w:lineRule="auto" w:before="0" w:after="30"/>
        <w:jc w:val="both"/>
      </w:pPr>
      <w:r>
        <w:rPr>
          <w:rFonts w:ascii="Palatino Linotype" w:hAnsi="Palatino Linotype"/>
          <w:sz w:val="17"/>
        </w:rPr>
        <w:t>[1] S. A. Ryder, “Diagnosing Transformer Faults Using Frequency Response Analysis,” IEEE Electrical Insulation Magazine, Vol. 19, No. 2, pp. 16-22, 2003. https://doi.org/10.1109/MEI.2003.1192032</w:t>
      </w:r>
    </w:p>
    <w:p>
      <w:pPr>
        <w:spacing w:line="228" w:lineRule="auto" w:before="0" w:after="30"/>
        <w:jc w:val="both"/>
      </w:pPr>
      <w:r>
        <w:rPr>
          <w:rFonts w:ascii="Palatino Linotype" w:hAnsi="Palatino Linotype"/>
          <w:sz w:val="17"/>
        </w:rPr>
        <w:t>[2] IEC 60076-18, “Power Transformers - Part 18: Measurement of Frequency Response,” International Electrotechnical Commission (IEC), Geneva, Switzerland, 2012.</w:t>
      </w:r>
    </w:p>
    <w:p>
      <w:pPr>
        <w:spacing w:line="228" w:lineRule="auto" w:before="0" w:after="30"/>
        <w:jc w:val="both"/>
      </w:pPr>
      <w:r>
        <w:rPr>
          <w:rFonts w:ascii="Palatino Linotype" w:hAnsi="Palatino Linotype"/>
          <w:sz w:val="17"/>
        </w:rPr>
        <w:t>[3] A. Shintemirov, W. H. Tang and Q. H. Wu, “Transformer Winding Condition Assessment Using Frequency Response Analysis and Evidential Reasoning,” IET Electric Power Applications, Vol. 4, No. 3, pp. 198-212, 2010. https://doi.org/10.1049/iet-epa.2009.0102</w:t>
      </w:r>
    </w:p>
    <w:p>
      <w:pPr>
        <w:spacing w:line="228" w:lineRule="auto" w:before="0" w:after="30"/>
        <w:jc w:val="both"/>
      </w:pPr>
      <w:r>
        <w:rPr>
          <w:rFonts w:ascii="Palatino Linotype" w:hAnsi="Palatino Linotype"/>
          <w:sz w:val="17"/>
        </w:rPr>
        <w:t>[4] M. Tahir and S. Tenbohlen, “A Comprehensive Analysis of Windings Electrical and Mechanical Faults Using a High-Frequency Model,” Energies, Vol. 13, No. 1, art. no. 105, 2020. https://doi.org/10.3390/en13010105</w:t>
      </w:r>
    </w:p>
    <w:p>
      <w:pPr>
        <w:spacing w:line="228" w:lineRule="auto" w:before="0" w:after="30"/>
        <w:jc w:val="both"/>
      </w:pPr>
      <w:r>
        <w:rPr>
          <w:rFonts w:ascii="Palatino Linotype" w:hAnsi="Palatino Linotype"/>
          <w:sz w:val="17"/>
        </w:rPr>
        <w:t>[5] N. Abeywickrama, Y. V. Serdyuk and S. M. Gubanski, “Effect of Core Magnetization on Frequency Response Analysis (FRA) of Power Transformers,” IEEE Transactions on Power Delivery, Vol. 23, No. 3, pp. 1432-1438, 2008. https://doi.org/10.1109/TPWRD.2007.909032</w:t>
      </w:r>
    </w:p>
    <w:p>
      <w:pPr>
        <w:spacing w:line="228" w:lineRule="auto" w:before="0" w:after="30"/>
        <w:jc w:val="both"/>
      </w:pPr>
      <w:r>
        <w:rPr>
          <w:rFonts w:ascii="Palatino Linotype" w:hAnsi="Palatino Linotype"/>
          <w:sz w:val="17"/>
        </w:rPr>
        <w:t>[6] M. Phillip, A. Singh and C. J. Ramlal, “Towards Automated Frequency Response Analysis of Power Transformers with Deep Learning,” Applied Artificial Intelligence, Vol. 39, No. 1, art. no. 2479223, 2025. https://doi.org/10.1080/08839514.2025.2479223</w:t>
      </w:r>
    </w:p>
    <w:p>
      <w:pPr>
        <w:spacing w:line="228" w:lineRule="auto" w:before="0" w:after="30"/>
        <w:jc w:val="both"/>
      </w:pPr>
      <w:r>
        <w:rPr>
          <w:rFonts w:ascii="Palatino Linotype" w:hAnsi="Palatino Linotype"/>
          <w:sz w:val="17"/>
        </w:rPr>
        <w:t>[7] V. Chandola, A. Banerjee and V. Kumar, “Anomaly Detection: A Survey,” ACM Computing Surveys, Vol. 41, No. 3, pp. 1-58, 2009. https://doi.org/10.1145/1541880.1541882</w:t>
      </w:r>
    </w:p>
    <w:p>
      <w:pPr>
        <w:spacing w:line="228" w:lineRule="auto" w:before="0" w:after="30"/>
        <w:jc w:val="both"/>
      </w:pPr>
      <w:r>
        <w:rPr>
          <w:rFonts w:ascii="Palatino Linotype" w:hAnsi="Palatino Linotype"/>
          <w:sz w:val="17"/>
        </w:rPr>
        <w:t>[8] F. Chollet, “Deep Learning with Python,” 2nd ed., Manning Publications, Shelter Island, NY, USA, 2021.</w:t>
      </w:r>
    </w:p>
    <w:p>
      <w:pPr>
        <w:spacing w:line="228" w:lineRule="auto" w:before="0" w:after="30"/>
        <w:jc w:val="both"/>
      </w:pPr>
      <w:r>
        <w:rPr>
          <w:rFonts w:ascii="Palatino Linotype" w:hAnsi="Palatino Linotype"/>
          <w:sz w:val="17"/>
        </w:rPr>
        <w:t>[9] A. Géron, “Hands-On Machine Learning with Scikit-Learn, Keras, and TensorFlow,” 3rd ed., O’Reilly Media, Sebastopol, CA, USA, 2022.</w:t>
      </w:r>
    </w:p>
    <w:p>
      <w:pPr>
        <w:spacing w:line="228" w:lineRule="auto" w:before="0" w:after="30"/>
        <w:jc w:val="both"/>
      </w:pPr>
      <w:r>
        <w:rPr>
          <w:rFonts w:ascii="Palatino Linotype" w:hAnsi="Palatino Linotype"/>
          <w:sz w:val="17"/>
        </w:rPr>
        <w:t>[10] M. Phillip, A. Singh and C. J. Ramlal, “Narrow Band Frequency Response Analysis of Power Transformers with Deep Learning,” Energies, Vol. 16, No. 17, art. no. 6347, 2023. https://doi.org/10.3390/en16176347</w:t>
      </w:r>
    </w:p>
    <w:p>
      <w:pPr>
        <w:spacing w:line="228" w:lineRule="auto" w:before="0" w:after="30"/>
        <w:jc w:val="both"/>
      </w:pPr>
      <w:r>
        <w:rPr>
          <w:rFonts w:ascii="Palatino Linotype" w:hAnsi="Palatino Linotype"/>
          <w:sz w:val="17"/>
        </w:rPr>
        <w:t>[11] J. R. Secue and E. Mombello, “Sweep Frequency Response Analysis (SFRA) for the Assessment of Winding Displacements and Deformation in Power Transformers,” Electric Power Systems Research, Vol. 78, No. 6, pp. 1119-1128, 2008. https://doi.org/10.1016/j.epsr.2007.08.005</w:t>
      </w:r>
    </w:p>
    <w:p>
      <w:pPr>
        <w:spacing w:line="228" w:lineRule="auto" w:before="0" w:after="30"/>
        <w:jc w:val="both"/>
      </w:pPr>
      <w:r>
        <w:rPr>
          <w:rFonts w:ascii="Palatino Linotype" w:hAnsi="Palatino Linotype"/>
          <w:sz w:val="17"/>
        </w:rPr>
        <w:t>[12] M. Bagheri, M. S. Naderi, T. Blackburn and T. Phung, “Frequency Response Analysis and Short-Circuit Impedance Measurement in Detection of Winding Deformation Within Power Transformers,” IEEE Electrical Insulation Magazine, Vol. 29, No. 3, pp. 33-40, 2013. https://doi.org/10.1109/MEI.2013.6507412</w:t>
      </w:r>
    </w:p>
    <w:p>
      <w:pPr>
        <w:spacing w:line="228" w:lineRule="auto" w:before="0" w:after="30"/>
        <w:jc w:val="both"/>
      </w:pPr>
      <w:r>
        <w:rPr>
          <w:rFonts w:ascii="Palatino Linotype" w:hAnsi="Palatino Linotype"/>
          <w:sz w:val="17"/>
        </w:rPr>
        <w:t>[13] V. Behjat, A. Vahedi, A. Setayeshmehr, H. Borsi and E. Gockenbach, “Sweep Frequency Response Analysis for Diagnosis of Low Level Short Circuit Faults on the Windings of Power Transformers: An Experimental Study,” International Journal of Electrical Power &amp; Energy Systems, Vol. 42, No. 1, pp. 78-90, 2012. https://doi.org/10.1016/j.ijepes.2012.03.004</w:t>
      </w:r>
    </w:p>
    <w:p>
      <w:pPr>
        <w:spacing w:line="228" w:lineRule="auto" w:before="0" w:after="30"/>
        <w:jc w:val="both"/>
      </w:pPr>
      <w:r>
        <w:rPr>
          <w:rFonts w:ascii="Palatino Linotype" w:hAnsi="Palatino Linotype"/>
          <w:sz w:val="17"/>
        </w:rPr>
        <w:t>[14] H. Zhang, S. Wang, D. Yuan and X. Tao, “Double-Ladder Circuit Model of Transformer Winding for Frequency Response Analysis Considering Frequency-Dependent Losses,” IEEE Transactions on Magnetics, Vol. 51, No. 11, pp. 1-4, 2015. https://doi.org/10.1109/TMAG.2015.2442831</w:t>
      </w:r>
    </w:p>
    <w:p>
      <w:pPr>
        <w:spacing w:line="228" w:lineRule="auto" w:before="0" w:after="30"/>
        <w:jc w:val="both"/>
      </w:pPr>
      <w:r>
        <w:rPr>
          <w:rFonts w:ascii="Palatino Linotype" w:hAnsi="Palatino Linotype"/>
          <w:sz w:val="17"/>
        </w:rPr>
        <w:t>[15] T. Ince, S. Kiranyaz, L. Eren, M. Askar and M. Gabbouj, “Real-Time Motor Fault Detection by 1-D Convolutional Neural Networks,” IEEE Transactions on Industrial Electronics, Vol. 63, No. 11, pp. 7067-7075, 2016. https://doi.org/10.1109/TIE.2016.2582729</w:t>
      </w:r>
    </w:p>
    <w:p>
      <w:pPr>
        <w:spacing w:line="228" w:lineRule="auto" w:before="0" w:after="30"/>
        <w:jc w:val="both"/>
      </w:pPr>
      <w:r>
        <w:rPr>
          <w:rFonts w:ascii="Palatino Linotype" w:hAnsi="Palatino Linotype"/>
          <w:sz w:val="17"/>
        </w:rPr>
        <w:t>[16] M. Sakurada and T. Yairi, “Anomaly Detection Using Autoencoders with Nonlinear Dimensionality Reduction,” 2nd Workshop on Machine Learning for Sensory Data Analysis (MLSDA), Gold Coast, Australia, pp. 4-11, 2014. https://doi.org/10.1145/2689746.2689747</w:t>
      </w:r>
    </w:p>
    <w:p>
      <w:pPr>
        <w:spacing w:line="228" w:lineRule="auto" w:before="0" w:after="30"/>
        <w:jc w:val="both"/>
      </w:pPr>
      <w:r>
        <w:rPr>
          <w:rFonts w:ascii="Palatino Linotype" w:hAnsi="Palatino Linotype"/>
          <w:sz w:val="17"/>
        </w:rPr>
        <w:t>[17] D. P. Kingma and J. Ba, “Adam: A Method for Stochastic Optimization,” 3rd International Conference on Learning Representations (ICLR), San Diego, CA, USA, 2015. https://doi.org/10.48550/arXiv.1412.6980</w:t>
      </w:r>
    </w:p>
    <w:p>
      <w:pPr>
        <w:spacing w:line="228" w:lineRule="auto" w:before="0" w:after="30"/>
        <w:jc w:val="both"/>
      </w:pPr>
      <w:r>
        <w:rPr>
          <w:rFonts w:ascii="Palatino Linotype" w:hAnsi="Palatino Linotype"/>
          <w:sz w:val="17"/>
        </w:rPr>
        <w:t>[18] N. Srivastava, G. Hinton, A. Krizhevsky, I. Sutskever and R. Salakhutdinov, “Dropout: A Simple Way to Prevent Neural Networks from Overfitting,” Journal of Machine Learning Research, Vol. 15, No. 56, pp. 1929-1958, 2014. https://jmlr.org/papers/v15/srivastava14a.html</w:t>
      </w:r>
    </w:p>
    <w:p>
      <w:pPr>
        <w:spacing w:line="228" w:lineRule="auto" w:before="0" w:after="30"/>
        <w:jc w:val="both"/>
      </w:pPr>
      <w:r>
        <w:rPr>
          <w:rFonts w:ascii="Palatino Linotype" w:hAnsi="Palatino Linotype"/>
          <w:sz w:val="17"/>
        </w:rPr>
        <w:t>[19] F. Pedregosa et al., “Scikit-Learn: Machine Learning in Python,” Journal of Machine Learning Research, Vol. 12, pp. 2825-2830, 2011. https://jmlr.org/papers/v12/pedregosa11a.html</w:t>
      </w:r>
    </w:p>
    <w:p>
      <w:pPr>
        <w:spacing w:line="228" w:lineRule="auto" w:before="0" w:after="30"/>
        <w:jc w:val="both"/>
      </w:pPr>
      <w:r>
        <w:rPr>
          <w:rFonts w:ascii="Palatino Linotype" w:hAnsi="Palatino Linotype"/>
          <w:sz w:val="17"/>
        </w:rPr>
        <w:t>[20] A. Paszke et al., “PyTorch: An Imperative Style, High-Performance Deep Learning Library,” Advances in Neural Information Processing Systems (NeurIPS), Vol. 32, pp. 8024-8035, 2019. https://doi.org/10.48550/arXiv.1912.01703</w:t>
      </w:r>
    </w:p>
    <w:p w:rsidR="009E0D69" w:rsidRPr="009E0D69" w:rsidRDefault="009E0D69" w:rsidP="00703F2A">
      <w:pPr>
        <w:pStyle w:val="ListParagraph"/>
        <w:pBdr>
          <w:top w:val="nil"/>
          <w:left w:val="nil"/>
          <w:bottom w:val="nil"/>
          <w:right w:val="nil"/>
          <w:between w:val="nil"/>
        </w:pBdr>
        <w:tabs>
          <w:tab w:val="left" w:pos="360"/>
        </w:tabs>
        <w:spacing w:line="240" w:lineRule="auto" w:before="0" w:after="0"/>
        <w:ind w:left="360"/>
        <w:jc w:val="both"/>
        <w:rPr>
          <w:rFonts w:ascii="Times New Roman" w:hAnsi="Times New Roman" w:cs="Times New Roman"/>
          <w:b/>
          <w:sz w:val="20"/>
          <w:szCs w:val="20"/>
        </w:rPr>
        <w:sectPr w:rsidR="009E0D69" w:rsidRPr="009E0D69" w:rsidSect="005A474D">
          <w:type w:val="continuous"/>
          <w:pgSz w:w="12240" w:h="15840"/>
          <w:pgMar w:top="1080" w:right="1080" w:bottom="1080" w:left="1080" w:header="540" w:footer="720" w:gutter="0"/>
          <w:cols w:num="2" w:space="360"/>
          <w:docGrid w:linePitch="360"/>
        </w:sectPr>
      </w:pPr>
      <w:r/>
    </w:p>
    <w:p w:rsidR="000573BB" w:rsidRDefault="000573BB" w:rsidP="00703F2A">
      <w:pPr>
        <w:spacing w:before="240" w:line="240" w:lineRule="auto"/>
        <w:jc w:val="center"/>
        <w:rPr>
          <w:rFonts w:ascii="Times New Roman" w:hAnsi="Times New Roman" w:cs="Times New Roman"/>
          <w:sz w:val="20"/>
          <w:szCs w:val="20"/>
        </w:rPr>
      </w:pPr>
    </w:p>
    <w:p w:rsidR="000573BB" w:rsidRPr="00B6748F" w:rsidRDefault="000573BB" w:rsidP="000573BB">
      <w:pPr>
        <w:pStyle w:val="ListParagraph"/>
        <w:spacing w:after="0" w:line="240" w:lineRule="auto"/>
        <w:ind w:left="0"/>
        <w:jc w:val="both"/>
        <w:rPr>
          <w:rFonts w:ascii="Palatino Linotype" w:hAnsi="Palatino Linotype"/>
          <w:sz w:val="20"/>
          <w:szCs w:val="20"/>
        </w:rPr>
      </w:pPr>
      <w:r w:rsidRPr="00B6748F">
        <w:rPr>
          <w:rFonts w:ascii="Palatino Linotype" w:eastAsia="DengXian" w:hAnsi="Palatino Linotype"/>
          <w:b/>
          <w:bCs/>
          <w:noProof/>
          <w:sz w:val="20"/>
          <w:szCs w:val="20"/>
          <w:lang w:val="en-IN" w:eastAsia="en-IN"/>
        </w:rPr>
        <w:drawing>
          <wp:anchor distT="0" distB="0" distL="114300" distR="114300" simplePos="0" relativeHeight="251659264" behindDoc="0" locked="0" layoutInCell="1" allowOverlap="1" wp14:anchorId="2BD86FBE" wp14:editId="2943911C">
            <wp:simplePos x="0" y="0"/>
            <wp:positionH relativeFrom="column">
              <wp:posOffset>313055</wp:posOffset>
            </wp:positionH>
            <wp:positionV relativeFrom="paragraph">
              <wp:posOffset>3353</wp:posOffset>
            </wp:positionV>
            <wp:extent cx="1298575" cy="454025"/>
            <wp:effectExtent l="0" t="0" r="0" b="0"/>
            <wp:wrapSquare wrapText="bothSides"/>
            <wp:docPr id="39820026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298575" cy="454025"/>
                    </a:xfrm>
                    <a:prstGeom prst="rect">
                      <a:avLst/>
                    </a:prstGeom>
                    <a:noFill/>
                  </pic:spPr>
                </pic:pic>
              </a:graphicData>
            </a:graphic>
          </wp:anchor>
        </w:drawing>
      </w:r>
      <w:r w:rsidRPr="00B6748F">
        <w:rPr>
          <w:rFonts w:ascii="Palatino Linotype" w:eastAsia="DengXian" w:hAnsi="Palatino Linotype"/>
          <w:b/>
          <w:bCs/>
          <w:sz w:val="20"/>
          <w:szCs w:val="20"/>
          <w:lang w:bidi="en-US"/>
        </w:rPr>
        <w:t xml:space="preserve">Copyright: </w:t>
      </w:r>
      <w:r w:rsidRPr="00B6748F">
        <w:rPr>
          <w:rFonts w:ascii="Palatino Linotype" w:hAnsi="Palatino Linotype"/>
          <w:sz w:val="20"/>
          <w:szCs w:val="20"/>
        </w:rPr>
        <w:t xml:space="preserve">© 2025 by the authors, Licensee ITEECS, India. This article is an open access article distributed under the terms and conditions of the Creative Commons Attribution (CC BY) </w:t>
      </w:r>
      <w:r w:rsidRPr="00496567">
        <w:rPr>
          <w:rFonts w:ascii="Palatino Linotype" w:hAnsi="Palatino Linotype"/>
          <w:sz w:val="20"/>
          <w:szCs w:val="20"/>
        </w:rPr>
        <w:t>license (</w:t>
      </w:r>
      <w:hyperlink r:id="rId24" w:history="1">
        <w:r w:rsidRPr="00496567">
          <w:rPr>
            <w:rStyle w:val="Hyperlink"/>
            <w:rFonts w:ascii="Palatino Linotype" w:hAnsi="Palatino Linotype"/>
            <w:sz w:val="20"/>
            <w:szCs w:val="20"/>
            <w:u w:val="none"/>
          </w:rPr>
          <w:t>https://creativecommons.org/licenses/by/4.0/</w:t>
        </w:r>
      </w:hyperlink>
      <w:r w:rsidRPr="00496567">
        <w:rPr>
          <w:rFonts w:ascii="Palatino Linotype" w:hAnsi="Palatino Linotype"/>
          <w:sz w:val="20"/>
          <w:szCs w:val="20"/>
        </w:rPr>
        <w:t>).</w:t>
      </w:r>
    </w:p>
    <w:p w:rsidR="000573BB" w:rsidRPr="00B6748F" w:rsidRDefault="000573BB" w:rsidP="000573BB">
      <w:pPr>
        <w:spacing w:after="0" w:line="240" w:lineRule="auto"/>
        <w:jc w:val="center"/>
        <w:rPr>
          <w:rFonts w:ascii="Times New Roman" w:hAnsi="Times New Roman" w:cs="Times New Roman"/>
          <w:sz w:val="20"/>
          <w:szCs w:val="20"/>
        </w:rPr>
      </w:pPr>
      <w:r w:rsidRPr="00B6748F">
        <w:rPr>
          <w:rFonts w:ascii="Times New Roman" w:hAnsi="Times New Roman" w:cs="Times New Roman"/>
          <w:sz w:val="20"/>
          <w:szCs w:val="20"/>
        </w:rPr>
        <w:t>***</w:t>
      </w:r>
    </w:p>
    <w:sectPr w:rsidR="000573BB" w:rsidRPr="00B6748F" w:rsidSect="000573BB">
      <w:type w:val="continuous"/>
      <w:pgSz w:w="12240" w:h="15840"/>
      <w:pgMar w:top="720" w:right="1041" w:bottom="720" w:left="720" w:header="27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D1909" w:rsidRDefault="001D1909" w:rsidP="0060487A">
      <w:pPr>
        <w:spacing w:after="0" w:line="240" w:lineRule="auto"/>
      </w:pPr>
      <w:r>
        <w:separator/>
      </w:r>
    </w:p>
  </w:endnote>
  <w:endnote w:type="continuationSeparator" w:id="0">
    <w:p w:rsidR="001D1909" w:rsidRDefault="001D1909" w:rsidP="006048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Arial">
    <w:panose1 w:val="020B0604020202020204"/>
    <w:charset w:val="00"/>
    <w:family w:val="swiss"/>
    <w:pitch w:val="variable"/>
    <w:sig w:usb0="E0002EFF" w:usb1="C000785B" w:usb2="00000009" w:usb3="00000000" w:csb0="000001FF" w:csb1="00000000"/>
  </w:font>
  <w:font w:name="Century Schoolbook">
    <w:panose1 w:val="02040604050505020304"/>
    <w:charset w:val="00"/>
    <w:family w:val="roman"/>
    <w:pitch w:val="variable"/>
    <w:sig w:usb0="00000287" w:usb1="00000000" w:usb2="00000000" w:usb3="00000000" w:csb0="0000009F" w:csb1="00000000"/>
  </w:font>
  <w:font w:name="DengXian">
    <w:altName w:val="SimSun"/>
    <w:panose1 w:val="02010600030101010101"/>
    <w:charset w:val="86"/>
    <w:family w:val="auto"/>
    <w:pitch w:val="default"/>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D1909" w:rsidRDefault="001D1909" w:rsidP="0060487A">
      <w:pPr>
        <w:spacing w:after="0" w:line="240" w:lineRule="auto"/>
      </w:pPr>
      <w:r>
        <w:separator/>
      </w:r>
    </w:p>
  </w:footnote>
  <w:footnote w:type="continuationSeparator" w:id="0">
    <w:p w:rsidR="001D1909" w:rsidRDefault="001D1909" w:rsidP="0060487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0487A" w:rsidRPr="0096233C" w:rsidRDefault="00FF1092" w:rsidP="0060487A">
    <w:pPr>
      <w:spacing w:after="0"/>
      <w:rPr>
        <w:rFonts w:ascii="Palatino Linotype" w:hAnsi="Palatino Linotype" w:cs="Arial"/>
        <w:sz w:val="20"/>
        <w:szCs w:val="20"/>
      </w:rPr>
    </w:pPr>
    <w:r>
      <w:rPr>
        <w:rFonts w:ascii="Palatino Linotype" w:hAnsi="Palatino Linotype" w:cs="Arial"/>
        <w:sz w:val="20"/>
        <w:szCs w:val="20"/>
      </w:rPr>
      <w:t xml:space="preserve">International </w:t>
    </w:r>
    <w:r w:rsidR="0060487A" w:rsidRPr="0096233C">
      <w:rPr>
        <w:rFonts w:ascii="Palatino Linotype" w:hAnsi="Palatino Linotype" w:cs="Arial"/>
        <w:sz w:val="20"/>
        <w:szCs w:val="20"/>
      </w:rPr>
      <w:t>Transactions on Electrical Engineering and Computer Science</w:t>
    </w:r>
  </w:p>
  <w:p w:rsidR="0060487A" w:rsidRPr="0096233C" w:rsidRDefault="0060487A" w:rsidP="0060487A">
    <w:pPr>
      <w:rPr>
        <w:rFonts w:ascii="Palatino Linotype" w:hAnsi="Palatino Linotype" w:cs="Arial"/>
        <w:sz w:val="20"/>
        <w:szCs w:val="20"/>
      </w:rPr>
    </w:pPr>
    <w:r/>
    <w:r>
      <w:rPr>
        <w:rFonts w:ascii="Palatino Linotype" w:hAnsi="Palatino Linotype"/>
        <w:i/>
        <w:sz w:val="18"/>
      </w:rPr>
      <w:t>Harini Panigrahi et.al., Vol: X, No: X, pp: xxx-xxx, YYYY</w: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A3212F"/>
    <w:multiLevelType w:val="hybridMultilevel"/>
    <w:tmpl w:val="F0FC87C6"/>
    <w:lvl w:ilvl="0" w:tplc="16AE5B36">
      <w:start w:val="1"/>
      <w:numFmt w:val="decimal"/>
      <w:lvlText w:val="[%1]"/>
      <w:lvlJc w:val="left"/>
      <w:pPr>
        <w:ind w:left="720" w:hanging="360"/>
      </w:pPr>
      <w:rPr>
        <w:rFonts w:hint="default"/>
        <w:i w:val="0"/>
        <w:color w:val="auto"/>
        <w:sz w:val="20"/>
        <w:szCs w:val="18"/>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 w15:restartNumberingAfterBreak="0">
    <w:nsid w:val="0D5B0816"/>
    <w:multiLevelType w:val="hybridMultilevel"/>
    <w:tmpl w:val="ED183736"/>
    <w:lvl w:ilvl="0" w:tplc="E0B03EB4">
      <w:start w:val="1"/>
      <w:numFmt w:val="decimal"/>
      <w:lvlText w:val="[%19]"/>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14FE7B78"/>
    <w:multiLevelType w:val="hybridMultilevel"/>
    <w:tmpl w:val="F0D22E24"/>
    <w:lvl w:ilvl="0" w:tplc="AA4A53E6">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FCB3983"/>
    <w:multiLevelType w:val="hybridMultilevel"/>
    <w:tmpl w:val="08805F3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789E0C94"/>
    <w:multiLevelType w:val="multilevel"/>
    <w:tmpl w:val="501CDA26"/>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080" w:hanging="72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num w:numId="1">
    <w:abstractNumId w:val="4"/>
  </w:num>
  <w:num w:numId="2">
    <w:abstractNumId w:val="2"/>
  </w:num>
  <w:num w:numId="3">
    <w:abstractNumId w:val="0"/>
  </w:num>
  <w:num w:numId="4">
    <w:abstractNumId w:val="3"/>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seFELayout/>
    <w:compatSetting w:name="compatibilityMode" w:uri="http://schemas.microsoft.com/office/word" w:val="12"/>
  </w:compat>
  <w:docVars>
    <w:docVar w:name="__Grammarly_42____i" w:val="H4sIAAAAAAAEAKtWckksSQxILCpxzi/NK1GyMqwFAAEhoTITAAAA"/>
    <w:docVar w:name="__Grammarly_42___1" w:val="H4sIAAAAAAAEAKtWcslP9kxRslIyNDYysTAztjC3tDQ2MjQztjRS0lEKTi0uzszPAymwrAUAdM4AnywAAAA="/>
  </w:docVars>
  <w:rsids>
    <w:rsidRoot w:val="00AA23E7"/>
    <w:rsid w:val="00012226"/>
    <w:rsid w:val="0004785D"/>
    <w:rsid w:val="000561D5"/>
    <w:rsid w:val="000573BB"/>
    <w:rsid w:val="00066999"/>
    <w:rsid w:val="00090E16"/>
    <w:rsid w:val="000B0E7C"/>
    <w:rsid w:val="000C58D2"/>
    <w:rsid w:val="000D5028"/>
    <w:rsid w:val="00127978"/>
    <w:rsid w:val="001759D5"/>
    <w:rsid w:val="001D1909"/>
    <w:rsid w:val="00213274"/>
    <w:rsid w:val="00224C1F"/>
    <w:rsid w:val="002A5870"/>
    <w:rsid w:val="002F2A94"/>
    <w:rsid w:val="0037501A"/>
    <w:rsid w:val="00391A1B"/>
    <w:rsid w:val="003C4F48"/>
    <w:rsid w:val="003F2D59"/>
    <w:rsid w:val="00412B3F"/>
    <w:rsid w:val="00425FAB"/>
    <w:rsid w:val="00496567"/>
    <w:rsid w:val="004B20D4"/>
    <w:rsid w:val="004F3A41"/>
    <w:rsid w:val="005048DC"/>
    <w:rsid w:val="005467C7"/>
    <w:rsid w:val="0056595E"/>
    <w:rsid w:val="005779A5"/>
    <w:rsid w:val="005A222E"/>
    <w:rsid w:val="005A474D"/>
    <w:rsid w:val="005E6AE8"/>
    <w:rsid w:val="005F1D37"/>
    <w:rsid w:val="0060487A"/>
    <w:rsid w:val="00696566"/>
    <w:rsid w:val="00697F5D"/>
    <w:rsid w:val="006B3171"/>
    <w:rsid w:val="006B7274"/>
    <w:rsid w:val="006D7AAF"/>
    <w:rsid w:val="006E057F"/>
    <w:rsid w:val="007000AE"/>
    <w:rsid w:val="00703F2A"/>
    <w:rsid w:val="00710FFA"/>
    <w:rsid w:val="00724D25"/>
    <w:rsid w:val="00802D5E"/>
    <w:rsid w:val="0084002E"/>
    <w:rsid w:val="008B3A5F"/>
    <w:rsid w:val="008C606A"/>
    <w:rsid w:val="008F4FDA"/>
    <w:rsid w:val="00926A4D"/>
    <w:rsid w:val="0096233C"/>
    <w:rsid w:val="009A0A2D"/>
    <w:rsid w:val="009A6352"/>
    <w:rsid w:val="009B2041"/>
    <w:rsid w:val="009D194E"/>
    <w:rsid w:val="009D24DC"/>
    <w:rsid w:val="009E0D69"/>
    <w:rsid w:val="00A1748C"/>
    <w:rsid w:val="00A50725"/>
    <w:rsid w:val="00A62D38"/>
    <w:rsid w:val="00AA23E7"/>
    <w:rsid w:val="00AC3118"/>
    <w:rsid w:val="00AD7C6A"/>
    <w:rsid w:val="00B313DF"/>
    <w:rsid w:val="00B3239D"/>
    <w:rsid w:val="00B32B6E"/>
    <w:rsid w:val="00B36C06"/>
    <w:rsid w:val="00B81EE5"/>
    <w:rsid w:val="00BA326A"/>
    <w:rsid w:val="00C0602E"/>
    <w:rsid w:val="00C31611"/>
    <w:rsid w:val="00C65066"/>
    <w:rsid w:val="00C91BC9"/>
    <w:rsid w:val="00CA35E5"/>
    <w:rsid w:val="00D63FD8"/>
    <w:rsid w:val="00D729C8"/>
    <w:rsid w:val="00D85BDD"/>
    <w:rsid w:val="00D86199"/>
    <w:rsid w:val="00DA6643"/>
    <w:rsid w:val="00DD2C8F"/>
    <w:rsid w:val="00E257B1"/>
    <w:rsid w:val="00E45159"/>
    <w:rsid w:val="00EE15E8"/>
    <w:rsid w:val="00EF7820"/>
    <w:rsid w:val="00F761D6"/>
    <w:rsid w:val="00F8270A"/>
    <w:rsid w:val="00FA2399"/>
    <w:rsid w:val="00FA5091"/>
    <w:rsid w:val="00FB0A6D"/>
    <w:rsid w:val="00FF109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4F82758"/>
  <w15:docId w15:val="{0FCFE930-12D9-4962-9B7D-06BC993401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5467C7"/>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60487A"/>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60487A"/>
  </w:style>
  <w:style w:type="paragraph" w:styleId="Footer">
    <w:name w:val="footer"/>
    <w:basedOn w:val="Normal"/>
    <w:link w:val="FooterChar"/>
    <w:uiPriority w:val="99"/>
    <w:semiHidden/>
    <w:unhideWhenUsed/>
    <w:rsid w:val="0060487A"/>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60487A"/>
  </w:style>
  <w:style w:type="table" w:styleId="TableGrid">
    <w:name w:val="Table Grid"/>
    <w:basedOn w:val="TableNormal"/>
    <w:uiPriority w:val="59"/>
    <w:rsid w:val="007000AE"/>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ListParagraph">
    <w:name w:val="List Paragraph"/>
    <w:basedOn w:val="Normal"/>
    <w:uiPriority w:val="34"/>
    <w:qFormat/>
    <w:rsid w:val="00FB0A6D"/>
    <w:pPr>
      <w:ind w:left="720"/>
      <w:contextualSpacing/>
    </w:pPr>
  </w:style>
  <w:style w:type="character" w:styleId="Hyperlink">
    <w:name w:val="Hyperlink"/>
    <w:basedOn w:val="DefaultParagraphFont"/>
    <w:uiPriority w:val="99"/>
    <w:unhideWhenUsed/>
    <w:rsid w:val="000573BB"/>
    <w:rPr>
      <w:color w:val="351AFE"/>
      <w:u w:val="single"/>
    </w:rPr>
  </w:style>
  <w:style w:type="paragraph" w:customStyle="1" w:styleId="MDPI62backmatter">
    <w:name w:val="MDPI_6.2_back_matter"/>
    <w:qFormat/>
    <w:rsid w:val="0004785D"/>
    <w:pPr>
      <w:adjustRightInd w:val="0"/>
      <w:snapToGrid w:val="0"/>
      <w:spacing w:after="120" w:line="280" w:lineRule="atLeast"/>
      <w:ind w:left="2608"/>
      <w:jc w:val="both"/>
    </w:pPr>
    <w:rPr>
      <w:rFonts w:ascii="Palatino Linotype" w:eastAsia="Times New Roman" w:hAnsi="Palatino Linotype" w:cs="Times New Roman"/>
      <w:snapToGrid w:val="0"/>
      <w:color w:val="000000"/>
      <w:sz w:val="18"/>
      <w:szCs w:val="20"/>
      <w:lang w:bidi="en-US"/>
    </w:rPr>
  </w:style>
  <w:style w:type="character" w:styleId="Emphasis">
    <w:name w:val="Emphasis"/>
    <w:basedOn w:val="DefaultParagraphFont"/>
    <w:uiPriority w:val="20"/>
    <w:qFormat/>
    <w:rsid w:val="00AC3118"/>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63782776">
      <w:bodyDiv w:val="1"/>
      <w:marLeft w:val="0"/>
      <w:marRight w:val="0"/>
      <w:marTop w:val="0"/>
      <w:marBottom w:val="0"/>
      <w:divBdr>
        <w:top w:val="none" w:sz="0" w:space="0" w:color="auto"/>
        <w:left w:val="none" w:sz="0" w:space="0" w:color="auto"/>
        <w:bottom w:val="none" w:sz="0" w:space="0" w:color="auto"/>
        <w:right w:val="none" w:sz="0" w:space="0" w:color="auto"/>
      </w:divBdr>
    </w:div>
    <w:div w:id="419183304">
      <w:bodyDiv w:val="1"/>
      <w:marLeft w:val="0"/>
      <w:marRight w:val="0"/>
      <w:marTop w:val="0"/>
      <w:marBottom w:val="0"/>
      <w:divBdr>
        <w:top w:val="none" w:sz="0" w:space="0" w:color="auto"/>
        <w:left w:val="none" w:sz="0" w:space="0" w:color="auto"/>
        <w:bottom w:val="none" w:sz="0" w:space="0" w:color="auto"/>
        <w:right w:val="none" w:sz="0" w:space="0" w:color="auto"/>
      </w:divBdr>
    </w:div>
    <w:div w:id="475074413">
      <w:bodyDiv w:val="1"/>
      <w:marLeft w:val="0"/>
      <w:marRight w:val="0"/>
      <w:marTop w:val="0"/>
      <w:marBottom w:val="0"/>
      <w:divBdr>
        <w:top w:val="none" w:sz="0" w:space="0" w:color="auto"/>
        <w:left w:val="none" w:sz="0" w:space="0" w:color="auto"/>
        <w:bottom w:val="none" w:sz="0" w:space="0" w:color="auto"/>
        <w:right w:val="none" w:sz="0" w:space="0" w:color="auto"/>
      </w:divBdr>
    </w:div>
    <w:div w:id="499661140">
      <w:bodyDiv w:val="1"/>
      <w:marLeft w:val="0"/>
      <w:marRight w:val="0"/>
      <w:marTop w:val="0"/>
      <w:marBottom w:val="0"/>
      <w:divBdr>
        <w:top w:val="none" w:sz="0" w:space="0" w:color="auto"/>
        <w:left w:val="none" w:sz="0" w:space="0" w:color="auto"/>
        <w:bottom w:val="none" w:sz="0" w:space="0" w:color="auto"/>
        <w:right w:val="none" w:sz="0" w:space="0" w:color="auto"/>
      </w:divBdr>
    </w:div>
    <w:div w:id="1068454180">
      <w:bodyDiv w:val="1"/>
      <w:marLeft w:val="0"/>
      <w:marRight w:val="0"/>
      <w:marTop w:val="0"/>
      <w:marBottom w:val="0"/>
      <w:divBdr>
        <w:top w:val="none" w:sz="0" w:space="0" w:color="auto"/>
        <w:left w:val="none" w:sz="0" w:space="0" w:color="auto"/>
        <w:bottom w:val="none" w:sz="0" w:space="0" w:color="auto"/>
        <w:right w:val="none" w:sz="0" w:space="0" w:color="auto"/>
      </w:divBdr>
    </w:div>
    <w:div w:id="11465819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s://orcid.org/0009-0006-6723-2991" TargetMode="External"/><Relationship Id="rId13" Type="http://schemas.openxmlformats.org/officeDocument/2006/relationships/hyperlink" Target="mailto:sahithikandhukuri37@gmail.com" TargetMode="External"/><Relationship Id="rId18" Type="http://schemas.openxmlformats.org/officeDocument/2006/relationships/hyperlink" Target="https://doi.org/10.1109/TIA.2024.3360372"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doi.org/10.1007/978-981-13-1921-1_55" TargetMode="Externa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oleObject" Target="embeddings/oleObject2.bin"/><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4.emf"/><Relationship Id="rId20" Type="http://schemas.openxmlformats.org/officeDocument/2006/relationships/hyperlink" Target="https://doi.org/10.1109/EPQU.2007.4424212"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hyperlink" Target="https://creativecommons.org/licenses/by/4.0/" TargetMode="External"/><Relationship Id="rId5" Type="http://schemas.openxmlformats.org/officeDocument/2006/relationships/webSettings" Target="webSettings.xml"/><Relationship Id="rId15" Type="http://schemas.openxmlformats.org/officeDocument/2006/relationships/oleObject" Target="embeddings/oleObject1.bin"/><Relationship Id="rId23" Type="http://schemas.openxmlformats.org/officeDocument/2006/relationships/image" Target="media/image5.png"/><Relationship Id="rId10" Type="http://schemas.openxmlformats.org/officeDocument/2006/relationships/image" Target="media/image1.png"/><Relationship Id="rId19" Type="http://schemas.openxmlformats.org/officeDocument/2006/relationships/hyperlink" Target="https://doi.org/10.1016/j.suscom.2024.100978" TargetMode="External"/><Relationship Id="rId4" Type="http://schemas.openxmlformats.org/officeDocument/2006/relationships/settings" Target="settings.xml"/><Relationship Id="rId9" Type="http://schemas.openxmlformats.org/officeDocument/2006/relationships/hyperlink" Target="https://orcid.org/0009-0001-9512-772X" TargetMode="External"/><Relationship Id="rId14" Type="http://schemas.openxmlformats.org/officeDocument/2006/relationships/image" Target="media/image3.wmf"/><Relationship Id="rId22" Type="http://schemas.openxmlformats.org/officeDocument/2006/relationships/hyperlink" Target="https://doi.org/10.1109/IEEESTD.2018.8332112" TargetMode="External"/><Relationship Id="rId27" Type="http://schemas.openxmlformats.org/officeDocument/2006/relationships/image" Target="media/image6.png"/><Relationship Id="rId28" Type="http://schemas.openxmlformats.org/officeDocument/2006/relationships/image" Target="media/image7.png"/><Relationship Id="rId29" Type="http://schemas.openxmlformats.org/officeDocument/2006/relationships/image" Target="media/image8.png"/><Relationship Id="rId30" Type="http://schemas.openxmlformats.org/officeDocument/2006/relationships/image" Target="media/image9.png"/><Relationship Id="rId31" Type="http://schemas.openxmlformats.org/officeDocument/2006/relationships/image" Target="media/image10.png"/><Relationship Id="rId32" Type="http://schemas.openxmlformats.org/officeDocument/2006/relationships/image" Target="media/image11.png"/><Relationship Id="rId33" Type="http://schemas.openxmlformats.org/officeDocument/2006/relationships/image" Target="media/image12.png"/><Relationship Id="rId34" Type="http://schemas.openxmlformats.org/officeDocument/2006/relationships/image" Target="media/image13.png"/><Relationship Id="rId35"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AED4E74-2903-4448-A986-52FBE3BC00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346</TotalTime>
  <Pages>4</Pages>
  <Words>1499</Words>
  <Characters>9135</Characters>
  <Application>Microsoft Office Word</Application>
  <DocSecurity>0</DocSecurity>
  <Lines>234</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abc</dc:creator>
  <cp:keywords/>
  <dc:description/>
  <cp:lastModifiedBy>R &amp; D</cp:lastModifiedBy>
  <cp:revision>35</cp:revision>
  <dcterms:created xsi:type="dcterms:W3CDTF">2020-10-31T17:26:00Z</dcterms:created>
  <dcterms:modified xsi:type="dcterms:W3CDTF">2025-11-24T05:36:00Z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5ace3d91-da6a-4beb-86cf-14328c97c319</vt:lpwstr>
  </property>
</Properties>
</file>