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240"/>
        <w:jc w:val="center"/>
        <w:rPr>
          <w:rFonts w:ascii="Times New Roman" w:hAnsi="Times New Roman" w:cs="Times New Roman"/>
          <w:b/>
          <w:sz w:val="48"/>
          <w:szCs w:val="48"/>
        </w:rPr>
      </w:pPr>
      <w:r/>
      <w:r>
        <w:rPr>
          <w:rFonts w:ascii="Times New Roman" w:hAnsi="Times New Roman"/>
          <w:b/>
          <w:color w:val="000000"/>
          <w:sz w:val="44"/>
        </w:rPr>
        <w:t>INTELLIFRA: A HYBRID DEEP LEARNING DIAGNOSTIC FRAMEWORK FOR AUTOMATED POWER TRANSFORMER FAULT CLASSIFICATION AND ANOMALY DETECTION USING SWEEP FREQUENCY RESPONSE ANALYSIS</w:t>
      </w:r>
    </w:p>
    <w:p w:rsidR="0060487A" w:rsidRPr="0060487A" w:rsidRDefault="0060487A" w:rsidP="0060487A">
      <w:pPr>
        <w:spacing w:before="240" w:after="0" w:line="240" w:lineRule="auto"/>
        <w:jc w:val="center"/>
        <w:rPr>
          <w:rFonts w:ascii="Times New Roman" w:hAnsi="Times New Roman" w:cs="Times New Roman"/>
          <w:sz w:val="24"/>
          <w:szCs w:val="24"/>
        </w:rPr>
      </w:pPr>
    </w:p>
    <w:p w:rsidR="0060487A" w:rsidRPr="007000AE" w:rsidRDefault="003F2D59" w:rsidP="005A474D">
      <w:pPr>
        <w:spacing w:after="120" w:line="600" w:lineRule="auto"/>
        <w:jc w:val="center"/>
        <w:rPr>
          <w:rFonts w:ascii="Times New Roman" w:hAnsi="Times New Roman"/>
          <w:sz w:val="24"/>
          <w:szCs w:val="24"/>
          <w:lang w:val="en-GB"/>
        </w:rPr>
      </w:pPr>
      <w:r>
        <w:rPr>
          <w:rFonts w:ascii="Times New Roman" w:hAnsi="Times New Roman"/>
          <w:sz w:val="24"/>
          <w:szCs w:val="24"/>
          <w:lang w:val="en-GB"/>
        </w:rPr>
        <w:t>Harini Panigrahi</w:t>
      </w:r>
      <w:r w:rsidR="009D194E">
        <w:rPr>
          <w:rFonts w:ascii="Times New Roman" w:hAnsi="Times New Roman"/>
          <w:sz w:val="24"/>
          <w:szCs w:val="24"/>
          <w:lang w:val="en-GB"/>
        </w:rPr>
        <w:t>¹</w:t>
      </w:r>
      <w:r>
        <w:rPr>
          <w:rFonts w:ascii="Times New Roman" w:hAnsi="Times New Roman"/>
          <w:sz w:val="24"/>
          <w:szCs w:val="24"/>
          <w:lang w:val="en-GB"/>
        </w:rPr>
      </w:r>
      <w:r w:rsidR="000573BB">
        <w:rPr>
          <w:rFonts w:ascii="Times New Roman" w:hAnsi="Times New Roman"/>
          <w:sz w:val="24"/>
          <w:szCs w:val="24"/>
          <w:vertAlign w:val="superscript"/>
          <w:lang w:val="en-GB"/>
        </w:rPr>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4"/>
          <w:szCs w:val="24"/>
          <w:lang w:val="en-GB"/>
        </w:rPr>
        <w:t xml:space="preserve">, </w:t>
      </w:r>
      <w:r>
        <w:rPr>
          <w:rFonts w:ascii="Times New Roman" w:hAnsi="Times New Roman"/>
          <w:sz w:val="24"/>
          <w:szCs w:val="24"/>
          <w:lang w:val="en-GB"/>
        </w:rPr>
        <w:t>Yooraj Gole¹</w:t>
      </w:r>
      <w:r w:rsidR="004B20D4">
        <w:rPr>
          <w:rFonts w:ascii="Times New Roman" w:hAnsi="Times New Roman"/>
          <w:sz w:val="24"/>
          <w:szCs w:val="24"/>
          <w:lang w:val="en-GB"/>
        </w:rPr>
        <w:t xml:space="preserve">, </w:t>
      </w:r>
      <w:r w:rsidR="009D194E">
        <w:rPr>
          <w:rFonts w:ascii="Times New Roman" w:hAnsi="Times New Roman"/>
          <w:sz w:val="24"/>
          <w:szCs w:val="24"/>
          <w:lang w:val="en-GB"/>
        </w:rPr>
        <w:t>Prapti Bhayde¹</w:t>
      </w:r>
      <w:r>
        <w:rPr>
          <w:rFonts w:ascii="Times New Roman" w:hAnsi="Times New Roman"/>
          <w:sz w:val="24"/>
          <w:szCs w:val="24"/>
          <w:lang w:val="en-GB"/>
        </w:rPr>
        <w:t xml:space="preserve">, </w:t>
      </w:r>
      <w:r w:rsidR="000573BB">
        <w:rPr>
          <w:rFonts w:ascii="Times New Roman" w:hAnsi="Times New Roman"/>
          <w:sz w:val="24"/>
          <w:szCs w:val="24"/>
          <w:vertAlign w:val="superscript"/>
          <w:lang w:val="en-GB"/>
        </w:rPr>
        <w:t>Neha Verma¹</w:t>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4"/>
          <w:szCs w:val="24"/>
          <w:lang w:val="en-GB"/>
        </w:rPr>
        <w:t xml:space="preserve">, </w:t>
      </w:r>
      <w:proofErr w:type="spellStart"/>
      <w:r w:rsidR="007000AE">
        <w:rPr>
          <w:rFonts w:ascii="Times New Roman" w:hAnsi="Times New Roman"/>
          <w:sz w:val="24"/>
          <w:szCs w:val="24"/>
          <w:lang w:val="en-GB"/>
        </w:rPr>
        <w:t>Bhanu Tekwani¹*</w:t>
      </w:r>
      <w:proofErr w:type="spellEnd"/>
      <w:r w:rsidR="007000AE">
        <w:rPr>
          <w:rFonts w:ascii="Times New Roman" w:hAnsi="Times New Roman"/>
          <w:sz w:val="24"/>
          <w:szCs w:val="24"/>
          <w:lang w:val="en-GB"/>
        </w:rPr>
      </w:r>
      <w:r w:rsidR="00FF1092">
        <w:rPr>
          <w:rFonts w:ascii="Times New Roman" w:hAnsi="Times New Roman"/>
          <w:sz w:val="24"/>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40" w:lineRule="auto" w:before="80" w:after="80"/>
              <w:jc w:val="both"/>
              <w:rPr>
                <w:rFonts w:ascii="Palatino Linotype" w:hAnsi="Palatino Linotype"/>
                <w:sz w:val="20"/>
                <w:szCs w:val="24"/>
                <w:lang w:val="en-GB"/>
              </w:rPr>
            </w:pPr>
            <w:r/>
            <w:r>
              <w:rPr>
                <w:rFonts w:ascii="Palatino Linotype" w:hAnsi="Palatino Linotype"/>
                <w:b/>
                <w:sz w:val="20"/>
              </w:rPr>
              <w:t xml:space="preserve">Abstract: </w:t>
            </w:r>
            <w:r>
              <w:rPr>
                <w:rFonts w:ascii="Palatino Linotype" w:hAnsi="Palatino Linotype"/>
                <w:sz w:val="20"/>
              </w:rPr>
              <w:t>Sweep Frequency Response Analysis (SFRA) serves as an indispensable non-destructive condition monitoring technique for identifying mechanical deformations, core shifts, and winding displacements in power transformers. Despite standardized measurement protocols, field interpretation of spectral traces remains heavily reliant on subjective visual inspection and scalar correlation indices that lack fault-localizing capability. This study presents IntelliFRA, an open-source hybrid deep learning framework integrating a 1D Convolutional Neural Network (1D-CNN) for multi-class severity classification and an undercomplete Autoencoder for anomaly gating. To resolve the scarcity of labeled physical fault records, an unconstrained physics-inspired distributed ladder winding network is formulated without artificial monotonic constraints, parameterizing six physical failure archetypes. Rigorous 5-fold stratified cross-validation on 12,000 synthesized frequency responses (20 Hz to 2 MHz) demonstrates that the 1D-CNN achieves a classification accuracy of 81.03% ± 1.60% (Macro F1 = 0.8234), outperforming Random Forest (72.57%), Support Vector Machines (66.12%), and Multi-Layer Perceptrons (64.95%). An empirical ablation study confirms that learned representations surpass heuristic shape rules by 18.37%. Furthermore, the framework achieves 56.88% accuracy on an independent shifted out-of-distribution test set (±15% frequency drift) and executes with sub-millisecond single-core CPU latency (0.247 ms p95), establishing practical viability for real-time edge substation monitoring.</w:t>
            </w:r>
          </w:p>
          <w:p>
            <w:pPr>
              <w:spacing w:line="240" w:lineRule="auto" w:before="40" w:after="80"/>
              <w:jc w:val="both"/>
            </w:pPr>
            <w:r>
              <w:rPr>
                <w:rFonts w:ascii="Palatino Linotype" w:hAnsi="Palatino Linotype"/>
                <w:b/>
                <w:sz w:val="20"/>
              </w:rPr>
              <w:t xml:space="preserve">Keywords: </w:t>
            </w:r>
            <w:r>
              <w:rPr>
                <w:rFonts w:ascii="Palatino Linotype" w:hAnsi="Palatino Linotype"/>
                <w:sz w:val="20"/>
              </w:rPr>
              <w:t>Condition monitoring; Distributed ladder network; Transfer function; Inter-disk displacement; Clamping looseness; Radial deformation; Dielectric dissipation factor; Cross-correlation coefficient; Edge computing; IEEE Std C57.149.</w:t>
            </w:r>
          </w:p>
        </w:tc>
      </w:tr>
    </w:tbl>
    <w:p w:rsidR="00FB0A6D" w:rsidRDefault="00FB0A6D" w:rsidP="00FB0A6D">
      <w:pPr>
        <w:pStyle w:val="ListParagraph"/>
        <w:spacing w:before="40" w:after="40"/>
        <w:ind w:left="0"/>
        <w:jc w:val="center"/>
        <w:rPr>
          <w:rFonts w:ascii="Times New Roman" w:hAnsi="Times New Roman" w:cs="Times New Roman"/>
          <w:b/>
          <w:sz w:val="20"/>
          <w:szCs w:val="20"/>
        </w:rPr>
      </w:pPr>
      <w:r/>
      <w:r>
        <w:rPr>
          <w:rFonts w:ascii="Times New Roman" w:hAnsi="Times New Roman"/>
          <w:sz w:val="20"/>
        </w:rPr>
        <w:t>¹Department of Information Technology, Vidyalankar Institute of Technology, Vidyalankar College Road, Wadala (East), Mumbai 400037, Maharashtra, India</w:t>
      </w:r>
    </w:p>
    <w:p w:rsidR="00FB0A6D" w:rsidRDefault="00FB0A6D" w:rsidP="00FB0A6D">
      <w:pPr>
        <w:pStyle w:val="ListParagraph"/>
        <w:numPr>
          <w:ilvl w:val="0"/>
          <w:numId w:val="1"/>
        </w:numPr>
        <w:spacing w:before="40" w:after="160"/>
        <w:ind w:left="360"/>
        <w:jc w:val="center"/>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r>
        <w:rPr>
          <w:rFonts w:ascii="Times New Roman" w:hAnsi="Times New Roman"/>
          <w:i/>
          <w:sz w:val="19"/>
        </w:rPr>
        <w:t>*Corresponding Author: Dr. Bhanu Tekwani, Department of Information Technology, Vidyalankar Institute of Technology, Vidyalankar College Road, Wadala (East), Mumbai 400037, Maharashtra, India. E-mail: bhanu.tekwani@vit.edu.in; Tel: +91-22-24161126; Fax: +91-22-24161126.</w:t>
        <w:br/>
        <w:t>Co-authors: {harini.panigrahi, yooraj.gole, prapti.bhayde, neha.verma}@vit.edu.in. ORCID: H. Panigrahi (0009-0002-4112-984X), Y. Gole (0009-0005-2311-8971), P. Bhayde (0009-0008-6541-2309), N. Verma (0009-0001-8723-5460), B. Tekwani (0000-0002-8412-3491).</w:t>
      </w:r>
    </w:p>
    <w:p w:rsidR="005467C7" w:rsidRPr="009D24DC" w:rsidRDefault="00FA2399" w:rsidP="002A5870">
      <w:pPr>
        <w:pStyle w:val="ListParagraph"/>
        <w:numPr>
          <w:ilvl w:val="0"/>
          <w:numId w:val="1"/>
        </w:numPr>
        <w:spacing w:before="2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
        <w:rPr>
          <w:rFonts w:ascii="Palatino Linotype" w:hAnsi="Palatino Linotype"/>
          <w:b/>
          <w:sz w:val="20"/>
        </w:rPr>
        <w:t>1.1 Background of the Research</w:t>
        <w:br/>
      </w:r>
      <w:r>
        <w:rPr>
          <w:rFonts w:ascii="Palatino Linotype" w:hAnsi="Palatino Linotype"/>
          <w:sz w:val="20"/>
        </w:rPr>
        <w:t>Power transformers represent the most capital-intensive single assets within electrical transmission and distribution grids. Their continuous, uninterrupted operation is essential for grid security and bulk power dispatch. Over their operational lifespans—often exceeding three to four decades—transformers endure severe mechanical, electrical, thermal, and environmental stresses. Catastrophic mechanical failures are predominantly provoked by severe external through-fault short circuits, physical transit shock during transport, seismic vibrations, and long-term cumulative relaxation of structural clamping mechanisms [1]. Under heavy through-fault short circuits, electromagnetic forces scale quadratically with the fault current, generating dynamic mechanical stresses reaching tens of metric tons that act axially and radially upon the transformer windings [2]. Unplanned transformer outages incur millions of dollars in emergency repair expenses, collateral damage, and industrial power interruptions [3]. Consequently, proactive condition assessment through non-destructive testing has become a cornerstone of utility predictive asset management.</w:t>
      </w: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0573BB" w:rsidRPr="00B6748F" w:rsidRDefault="000573BB" w:rsidP="000573BB">
      <w:pPr>
        <w:spacing w:after="0" w:line="240" w:lineRule="auto"/>
        <w:jc w:val="both"/>
        <w:rPr>
          <w:rFonts w:ascii="Palatino Linotype" w:eastAsia="Palatino Linotype" w:hAnsi="Palatino Linotype" w:cs="Palatino Linotype"/>
          <w:sz w:val="12"/>
          <w:szCs w:val="12"/>
        </w:rPr>
      </w:pP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b/>
          <w:color w:val="000000"/>
          <w:sz w:val="20"/>
          <w:szCs w:val="20"/>
        </w:rPr>
      </w:pPr>
      <w:r>
        <w:rPr>
          <w:rFonts w:ascii="Palatino Linotype" w:hAnsi="Palatino Linotype"/>
          <w:b/>
          <w:sz w:val="20"/>
        </w:rPr>
        <w:t>History</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Received: 01-03-2025;</w:t>
        <w:tab/>
        <w:tab/>
        <w:t>Revised: 15-05-2025;</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Accepted: 30-05-2025</w:t>
        <w:tab/>
        <w:tab/>
      </w:r>
    </w:p>
    <w:p w:rsidR="000573BB" w:rsidRPr="00B6748F" w:rsidRDefault="000573BB" w:rsidP="000573BB">
      <w:pPr>
        <w:pBdr>
          <w:top w:val="single" w:sz="4" w:space="1" w:color="000000"/>
        </w:pBdr>
        <w:shd w:val="clear" w:color="auto" w:fill="F2F2F2"/>
        <w:spacing w:before="240" w:after="0" w:line="240" w:lineRule="auto"/>
        <w:jc w:val="both"/>
        <w:rPr>
          <w:rFonts w:ascii="Times New Roman" w:hAnsi="Times New Roman" w:cs="Times New Roman"/>
          <w:sz w:val="20"/>
          <w:szCs w:val="24"/>
        </w:rPr>
      </w:pPr>
      <w:r>
        <w:rPr>
          <w:rFonts w:ascii="Palatino Linotype" w:hAnsi="Palatino Linotype"/>
          <w:b/>
          <w:noProof/>
          <w:sz w:val="20"/>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20"/>
        </w:rPr>
        <w:tab/>
      </w:r>
      <w:r w:rsidRPr="00BD3816">
        <w:rPr>
          <w:rFonts w:ascii="Palatino Linotype" w:hAnsi="Palatino Linotype" w:cs="Times New Roman"/>
          <w:b/>
          <w:sz w:val="20"/>
          <w:szCs w:val="24"/>
        </w:rPr>
        <w:t xml:space="preserve">Harini </w:t>
      </w:r>
      <w:proofErr w:type="spellStart"/>
      <w:r w:rsidRPr="00BD3816">
        <w:rPr>
          <w:rFonts w:ascii="Palatino Linotype" w:hAnsi="Palatino Linotype" w:cs="Times New Roman"/>
          <w:b/>
          <w:sz w:val="20"/>
          <w:szCs w:val="24"/>
        </w:rPr>
        <w:t>Panigrahi</w:t>
      </w:r>
      <w:proofErr w:type="spellEnd"/>
    </w:p>
    <w:p w:rsidR="000573BB" w:rsidRPr="00496567" w:rsidRDefault="001D1909" w:rsidP="00496567">
      <w:pPr>
        <w:pBdr>
          <w:top w:val="single" w:sz="4" w:space="1" w:color="000000"/>
        </w:pBdr>
        <w:shd w:val="clear" w:color="auto" w:fill="F2F2F2"/>
        <w:spacing w:after="0" w:line="240" w:lineRule="auto"/>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20"/>
        </w:rPr>
        <w:t>harinipanigrahi15@gmail.com</w:t>
      </w:r>
    </w:p>
    <w:p w:rsidR="000573BB" w:rsidRPr="00B6748F" w:rsidRDefault="000573BB" w:rsidP="000573BB">
      <w:pPr>
        <w:pBdr>
          <w:top w:val="single" w:sz="4" w:space="1" w:color="000000"/>
        </w:pBdr>
        <w:shd w:val="clear" w:color="auto" w:fill="F2F2F2"/>
        <w:spacing w:before="240" w:after="0" w:line="240" w:lineRule="auto"/>
        <w:jc w:val="both"/>
        <w:rPr>
          <w:rFonts w:ascii="Palatino Linotype" w:hAnsi="Palatino Linotype" w:cs="Times New Roman"/>
          <w:sz w:val="20"/>
          <w:szCs w:val="24"/>
        </w:rPr>
      </w:pPr>
      <w:r>
        <w:rPr>
          <w:rFonts w:ascii="Palatino Linotype" w:hAnsi="Palatino Linotype"/>
          <w:sz w:val="20"/>
        </w:rPr>
        <w:t>¹Department of Information Technology, Vidyalankar Institute of Technology, Mumbai – 400037, India</w:t>
      </w:r>
    </w:p>
    <w:p w:rsidR="000573BB" w:rsidRPr="00B6748F" w:rsidRDefault="000573BB" w:rsidP="000573BB">
      <w:pPr>
        <w:pBdr>
          <w:top w:val="single" w:sz="4" w:space="1" w:color="000000"/>
        </w:pBdr>
        <w:shd w:val="clear" w:color="auto" w:fill="F2F2F2"/>
        <w:spacing w:after="0" w:line="240" w:lineRule="auto"/>
        <w:jc w:val="both"/>
        <w:rPr>
          <w:rFonts w:ascii="Palatino Linotype" w:eastAsia="Palatino Linotype" w:hAnsi="Palatino Linotype" w:cs="Palatino Linotype"/>
          <w:color w:val="000000"/>
          <w:sz w:val="20"/>
          <w:szCs w:val="20"/>
        </w:rPr>
      </w:pP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5A474D" w:rsidRPr="009D24DC" w:rsidRDefault="00B313DF" w:rsidP="00703F2A">
      <w:pPr>
        <w:pBdr>
          <w:top w:val="nil"/>
          <w:left w:val="nil"/>
          <w:bottom w:val="nil"/>
          <w:right w:val="nil"/>
          <w:between w:val="nil"/>
        </w:pBdr>
        <w:spacing w:before="240" w:line="240" w:lineRule="auto"/>
        <w:ind w:firstLine="360"/>
        <w:jc w:val="both"/>
        <w:rPr>
          <w:rFonts w:ascii="Palatino Linotype" w:hAnsi="Palatino Linotype" w:cs="Times New Roman"/>
          <w:sz w:val="20"/>
          <w:szCs w:val="20"/>
        </w:rPr>
      </w:pPr>
      <w:r>
        <w:rPr>
          <w:rFonts w:ascii="Palatino Linotype" w:hAnsi="Palatino Linotype"/>
          <w:sz w:val="20"/>
        </w:rPr>
        <w:t>Conventional diagnostic techniques, such as Dissolved Gas Analysis (DGA), power factor testing, and winding resistance measurements, provide critical indicators of active thermal decomposition or dielectric breakdown in insulating oil and paper [4]. However, these traditional methods are fundamentally incapable of detecting localized mechanical deformations, radial buckling, or clamping looseness before catastrophic electrical failure occurs. Sweep Frequency Response Analysis (SFRA) has emerged internationally as the most sensitive and established non-destructive methodology for assessing the mechanical integrity of transformer active parts without unsealing the tank [5], [6].</w:t>
        <w:br/>
        <w:br/>
        <w:t>In an SFRA test, a low-voltage sinusoidal excitation voltage (typically 0.2 V to 10 V RMS) is injected across a wide logarithmic frequency spectrum (ranging from 20 Hz to 2 MHz) into one terminal of a winding, and the transmitted voltage response is recorded at another terminal using a 50-ohm matched coaxial measurement setup [7]. The resulting frequency response transfer function, H(f) = 20 log10(|Vout(f) / Vin(f)|), functions as a unique electromechanical fingerprint of the winding geometry, core permeability, inter-disk capacitances, and mutual inductances [8].</w:t>
      </w:r>
    </w:p>
    <w:p>
      <w:pPr>
        <w:spacing w:before="120" w:after="40" w:line="240" w:lineRule="auto"/>
        <w:jc w:val="left"/>
      </w:pPr>
      <w:r>
        <w:rPr>
          <w:rFonts w:ascii="Palatino Linotype" w:hAnsi="Palatino Linotype"/>
          <w:b/>
          <w:sz w:val="20"/>
        </w:rPr>
        <w:t>1.2 Literature Survey</w:t>
      </w:r>
    </w:p>
    <w:p>
      <w:pPr>
        <w:spacing w:before="0" w:after="80" w:line="240" w:lineRule="auto"/>
        <w:jc w:val="both"/>
      </w:pPr>
      <w:r>
        <w:rPr>
          <w:rFonts w:ascii="Palatino Linotype" w:hAnsi="Palatino Linotype"/>
          <w:sz w:val="20"/>
        </w:rPr>
        <w:t>The scientific foundation of Frequency Response Analysis dates back to seminal investigations by Dick and Erven in 1978, who demonstrated that mechanical displacements alter internal winding capacitance and leakage inductance matrices [1]. Subsequent international standardization by the IEEE Power and Energy Society (IEEE Std C57.149-2012) and the International Electrotechnical Commission (IEC 60076-18) codified measurement protocols, cable grounding braid configurations, and standardized frequency limits [5], [6]. In contemporary utility maintenance practice, SFRA interpretation remains predominantly comparative. Asset managers compare an active field sweep against a historical baseline (obtained during factory acceptance testing), a sister unit of identical design, or an opposing symmetrical phase on the same transformer core [7], [8].</w:t>
        <w:br/>
        <w:br/>
        <w:t>To eliminate subjective human bias, mathematical similarity indices have been standardized, including the Cross-Correlation Coefficient (CC), Absolute Sum of Logarithmic Error (ASLE), Standard Deviation (SD), and Euclidean Distance (ED) [9]-[11]. While standardized, numerical indices condense broad spectral intervals into scalar numbers, failing to identify whether a deviation stems from harmless test lead repositioning, oil moisture variation, or severe mechanical collapse [12]. Over the past decade, machine learning algorithms have been explored to automate classification. Support Vector Machines (SVM) were deployed by Bigdeli et al. [13] and Zhao et al. [14] using extracted statistical features. Tahir and Tenbohlen [15], [16] benchmarked shallow Artificial Neural Networks (ANN) and Random Forests across 139 physical transformer measurements, reaching 93% classification accuracy on curated datasets. However, shallow machine learning requires laborious manual feature extraction that fails to capture subtle multi-resonant peak splittings.</w:t>
        <w:br/>
        <w:br/>
        <w:t>To bypass manual feature engineering, recent studies converted 1D SFRA traces into 2D representations, including binary image matrices [17], Continuous Wavelet Transform (CWT) scalograms [18], and recurrence plots [19] for classification using 2D Convolutional Neural Networks (2D-CNNs). While effective, transforming 1D frequency series into 2D images introduces artificial grid quantization artifacts, multiplies model parameter counts by orders of magnitude (often exceeding 10 to 25 million parameters), and discards critical phase alignment. Direct 1D raw-vector deep learning architectures (e.g., Wang [20], Phillip et al. [21], Duan et al. [22]) have recently demonstrated superior computational efficiency by operating directly on normalized 1D magnitude vectors.</w:t>
      </w:r>
    </w:p>
    <w:p>
      <w:pPr>
        <w:spacing w:before="120" w:after="40" w:line="240" w:lineRule="auto"/>
        <w:jc w:val="left"/>
      </w:pPr>
      <w:r>
        <w:rPr>
          <w:rFonts w:ascii="Palatino Linotype" w:hAnsi="Palatino Linotype"/>
          <w:b/>
          <w:sz w:val="20"/>
        </w:rPr>
        <w:t>1.3 Research Gaps Identified</w:t>
      </w:r>
    </w:p>
    <w:p>
      <w:pPr>
        <w:spacing w:before="0" w:after="80" w:line="240" w:lineRule="auto"/>
        <w:jc w:val="both"/>
      </w:pPr>
      <w:r>
        <w:rPr>
          <w:rFonts w:ascii="Palatino Linotype" w:hAnsi="Palatino Linotype"/>
          <w:sz w:val="20"/>
        </w:rPr>
        <w:t>Despite encouraging advances in deep learning for SFRA interpretation, an exhaustive survey of published literature reveals six fundamental scientific and methodological shortcomings that severely undermine real-world deployment:</w:t>
        <w:br/>
        <w:t>1. Circular Synthetic Data Generator Design: Because physical transformer failure records are commercially scarce and destructive testing is cost-prohibitive, prior deep learning studies rely almost exclusively on synthetic curve generators. Crucially, legacy synthesis engines enforce artificial monotonic constraints (e.g., forcing Normal curves to possess step-wise monotonicity). Consequently, classifiers learn the artificial generator rules rather than physical winding electromechanics, yielding artificially perfect accuracy (F1 &gt; 0.999) that completely collapses when exposed to real transformer traces.</w:t>
        <w:br/>
        <w:t>2. Complete Absence of Comparative Baselines: Existing SFRA deep learning literature predominantly evaluates novel architectures in isolation without comparative benchmarking against classical machine learning baselines (such as Random Forests, Support Vector Machines with RBF kernels, or Multi-Layer Perceptrons) trained on identical data folds.</w:t>
        <w:br/>
        <w:t>3. Unvalidated Heuristic Post-Filtering Overrides: Industrial condition monitoring systems frequently append deterministic heuristic shape rules to override neural network outputs. However, published literature has never empirically measured whether these manual rules improve accuracy or actively degrade learned convolutional representations.</w:t>
        <w:br/>
        <w:t>4. Lack of Statistical Cross-Validation Rigor: Reported accuracies frequently stem from single random train-test splits under arbitrary random seeds without k-fold cross-validation, variance bounds, or statistical confidence intervals.</w:t>
        <w:br/>
        <w:t>5. Scarcity of Physical Field Validation: Models trained on synthetic benchmarks are rarely tested on full-scale physical utility power transformers operating in active transmission substations.</w:t>
        <w:br/>
        <w:t>6. Absence of Computational Latency and Edge Profiling: The literature lacks rigorous profiling of inference execution latency and computational resource utilization, leaving their viability for embedded substation edge monitoring gateways unknown.</w:t>
      </w:r>
    </w:p>
    <w:p>
      <w:pPr>
        <w:spacing w:before="120" w:after="40" w:line="240" w:lineRule="auto"/>
        <w:jc w:val="left"/>
      </w:pPr>
      <w:r>
        <w:rPr>
          <w:rFonts w:ascii="Palatino Linotype" w:hAnsi="Palatino Linotype"/>
          <w:b/>
          <w:sz w:val="20"/>
        </w:rPr>
        <w:t>1.4 Research Problem Formulation</w:t>
      </w:r>
    </w:p>
    <w:p>
      <w:pPr>
        <w:spacing w:before="0" w:after="80" w:line="240" w:lineRule="auto"/>
        <w:jc w:val="both"/>
      </w:pPr>
      <w:r>
        <w:rPr>
          <w:rFonts w:ascii="Palatino Linotype" w:hAnsi="Palatino Linotype"/>
          <w:sz w:val="20"/>
        </w:rPr>
        <w:t>Let a measured or synthesized power transformer sweep frequency response be denoted by the continuous transfer function magnitude H(f) across the standardized frequency band f in [Fmin, Fmax], where Fmin = 20 Hz and Fmax = 2 MHz. After logarithmic resampling to a discrete sequence x = [x1, x2, ..., xN] in R^N (with N = 500 points), the diagnostic objective is twofold: (1) accurately map x to one of K distinct fault severity classes y in {Normal, Minor Deviation, Moderate Fault, High Fault Risk} while maintaining robust sensitivity to six physical fault archetypes; and (2) formulate an unsupervised anomaly gating function g(x) in {0, 1} that evaluates whether x conforms to the manifold of healthy winding physics without generating excessive false alarms on unmodeled operational noise. The central engineering problem is to achieve this dual objective without circular monotonic synthetic shortcuts, while guaranteeing deterministic, sub-millisecond inference execution on edge computing hardware.</w:t>
      </w:r>
    </w:p>
    <w:p>
      <w:pPr>
        <w:spacing w:before="120" w:after="40" w:line="240" w:lineRule="auto"/>
        <w:jc w:val="left"/>
      </w:pPr>
      <w:r>
        <w:rPr>
          <w:rFonts w:ascii="Palatino Linotype" w:hAnsi="Palatino Linotype"/>
          <w:b/>
          <w:sz w:val="20"/>
        </w:rPr>
        <w:t>1.5 Research Objectives and Novel Contributions</w:t>
      </w:r>
    </w:p>
    <w:p>
      <w:pPr>
        <w:spacing w:before="0" w:after="80" w:line="240" w:lineRule="auto"/>
        <w:jc w:val="both"/>
      </w:pPr>
      <w:r>
        <w:rPr>
          <w:rFonts w:ascii="Palatino Linotype" w:hAnsi="Palatino Linotype"/>
          <w:sz w:val="20"/>
        </w:rPr>
        <w:t>To resolve the aforementioned scientific and industrial limitations, this investigation presents IntelliFRA, an open-source, fully reproducible hybrid deep learning framework. The primary contributions of this paper are summarized as follows:</w:t>
        <w:br/>
        <w:t>1. Unconstrained Distributed Ladder Network Formulation: We formulate an authentic multi-conductor ladder network that completely eliminates circular monotonic constraints, generating realistic physical baseline curves alongside six parameterized physical failure archetypes.</w:t>
        <w:br/>
        <w:t>2. Comprehensive 5-Fold Stratified Cross-Validation: We establish the first standardized benchmark on 12,000 synthesized frequency responses comparing our specialized 1D-CNN against Random Forest, Support Vector Machine (RBF kernel), and Multi-Layer Perceptron baselines on identical data splits.</w:t>
        <w:br/>
        <w:t>3. Empirical Ablation Analysis of Rule-Based Overrides: We provide definitive empirical evidence that deterministic shape override rules degrade diagnostic accuracy by -18.37%, demonstrating that end-to-end convolutional representations vastly outperform hand-crafted heuristics.</w:t>
        <w:br/>
        <w:t>4. Out-of-Distribution Generalization Testing: We evaluate model robustness on a perturbed held-out dataset exhibiting ±15% resonant center drift and elevated measurement noise, confirming 70.2% performance retention.</w:t>
        <w:br/>
        <w:t>5. Open Benchmark Reference Verification: We benchmark the diagnostic framework on open-source multi-phase baseline frequency sweeps under IEEE Std C57.149-2012 criteria, confirming healthy phase symmetry (CC = 0.9847).</w:t>
        <w:br/>
        <w:t>6. Sub-Millisecond Inference Latency Profiling: We demonstrate single-core CPU execution times of 0.247 ms (p95) and establish multi-tenant database isolation.</w:t>
      </w:r>
    </w:p>
    <w:p>
      <w:pPr>
        <w:spacing w:before="120" w:after="40" w:line="240" w:lineRule="auto"/>
        <w:jc w:val="left"/>
      </w:pPr>
      <w:r>
        <w:rPr>
          <w:rFonts w:ascii="Palatino Linotype" w:hAnsi="Palatino Linotype"/>
          <w:b/>
          <w:sz w:val="20"/>
        </w:rPr>
        <w:t>1.6 Organization of the Paper</w:t>
      </w:r>
    </w:p>
    <w:p>
      <w:pPr>
        <w:spacing w:before="0" w:after="80" w:line="240" w:lineRule="auto"/>
        <w:jc w:val="both"/>
      </w:pPr>
      <w:r>
        <w:rPr>
          <w:rFonts w:ascii="Palatino Linotype" w:hAnsi="Palatino Linotype"/>
          <w:sz w:val="20"/>
        </w:rPr>
        <w:t>The remainder of this article is organized as follows: Section 2 (Materials and Methods) details standardized SFRA measurement protocols, distributed ladder circuit equations, parameterization of six physical fault archetypes, preprocessing standardization, deep learning neural architectures, reference baseline datasets, and the ControlVisionQA-10K multimodal generator. Section 3 (Results and Discussion) analyzes 5-fold cross-validation benchmarks, archetype classification recall, algorithmic ablation studies, out-of-distribution stress testing, multi-phase baseline validation, and computational latency profiling. Section 4 (Conclusion) summarizes the principal findings, addresses study limitations, and outlines future research trajectories. Section 5 provides back-matter disclosures, including data availability and references.</w:t>
      </w:r>
    </w:p>
    <w:p>
      <w:pPr>
        <w:pStyle w:val="ListParagraph"/>
        <w:numPr>
          <w:ilvl w:val="0"/>
          <w:numId w:val="1"/>
        </w:numPr>
      </w:pPr>
      <w:r>
        <w:rPr>
          <w:rFonts w:ascii="Palatino Linotype" w:hAnsi="Palatino Linotype"/>
          <w:b/>
          <w:sz w:val="20"/>
        </w:rPr>
        <w:t>Materials and Methods</w:t>
      </w:r>
    </w:p>
    <w:p>
      <w:pPr>
        <w:spacing w:before="120" w:after="40" w:line="240" w:lineRule="auto"/>
        <w:jc w:val="left"/>
      </w:pPr>
      <w:r>
        <w:rPr>
          <w:rFonts w:ascii="Palatino Linotype" w:hAnsi="Palatino Linotype"/>
          <w:b/>
          <w:sz w:val="20"/>
        </w:rPr>
        <w:t>2.1 Standardized SFRA Principles and Experimental Measurement Setup</w:t>
      </w:r>
    </w:p>
    <w:p>
      <w:pPr>
        <w:spacing w:before="0" w:after="80" w:line="240" w:lineRule="auto"/>
        <w:jc w:val="both"/>
      </w:pPr>
      <w:r>
        <w:rPr>
          <w:rFonts w:ascii="Palatino Linotype" w:hAnsi="Palatino Linotype"/>
          <w:sz w:val="20"/>
        </w:rPr>
        <w:t>Sweep Frequency Response Analysis operates by injecting a sinusoidal low-voltage excitation signal Vin(f) into one terminal of a transformer winding and recording the transmitted output response Vout(f) across a matched 50-ohm measurement impedance. Experimental data collection conforms to IEEE Std C57.149-2012 and IEC 60076-18 protocols using commercial test sets, specifically the Megger FRAX 101 Sweep Frequency Response Analyzer (manufactured by Megger Group Limited, Dover, Kent, United Kingdom) and the Omicron FRANEO 800 (manufactured by OMICRON electronics GmbH, Klaus, Austria). Both instruments feature a wide measurement dynamic range (&gt; 130 dB), broad logarithmic frequency span (20 Hz to 2 MHz), and 50-ohm coaxial lead connections equipped with low-inductance flat copper grounding braids securely clamped to the transformer bushing base flanges.</w:t>
        <w:br/>
        <w:br/>
        <w:t>In accordance with standardized diagnostic guidelines, the measured transfer function H(f) = 20 log10(|Vout(f) / Vin(f)|) is partitioned into four electromechanical sub-bands:</w:t>
        <w:br/>
        <w:t>1. Core Sub-Band (20 Hz to 2 kHz): Dominated by core magnetizing inductance Lm and parallel core loss resistance. Resonance peaks here are highly sensitive to magnetic circuit integrity, core ground defects, residual magnetization (remanence), and interlaminar insulation short circuits.</w:t>
        <w:br/>
        <w:t>2. Bulk Winding Sub-Band (2 kHz to 100 kHz): Governed by total series winding inductance and bulk shunt capacitance to the transformer tank and core. This region characterizes global mechanical displacements, axial shifts, and relaxation of structural clamping pre-stress.</w:t>
        <w:br/>
        <w:t>3. Main Winding and Disk Deformation Band (100 kHz to 500 kHz): Controlled by series inter-disk capacitance Cs and individual disk self-inductance. Mechanical deformations, including radial hoop buckling, axial disk tilting, and localized conductor displacement, induce observable shifts in resonant peak frequencies and amplitudes.</w:t>
        <w:br/>
        <w:t>4. High-Frequency Leads and Tap Band (500 kHz to 2 MHz): Governed predominantly by internal lead inductance, bushing capacitance, and tap-changer lead configurations. This band is highly sensitive to internal lead layout and external measurement grounding braid geometry.</w:t>
      </w:r>
    </w:p>
    <w:p>
      <w:pPr>
        <w:spacing w:before="120" w:after="40" w:line="240" w:lineRule="auto"/>
        <w:jc w:val="left"/>
      </w:pPr>
      <w:r>
        <w:rPr>
          <w:rFonts w:ascii="Palatino Linotype" w:hAnsi="Palatino Linotype"/>
          <w:b/>
          <w:sz w:val="20"/>
        </w:rPr>
        <w:t>2.2 Distributed Parameter Ladder Network Model Formulation</w:t>
      </w:r>
    </w:p>
    <w:p>
      <w:pPr>
        <w:spacing w:before="0" w:after="80" w:line="240" w:lineRule="auto"/>
        <w:jc w:val="both"/>
      </w:pPr>
      <w:r>
        <w:rPr>
          <w:rFonts w:ascii="Palatino Linotype" w:hAnsi="Palatino Linotype"/>
          <w:sz w:val="20"/>
        </w:rPr>
        <w:t>To synthesize realistic transformer frequency responses without circular generator artifacts, a physics-grounded multi-conductor ladder transmission model is developed. A continuous high-voltage disk winding is discretized into a cascade of Nm coupled disk sections (with Nm in [8, 12]). Each individual disk k is modeled by its series self-inductance Ls, series inter-turn capacitance Cs, shunt capacitance to ground and tank Cg, and dielectric insulation conductance G = omega Cs tan delta. Furthermore, electromagnetic mutual coupling between non-adjacent disks j and k is represented by the mutual inductance matrix Mij = k_jk sqrt(Lj Lk), where the magnetic coupling factor k_jk decays exponentially with physical axial separation distance |j - k|. The continuous frequency range spanning Fmin = 20 Hz to Fmax = 2 MHz is mapped to a normalized frequency variable fn in [0, 1] via Eq. (1):</w:t>
      </w:r>
    </w:p>
    <w:p>
      <w:pPr>
        <w:spacing w:before="80" w:after="80"/>
        <w:jc w:val="left"/>
        <w:tabs>
          <w:tab w:val="right" w:pos="4824"/>
        </w:tabs>
      </w:pPr>
      <m:oMath>
        <m:sSub>
          <m:e>
            <m:r>
              <m:t>f</m:t>
            </m:r>
          </m:e>
          <m:sub>
            <m:r>
              <m:t>n</m:t>
            </m:r>
          </m:sub>
        </m:sSub>
        <m:r>
          <m:t>=</m:t>
        </m:r>
        <m:f>
          <m:num>
            <m:r>
              <m:t>log₁₀(f)-log₁₀(</m:t>
            </m:r>
            <m:sSub>
              <m:e>
                <m:r>
                  <m:t>F</m:t>
                </m:r>
              </m:e>
              <m:sub>
                <m:r>
                  <m:t>min</m:t>
                </m:r>
              </m:sub>
            </m:sSub>
            <m:r>
              <m:t>)</m:t>
            </m:r>
          </m:num>
          <m:den>
            <m:r>
              <m:t>log₁₀(</m:t>
            </m:r>
            <m:sSub>
              <m:e>
                <m:r>
                  <m:t>F</m:t>
                </m:r>
              </m:e>
              <m:sub>
                <m:r>
                  <m:t>max</m:t>
                </m:r>
              </m:sub>
            </m:sSub>
            <m:r>
              <m:t>)-log₁₀(</m:t>
            </m:r>
            <m:sSub>
              <m:e>
                <m:r>
                  <m:t>F</m:t>
                </m:r>
              </m:e>
              <m:sub>
                <m:r>
                  <m:t>min</m:t>
                </m:r>
              </m:sub>
            </m:sSub>
            <m:r>
              <m:t>)</m:t>
            </m:r>
          </m:den>
        </m:f>
        <m:r>
          <m:t>,  0≤</m:t>
        </m:r>
        <m:sSub>
          <m:e>
            <m:r>
              <m:t>f</m:t>
            </m:r>
          </m:e>
          <m:sub>
            <m:r>
              <m:t>n</m:t>
            </m:r>
          </m:sub>
        </m:sSub>
        <m:r>
          <m:t>≤1</m:t>
        </m:r>
      </m:oMath>
      <w:r>
        <w:rPr>
          <w:rFonts w:ascii="Palatino Linotype" w:hAnsi="Palatino Linotype"/>
          <w:sz w:val="20"/>
        </w:rPr>
        <w:tab/>
        <w:t>(1)</w:t>
      </w:r>
    </w:p>
    <w:p>
      <w:pPr>
        <w:spacing w:before="0" w:after="80" w:line="240" w:lineRule="auto"/>
        <w:jc w:val="both"/>
      </w:pPr>
      <w:r>
        <w:rPr>
          <w:rFonts w:ascii="Palatino Linotype" w:hAnsi="Palatino Linotype"/>
          <w:sz w:val="20"/>
        </w:rPr>
        <w:t>The overall magnitude transfer response |H(fn)| represents the modal superposition of discrete resonant poles produced by the ladder network eigenvalues. Each resonant mode i is characterized by its normalized resonant center frequency ci in [0, 1], modal peak amplitude ai ~ U(0.35, 1.40), and quality factor Qi ~ U(4.0, 14.0). Each individual resonance is mathematically formulated as a Lorentzian response function Li(fn) defined in Eq. (2), with half-power bandwidth wi formulated in Eq. (3):</w:t>
      </w:r>
    </w:p>
    <w:p>
      <w:pPr>
        <w:spacing w:before="80" w:after="80"/>
        <w:jc w:val="left"/>
        <w:tabs>
          <w:tab w:val="right" w:pos="4824"/>
        </w:tabs>
      </w:pPr>
      <m:oMath>
        <m:sSub>
          <m:e>
            <m:r>
              <m:t>L</m:t>
            </m:r>
          </m:e>
          <m:sub>
            <m:r>
              <m:t>i</m:t>
            </m:r>
          </m:sub>
        </m:sSub>
        <m:r>
          <m:t>(</m:t>
        </m:r>
        <m:sSub>
          <m:e>
            <m:r>
              <m:t>f</m:t>
            </m:r>
          </m:e>
          <m:sub>
            <m:r>
              <m:t>n</m:t>
            </m:r>
          </m:sub>
        </m:sSub>
        <m:r>
          <m:t>)=</m:t>
        </m:r>
        <m:f>
          <m:num>
            <m:sSub>
              <m:e>
                <m:r>
                  <m:t>a</m:t>
                </m:r>
              </m:e>
              <m:sub>
                <m:r>
                  <m:t>i</m:t>
                </m:r>
              </m:sub>
            </m:sSub>
          </m:num>
          <m:den>
            <m:r>
              <m:t>1+</m:t>
            </m:r>
            <m:sSup>
              <m:e>
                <m:r>
                  <m:t>(</m:t>
                </m:r>
                <m:f>
                  <m:num>
                    <m:sSub>
                      <m:e>
                        <m:r>
                          <m:t>f</m:t>
                        </m:r>
                      </m:e>
                      <m:sub>
                        <m:r>
                          <m:t>n</m:t>
                        </m:r>
                      </m:sub>
                    </m:sSub>
                    <m:r>
                      <m:t>-</m:t>
                    </m:r>
                    <m:sSub>
                      <m:e>
                        <m:r>
                          <m:t>c</m:t>
                        </m:r>
                      </m:e>
                      <m:sub>
                        <m:r>
                          <m:t>i</m:t>
                        </m:r>
                      </m:sub>
                    </m:sSub>
                  </m:num>
                  <m:den>
                    <m:sSub>
                      <m:e>
                        <m:r>
                          <m:t>w</m:t>
                        </m:r>
                      </m:e>
                      <m:sub>
                        <m:r>
                          <m:t>i</m:t>
                        </m:r>
                      </m:sub>
                    </m:sSub>
                  </m:den>
                </m:f>
                <m:r>
                  <m:t>)</m:t>
                </m:r>
              </m:e>
              <m:sup>
                <m:r>
                  <m:t>2</m:t>
                </m:r>
              </m:sup>
            </m:sSup>
          </m:den>
        </m:f>
      </m:oMath>
      <w:r>
        <w:rPr>
          <w:rFonts w:ascii="Palatino Linotype" w:hAnsi="Palatino Linotype"/>
          <w:sz w:val="20"/>
        </w:rPr>
        <w:tab/>
        <w:t>(2)</w:t>
      </w:r>
    </w:p>
    <w:p>
      <w:pPr>
        <w:spacing w:before="80" w:after="80"/>
        <w:jc w:val="left"/>
        <w:tabs>
          <w:tab w:val="right" w:pos="4824"/>
        </w:tabs>
      </w:pPr>
      <m:oMath>
        <m:sSub>
          <m:e>
            <m:r>
              <m:t>w</m:t>
            </m:r>
          </m:e>
          <m:sub>
            <m:r>
              <m:t>i</m:t>
            </m:r>
          </m:sub>
        </m:sSub>
        <m:r>
          <m:t>=max(0.008, </m:t>
        </m:r>
        <m:f>
          <m:num>
            <m:r>
              <m:t>0.12</m:t>
            </m:r>
          </m:num>
          <m:den>
            <m:r>
              <m:t>max(</m:t>
            </m:r>
            <m:sSub>
              <m:e>
                <m:r>
                  <m:t>Q</m:t>
                </m:r>
              </m:e>
              <m:sub>
                <m:r>
                  <m:t>i</m:t>
                </m:r>
              </m:sub>
            </m:sSub>
            <m:r>
              <m:t>, 0.5)</m:t>
            </m:r>
          </m:den>
        </m:f>
        <m:r>
          <m:t>)</m:t>
        </m:r>
      </m:oMath>
      <w:r>
        <w:rPr>
          <w:rFonts w:ascii="Palatino Linotype" w:hAnsi="Palatino Linotype"/>
          <w:sz w:val="20"/>
        </w:rPr>
        <w:tab/>
        <w:t>(3)</w:t>
      </w:r>
    </w:p>
    <w:p>
      <w:pPr>
        <w:spacing w:before="0" w:after="80" w:line="240" w:lineRule="auto"/>
        <w:jc w:val="both"/>
      </w:pPr>
      <w:r>
        <w:rPr>
          <w:rFonts w:ascii="Palatino Linotype" w:hAnsi="Palatino Linotype"/>
          <w:sz w:val="20"/>
        </w:rPr>
        <w:t>The complete frequency response envelope incorporates high-frequency capacitive attenuation exp(-alpha fn) governed by winding ground capacitance (alpha ~ U(0.35, 0.95)) and additive Gaussian measurement noise epsilon ~ N(0, sigma^2) simulating instrumentation noise as formalized in Eq. (4). Furthermore, electromagnetic skin effect and proximity effect within multi-strand transposed conductors increase effective winding AC resistance at high frequencies, scaling as Rac(f) = Rdc (1 + gamma_p sqrt(f)). This progressive resistive damping broadens high-order resonant peaks and smoothly merges modal envelopes without abrupt artificial truncation:</w:t>
      </w:r>
    </w:p>
    <w:p>
      <w:pPr>
        <w:spacing w:before="80" w:after="80"/>
        <w:jc w:val="left"/>
        <w:tabs>
          <w:tab w:val="right" w:pos="4824"/>
        </w:tabs>
      </w:pPr>
      <m:oMath>
        <m:r>
          <m:t>|H(</m:t>
        </m:r>
        <m:sSub>
          <m:e>
            <m:r>
              <m:t>f</m:t>
            </m:r>
          </m:e>
          <m:sub>
            <m:r>
              <m:t>n</m:t>
            </m:r>
          </m:sub>
        </m:sSub>
        <m:r>
          <m:t>)|=[</m:t>
        </m:r>
        <m:nary>
          <m:naryPr>
            <m:chr m:val="∑"/>
            <m:limLoc m:val="undOvr"/>
          </m:naryPr>
          <m:sub>
            <m:r>
              <m:t>i=1</m:t>
            </m:r>
          </m:sub>
          <m:sup>
            <m:sSub>
              <m:e>
                <m:r>
                  <m:t>N</m:t>
                </m:r>
              </m:e>
              <m:sub>
                <m:r>
                  <m:t>m</m:t>
                </m:r>
              </m:sub>
            </m:sSub>
          </m:sup>
          <m:e>
            <m:sSub>
              <m:e>
                <m:r>
                  <m:t>L</m:t>
                </m:r>
              </m:e>
              <m:sub>
                <m:r>
                  <m:t>i</m:t>
                </m:r>
              </m:sub>
            </m:sSub>
            <m:r>
              <m:t>(</m:t>
            </m:r>
            <m:sSub>
              <m:e>
                <m:r>
                  <m:t>f</m:t>
                </m:r>
              </m:e>
              <m:sub>
                <m:r>
                  <m:t>n</m:t>
                </m:r>
              </m:sub>
            </m:sSub>
            <m:r>
              <m:t>)</m:t>
            </m:r>
          </m:e>
        </m:nary>
        <m:r>
          <m:t>]·exp(-α </m:t>
        </m:r>
        <m:sSub>
          <m:e>
            <m:r>
              <m:t>f</m:t>
            </m:r>
          </m:e>
          <m:sub>
            <m:r>
              <m:t>n</m:t>
            </m:r>
          </m:sub>
        </m:sSub>
        <m:r>
          <m:t>)+ε</m:t>
        </m:r>
      </m:oMath>
      <w:r>
        <w:rPr>
          <w:rFonts w:ascii="Palatino Linotype" w:hAnsi="Palatino Linotype"/>
          <w:sz w:val="20"/>
        </w:rPr>
        <w:tab/>
        <w:t>(4)</w:t>
      </w:r>
    </w:p>
    <w:p>
      <w:pPr>
        <w:spacing w:before="120" w:after="40" w:line="240" w:lineRule="auto"/>
        <w:jc w:val="left"/>
      </w:pPr>
      <w:r>
        <w:rPr>
          <w:rFonts w:ascii="Palatino Linotype" w:hAnsi="Palatino Linotype"/>
          <w:b/>
          <w:sz w:val="20"/>
        </w:rPr>
        <w:t>2.3 Mathematical Formulation of Six Physical Fault Archetypes</w:t>
      </w:r>
    </w:p>
    <w:p>
      <w:pPr>
        <w:spacing w:before="0" w:after="80" w:line="240" w:lineRule="auto"/>
        <w:jc w:val="both"/>
      </w:pPr>
      <w:r>
        <w:rPr>
          <w:rFonts w:ascii="Palatino Linotype" w:hAnsi="Palatino Linotype"/>
          <w:sz w:val="20"/>
        </w:rPr>
        <w:t>Crucially, legacy SFRA synthesizers applied an artificial step-wise monotonic constraint (yi &lt;= yi-1 + 0.02) exclusively to Normal curves. This guaranteed that Normal profiles possessed artificially zero oscillation, allowing trivial classifiers to achieve near-100% accuracy without learning genuine physics. In IntelliFRA, this circular constraint is eliminated. Normal baseline curves (NF) reflect natural manufacturing tolerances (±0.5% modal center jitter, ±1% damping tolerance, and instrument noise sigma in [0.005, 0.025]). Six distinct physical failure mechanisms are mathematically parameterized:</w:t>
        <w:br/>
        <w:t>1. Normal Healthy Baseline (NF): Unaltered winding structure subject to realistic physical manufacturing variances and instrument noise.</w:t>
        <w:br/>
        <w:t>2. Dielectric Loss Factor (DLF): Thermal degradation and moisture ingress elevate the insulation dissipation factor tan delta in [0.08, 0.50], directly dampening resonant quality factors across all modes according to: Q_new = max(1.2, Q * (1.0 - 0.60 * tan delta)).</w:t>
        <w:br/>
        <w:t>3. Clamping Looseness Fault (CLF): Relaxation of core tie-plates and axial clamping bolts lowers structural pre-stress, causing downward frequency shifts in low-frequency core resonance modes (fn &lt; 0.35) by 4% to 12% and degrading clamping damping.</w:t>
        <w:br/>
        <w:t>4. Radial Deformation Fault (RDF): Severe electromagnetic hoop stress induces radial winding buckling, altering the physical distance between winding disks and the grounded tank. This scales the distributed ground capacitance Cg by (1 ± 0.10), producing widespread shifts in resonant frequencies across all disks: f_new = f0k * (1 ± 0.10).</w:t>
        <w:br/>
        <w:t>5. Inter-Disk Fault (IDF): Axial winding displacement or conductor tilting induces non-uniform inter-disk spacing, splitting single resonant peaks into paired doublet resonance peaks separated by an anti-resonance notch Delta in [0.015, 0.045].</w:t>
        <w:br/>
        <w:t>6. Short-Circuit Fault (SCF): Turn-to-turn insulation puncture creates extreme localized magnetic flux opposition, producing catastrophic mid-band attenuation notches (-40% to -65%) and complete high-frequency modal collapse.</w:t>
      </w:r>
    </w:p>
    <w:p>
      <w:pPr>
        <w:spacing w:before="120" w:after="40" w:line="240" w:lineRule="auto"/>
        <w:jc w:val="left"/>
      </w:pPr>
      <w:r>
        <w:rPr>
          <w:rFonts w:ascii="Palatino Linotype" w:hAnsi="Palatino Linotype"/>
          <w:b/>
          <w:sz w:val="20"/>
        </w:rPr>
        <w:t>2.4 Data Ingestion, Edge-Padding, and Standardization Pipeline</w:t>
      </w:r>
    </w:p>
    <w:p>
      <w:pPr>
        <w:spacing w:before="0" w:after="80" w:line="240" w:lineRule="auto"/>
        <w:jc w:val="both"/>
      </w:pPr>
      <w:r>
        <w:rPr>
          <w:rFonts w:ascii="Palatino Linotype" w:hAnsi="Palatino Linotype"/>
          <w:sz w:val="20"/>
        </w:rPr>
        <w:t>The data ingestion pipeline processes raw frequency sweeps from industrial CSV and TXT instruments containing between 100 and 2,000 raw frequency points. When sequences exhibit variable sample counts, legacy zero-padding introduces artificial sharp step-discontinuities at the boundaries, generating spurious high-frequency spectral artifacts during convolutional filtering. To eliminate edge artifacts, our pipeline applies edge-value replication (numpy.pad mode='edge') before linear interpolation resampling onto a standardized logarithmic grid of N = 500 points. Per-sample Z-score standardization is then applied via Eq. (5) with numerical stability constant epsilon = 10^-6:</w:t>
        <w:br/>
        <w:br/>
        <w:t>All software implementation was conducted using Python v3.10 (Python Software Foundation, Beaverton, OR, USA), PyTorch v2.1.0 deep learning framework (Linux Foundation, San Francisco, CA, USA) [31], Scikit-learn v1.3.0 machine learning toolkit (Inria, Rocquencourt, France) [33], NumPy v1.24.3 and SciPy v1.11.1 scientific computing libraries (NumFOCUS, Austin, TX, USA), and SQLite v3.40 embedded database engine (Hipp, Wyrick &amp; Company, Inc., Charlotte, NC, USA).</w:t>
      </w:r>
    </w:p>
    <w:p>
      <w:pPr>
        <w:spacing w:before="80" w:after="80"/>
        <w:jc w:val="left"/>
        <w:tabs>
          <w:tab w:val="right" w:pos="4824"/>
        </w:tabs>
      </w:pPr>
      <m:oMath>
        <m:sSub>
          <m:e>
            <m:r>
              <m:t>x′</m:t>
            </m:r>
          </m:e>
          <m:sub>
            <m:r>
              <m:t>i</m:t>
            </m:r>
          </m:sub>
        </m:sSub>
        <m:r>
          <m:t>=</m:t>
        </m:r>
        <m:f>
          <m:num>
            <m:sSub>
              <m:e>
                <m:r>
                  <m:t>x</m:t>
                </m:r>
              </m:e>
              <m:sub>
                <m:r>
                  <m:t>i</m:t>
                </m:r>
              </m:sub>
            </m:sSub>
            <m:r>
              <m:t>-μ</m:t>
            </m:r>
          </m:num>
          <m:den>
            <m:r>
              <m:t>σ+ϵ</m:t>
            </m:r>
          </m:den>
        </m:f>
        <m:r>
          <m:t>,  μ=</m:t>
        </m:r>
        <m:f>
          <m:num>
            <m:r>
              <m:t>1</m:t>
            </m:r>
          </m:num>
          <m:den>
            <m:r>
              <m:t>N</m:t>
            </m:r>
          </m:den>
        </m:f>
        <m:nary>
          <m:naryPr>
            <m:chr m:val="∑"/>
            <m:limLoc m:val="undOvr"/>
          </m:naryPr>
          <m:sub>
            <m:r>
              <m:t>i=1</m:t>
            </m:r>
          </m:sub>
          <m:sup>
            <m:r>
              <m:t>N</m:t>
            </m:r>
          </m:sup>
          <m:e>
            <m:sSub>
              <m:e>
                <m:r>
                  <m:t>x</m:t>
                </m:r>
              </m:e>
              <m:sub>
                <m:r>
                  <m:t>i</m:t>
                </m:r>
              </m:sub>
            </m:sSub>
          </m:e>
        </m:nary>
        <m:r>
          <m:t>,  σ=</m:t>
        </m:r>
        <m:rad>
          <m:radPr>
            <m:degHide m:val="1"/>
          </m:radPr>
          <m:deg/>
          <m:e>
            <m:f>
              <m:num>
                <m:r>
                  <m:t>1</m:t>
                </m:r>
              </m:num>
              <m:den>
                <m:r>
                  <m:t>N</m:t>
                </m:r>
              </m:den>
            </m:f>
            <m:nary>
              <m:naryPr>
                <m:chr m:val="∑"/>
                <m:limLoc m:val="undOvr"/>
              </m:naryPr>
              <m:sub>
                <m:r>
                  <m:t>i=1</m:t>
                </m:r>
              </m:sub>
              <m:sup>
                <m:r>
                  <m:t>N</m:t>
                </m:r>
              </m:sup>
              <m:e>
                <m:sSup>
                  <m:e>
                    <m:r>
                      <m:t>(</m:t>
                    </m:r>
                    <m:sSub>
                      <m:e>
                        <m:r>
                          <m:t>x</m:t>
                        </m:r>
                      </m:e>
                      <m:sub>
                        <m:r>
                          <m:t>i</m:t>
                        </m:r>
                      </m:sub>
                    </m:sSub>
                    <m:r>
                      <m:t>-μ)</m:t>
                    </m:r>
                  </m:e>
                  <m:sup>
                    <m:r>
                      <m:t>2</m:t>
                    </m:r>
                  </m:sup>
                </m:sSup>
              </m:e>
            </m:nary>
          </m:e>
        </m:rad>
      </m:oMath>
      <w:r>
        <w:rPr>
          <w:rFonts w:ascii="Palatino Linotype" w:hAnsi="Palatino Linotype"/>
          <w:sz w:val="20"/>
        </w:rPr>
        <w:tab/>
        <w:t>(5)</w:t>
      </w:r>
    </w:p>
    <w:p>
      <w:pPr>
        <w:spacing w:before="120" w:after="40" w:line="240" w:lineRule="auto"/>
        <w:jc w:val="left"/>
      </w:pPr>
      <w:r>
        <w:rPr>
          <w:rFonts w:ascii="Palatino Linotype" w:hAnsi="Palatino Linotype"/>
          <w:b/>
          <w:sz w:val="20"/>
        </w:rPr>
        <w:t>2.5 Hybrid Deep Learning Diagnostic Architecture</w:t>
      </w:r>
    </w:p>
    <w:p>
      <w:pPr>
        <w:spacing w:before="0" w:after="80" w:line="240" w:lineRule="auto"/>
        <w:jc w:val="both"/>
      </w:pPr>
      <w:r>
        <w:rPr>
          <w:rFonts w:ascii="Palatino Linotype" w:hAnsi="Palatino Linotype"/>
          <w:sz w:val="20"/>
        </w:rPr>
        <w:t>The IntelliFRA diagnostic architecture combines a specialized 1D-CNN classifier for severity identification with an undercomplete Autoencoder for anomaly gating. The 1D-CNN features a multi-scale receptive field progression with decreasing kernel sizes (k = 7 -&gt; 5 -&gt; 3) and expanding channel dimensions (16 -&gt; 32 -&gt; 64). The first stage wide kernel (k=7) extracts broad capacitive roll-off trends across low frequencies, while subsequent stages (k=5, k=3) isolate localized resonance peak shifts. The network outputs class probability distribution p_hat via Softmax and cross-entropy loss L_CE (Eqs. 6-7). Table 1 presents the full architectural specifications totaling 140,644 trainable parameters.</w:t>
      </w:r>
    </w:p>
    <w:p>
      <w:pPr>
        <w:spacing w:before="80" w:after="80"/>
        <w:jc w:val="left"/>
        <w:tabs>
          <w:tab w:val="right" w:pos="4824"/>
        </w:tabs>
      </w:pPr>
      <m:oMath>
        <m:r>
          <m:t>p̂=softmax(</m:t>
        </m:r>
        <m:sSub>
          <m:e>
            <m:r>
              <m:t>f</m:t>
            </m:r>
          </m:e>
          <m:sub>
            <m:r>
              <m:t>CNN</m:t>
            </m:r>
          </m:sub>
        </m:sSub>
        <m:r>
          <m:t>(x′)),  ŷ=</m:t>
        </m:r>
        <m:sSub>
          <m:e>
            <m:r>
              <m:t>argmax</m:t>
            </m:r>
          </m:e>
          <m:sub>
            <m:r>
              <m:t>k</m:t>
            </m:r>
          </m:sub>
        </m:sSub>
        <m:r>
          <m:t> </m:t>
        </m:r>
        <m:sSub>
          <m:e>
            <m:r>
              <m:t>p̂</m:t>
            </m:r>
          </m:e>
          <m:sub>
            <m:r>
              <m:t>k</m:t>
            </m:r>
          </m:sub>
        </m:sSub>
      </m:oMath>
      <w:r>
        <w:rPr>
          <w:rFonts w:ascii="Palatino Linotype" w:hAnsi="Palatino Linotype"/>
          <w:sz w:val="20"/>
        </w:rPr>
        <w:tab/>
        <w:t>(6)</w:t>
      </w:r>
    </w:p>
    <w:p>
      <w:pPr>
        <w:spacing w:before="80" w:after="80"/>
        <w:jc w:val="left"/>
        <w:tabs>
          <w:tab w:val="right" w:pos="4824"/>
        </w:tabs>
      </w:pPr>
      <m:oMath>
        <m:sSub>
          <m:e>
            <m:r>
              <m:t>ℒ</m:t>
            </m:r>
          </m:e>
          <m:sub>
            <m:r>
              <m:t>CE</m:t>
            </m:r>
          </m:sub>
        </m:sSub>
        <m:r>
          <m:t>=-</m:t>
        </m:r>
        <m:nary>
          <m:naryPr>
            <m:chr m:val="∑"/>
            <m:limLoc m:val="undOvr"/>
          </m:naryPr>
          <m:sub>
            <m:r>
              <m:t>k=1</m:t>
            </m:r>
          </m:sub>
          <m:sup>
            <m:r>
              <m:t>4</m:t>
            </m:r>
          </m:sup>
          <m:e>
            <m:sSub>
              <m:e>
                <m:r>
                  <m:t>y</m:t>
                </m:r>
              </m:e>
              <m:sub>
                <m:r>
                  <m:t>k</m:t>
                </m:r>
              </m:sub>
            </m:sSub>
            <m:r>
              <m:t> log </m:t>
            </m:r>
            <m:sSub>
              <m:e>
                <m:r>
                  <m:t>p̂</m:t>
                </m:r>
              </m:e>
              <m:sub>
                <m:r>
                  <m:t>k</m:t>
                </m:r>
              </m:sub>
            </m:sSub>
          </m:e>
        </m:nary>
      </m:oMath>
      <w:r>
        <w:rPr>
          <w:rFonts w:ascii="Palatino Linotype" w:hAnsi="Palatino Linotype"/>
          <w:sz w:val="20"/>
        </w:rPr>
        <w:tab/>
        <w:t>(7)</w:t>
      </w:r>
    </w:p>
    <w:p>
      <w:pPr>
        <w:spacing w:before="120" w:after="40" w:line="240" w:lineRule="auto"/>
        <w:jc w:val="center"/>
      </w:pPr>
      <w:r>
        <w:rPr>
          <w:rFonts w:ascii="Palatino Linotype" w:hAnsi="Palatino Linotype"/>
          <w:b/>
          <w:sz w:val="19"/>
        </w:rPr>
        <w:t xml:space="preserve">Table. 1: </w:t>
      </w:r>
      <w:r>
        <w:rPr>
          <w:rFonts w:ascii="Palatino Linotype" w:hAnsi="Palatino Linotype"/>
          <w:sz w:val="19"/>
        </w:rPr>
        <w:t>1D-CNN Layer-by-Layer Architectural Specification</w:t>
      </w:r>
    </w:p>
    <w:tbl>
      <w:tblPr>
        <w:tblW w:type="auto" w:w="0"/>
        <w:jc w:val="center"/>
        <w:tblLook w:firstColumn="1" w:firstRow="1" w:lastColumn="0" w:lastRow="0" w:noHBand="0" w:noVBand="1" w:val="04A0"/>
      </w:tblPr>
      <w:tblGrid>
        <w:gridCol w:w="2620"/>
        <w:gridCol w:w="2620"/>
        <w:gridCol w:w="2620"/>
        <w:gridCol w:w="2620"/>
      </w:tblGrid>
      <w:tr>
        <w:tc>
          <w:tcPr>
            <w:tcW w:type="dxa" w:w="1440"/>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Layer Type</w:t>
            </w:r>
          </w:p>
        </w:tc>
        <w:tc>
          <w:tcPr>
            <w:tcW w:type="dxa" w:w="129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Kernel / Stride</w:t>
            </w:r>
          </w:p>
        </w:tc>
        <w:tc>
          <w:tcPr>
            <w:tcW w:type="dxa" w:w="115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Output Shape</w:t>
            </w:r>
          </w:p>
        </w:tc>
        <w:tc>
          <w:tcPr>
            <w:tcW w:type="dxa" w:w="93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Parameters</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Input Tensor</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 500]</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Conv1d (Stage 1)</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k=7, s=1, p=3</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16, 500]</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128</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16, 250]</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Conv1d (Stage 2)</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k=5, s=1, p=2</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32, 250]</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2,592</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32, 125]</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Conv1d (Stage 3)</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k=3, s=1, p=1</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64, 125]</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6,208</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AdaptivePool1d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Target size=16</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64, 16]</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w:t>
            </w:r>
          </w:p>
        </w:tc>
      </w:tr>
      <w:tr>
        <w:tc>
          <w:tcPr>
            <w:tcW w:type="dxa" w:w="144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Dense Layer</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Dropout p=0.2</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128]</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131,200</w:t>
            </w:r>
          </w:p>
        </w:tc>
      </w:tr>
      <w:tr>
        <w:tc>
          <w:tcPr>
            <w:tcW w:type="dxa" w:w="144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Output Layer</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Softmax (4)</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[B, 4]</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516</w:t>
            </w:r>
          </w:p>
        </w:tc>
      </w:tr>
      <w:tr>
        <w:tc>
          <w:tcPr>
            <w:tcW w:type="dxa" w:w="1440"/>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Total Parameters</w:t>
            </w:r>
          </w:p>
        </w:tc>
        <w:tc>
          <w:tcPr>
            <w:tcW w:type="dxa" w:w="129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Model size: ~0.98 MB</w:t>
            </w:r>
          </w:p>
        </w:tc>
        <w:tc>
          <w:tcPr>
            <w:tcW w:type="dxa" w:w="115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w:t>
            </w:r>
          </w:p>
        </w:tc>
        <w:tc>
          <w:tcPr>
            <w:tcW w:type="dxa" w:w="93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140,644</w:t>
            </w:r>
          </w:p>
        </w:tc>
      </w:tr>
    </w:tbl>
    <w:p>
      <w:pPr>
        <w:spacing w:before="0" w:after="80" w:line="240" w:lineRule="auto"/>
        <w:jc w:val="both"/>
      </w:pPr>
      <w:r>
        <w:rPr>
          <w:rFonts w:ascii="Palatino Linotype" w:hAnsi="Palatino Linotype"/>
          <w:sz w:val="20"/>
        </w:rPr>
        <w:t>Operating in parallel with the 1D-CNN, an undercomplete Autoencoder (symmetrical bottleneck dimensions 500 -&gt; 256 -&gt; 96 -&gt; 32 -&gt; 96 -&gt; 256 -&gt; 500) functions as an unsupervised anomaly detector. The 32-unit latent bottleneck compresses the frequency trace onto a smooth manifold representing healthy physical winding electrodynamics. Reconstruction Mean Squared Error (MSE) e and normalized anomaly score s_anom are computed via Eq. (8), where tau is calibrated to the 98th percentile of healthy validation errors:</w:t>
      </w:r>
    </w:p>
    <w:p>
      <w:pPr>
        <w:spacing w:before="80" w:after="80"/>
        <w:jc w:val="left"/>
        <w:tabs>
          <w:tab w:val="right" w:pos="4824"/>
        </w:tabs>
      </w:pPr>
      <m:oMath>
        <m:r>
          <m:t>e=</m:t>
        </m:r>
        <m:f>
          <m:num>
            <m:r>
              <m:t>1</m:t>
            </m:r>
          </m:num>
          <m:den>
            <m:r>
              <m:t>N</m:t>
            </m:r>
          </m:den>
        </m:f>
        <m:nary>
          <m:naryPr>
            <m:chr m:val="∑"/>
            <m:limLoc m:val="undOvr"/>
          </m:naryPr>
          <m:sub>
            <m:r>
              <m:t>i=1</m:t>
            </m:r>
          </m:sub>
          <m:sup>
            <m:r>
              <m:t>N</m:t>
            </m:r>
          </m:sup>
          <m:e>
            <m:sSup>
              <m:e>
                <m:r>
                  <m:t>(</m:t>
                </m:r>
                <m:sSub>
                  <m:e>
                    <m:r>
                      <m:t>x′</m:t>
                    </m:r>
                  </m:e>
                  <m:sub>
                    <m:r>
                      <m:t>i</m:t>
                    </m:r>
                  </m:sub>
                </m:sSub>
                <m:r>
                  <m:t>-</m:t>
                </m:r>
                <m:sSub>
                  <m:e>
                    <m:r>
                      <m:t>x̂′</m:t>
                    </m:r>
                  </m:e>
                  <m:sub>
                    <m:r>
                      <m:t>i</m:t>
                    </m:r>
                  </m:sub>
                </m:sSub>
                <m:r>
                  <m:t>)</m:t>
                </m:r>
              </m:e>
              <m:sup>
                <m:r>
                  <m:t>2</m:t>
                </m:r>
              </m:sup>
            </m:sSup>
          </m:e>
        </m:nary>
        <m:r>
          <m:t>,  </m:t>
        </m:r>
        <m:sSub>
          <m:e>
            <m:r>
              <m:t>s</m:t>
            </m:r>
          </m:e>
          <m:sub>
            <m:r>
              <m:t>anom</m:t>
            </m:r>
          </m:sub>
        </m:sSub>
        <m:r>
          <m:t>=</m:t>
        </m:r>
        <m:f>
          <m:num>
            <m:r>
              <m:t>e</m:t>
            </m:r>
          </m:num>
          <m:den>
            <m:r>
              <m:t>τ+ϵ</m:t>
            </m:r>
          </m:den>
        </m:f>
      </m:oMath>
      <w:r>
        <w:rPr>
          <w:rFonts w:ascii="Palatino Linotype" w:hAnsi="Palatino Linotype"/>
          <w:sz w:val="20"/>
        </w:rPr>
        <w:tab/>
        <w:t>(8)</w:t>
      </w:r>
    </w:p>
    <w:p>
      <w:pPr>
        <w:spacing w:before="80" w:after="40"/>
        <w:jc w:val="center"/>
      </w:pPr>
      <w:r>
        <w:drawing>
          <wp:inline xmlns:a="http://schemas.openxmlformats.org/drawingml/2006/main" xmlns:pic="http://schemas.openxmlformats.org/drawingml/2006/picture">
            <wp:extent cx="3017520" cy="1849448"/>
            <wp:docPr id="398200266" name="Picture 398200266"/>
            <wp:cNvGraphicFramePr>
              <a:graphicFrameLocks noChangeAspect="1"/>
            </wp:cNvGraphicFramePr>
            <a:graphic>
              <a:graphicData uri="http://schemas.openxmlformats.org/drawingml/2006/picture">
                <pic:pic>
                  <pic:nvPicPr>
                    <pic:cNvPr id="0" name="sfra_fault_archetypes_fig1.png"/>
                    <pic:cNvPicPr/>
                  </pic:nvPicPr>
                  <pic:blipFill>
                    <a:blip r:embed="rId27"/>
                    <a:stretch>
                      <a:fillRect/>
                    </a:stretch>
                  </pic:blipFill>
                  <pic:spPr>
                    <a:xfrm>
                      <a:off x="0" y="0"/>
                      <a:ext cx="3017520" cy="1849448"/>
                    </a:xfrm>
                    <a:prstGeom prst="rect"/>
                  </pic:spPr>
                </pic:pic>
              </a:graphicData>
            </a:graphic>
          </wp:inline>
        </w:drawing>
      </w:r>
    </w:p>
    <w:p>
      <w:pPr>
        <w:spacing w:before="120" w:after="40" w:line="240" w:lineRule="auto"/>
        <w:jc w:val="center"/>
      </w:pPr>
      <w:r>
        <w:rPr>
          <w:rFonts w:ascii="Palatino Linotype" w:hAnsi="Palatino Linotype"/>
          <w:b/>
          <w:sz w:val="19"/>
        </w:rPr>
        <w:t xml:space="preserve">Fig. 1: </w:t>
      </w:r>
      <w:r>
        <w:rPr>
          <w:rFonts w:ascii="Palatino Linotype" w:hAnsi="Palatino Linotype"/>
          <w:sz w:val="19"/>
        </w:rPr>
        <w:t>Multi-resonant SFRA magnitude response across six physical fault archetypes alongside open benchmark reference sweep.</w:t>
      </w:r>
    </w:p>
    <w:p>
      <w:pPr>
        <w:spacing w:before="120" w:after="40" w:line="240" w:lineRule="auto"/>
        <w:jc w:val="left"/>
      </w:pPr>
      <w:r>
        <w:rPr>
          <w:rFonts w:ascii="Palatino Linotype" w:hAnsi="Palatino Linotype"/>
          <w:b/>
          <w:sz w:val="20"/>
        </w:rPr>
        <w:t>2.6 Open Benchmark Reference Dataset: Multi-Phase Sweeps</w:t>
      </w:r>
    </w:p>
    <w:p>
      <w:pPr>
        <w:spacing w:before="0" w:after="80" w:line="240" w:lineRule="auto"/>
        <w:jc w:val="both"/>
      </w:pPr>
      <w:r>
        <w:rPr>
          <w:rFonts w:ascii="Palatino Linotype" w:hAnsi="Palatino Linotype"/>
          <w:sz w:val="20"/>
        </w:rPr>
        <w:t>To evaluate baseline phase consistency against standardized utility criteria (IEEE Std C57.149-2012), an open-source reference benchmark dataset of multi-phase transformer sweeps spanning 20 Hz to 2.0 MHz was evaluated. The reference records encompass 21 distinct frequency sweeps under standardized IEEE test configurations, including high-voltage open-circuit sweeps (H1-X1, H2-X2, H3-X3), low-voltage sweeps (X1-H0X0, X2-H0X0, X3-X0H0), tertiary winding sweeps (Y1-Y3, Y2-Y1, Y3-Y2), and short-circuit winding sweeps.</w:t>
        <w:br/>
        <w:br/>
        <w:t>To benchmark curve similarity according to utility standards, the Cross-Correlation Coefficient (CC) and Absolute Sum of Logarithmic Error (ASLE) are formulated via Eqs. (9) and (10):</w:t>
      </w:r>
    </w:p>
    <w:p>
      <w:pPr>
        <w:spacing w:before="80" w:after="80"/>
        <w:jc w:val="left"/>
        <w:tabs>
          <w:tab w:val="right" w:pos="4824"/>
        </w:tabs>
      </w:pPr>
      <m:oMath>
        <m:r>
          <m:t>CC(X, Y)=</m:t>
        </m:r>
        <m:f>
          <m:num>
            <m:nary>
              <m:naryPr>
                <m:chr m:val="∑"/>
                <m:limLoc m:val="undOvr"/>
              </m:naryPr>
              <m:sub>
                <m:r>
                  <m:t>i=1</m:t>
                </m:r>
              </m:sub>
              <m:sup>
                <m:r>
                  <m:t>N</m:t>
                </m:r>
              </m:sup>
              <m:e>
                <m:r>
                  <m:t>(</m:t>
                </m:r>
                <m:sSub>
                  <m:e>
                    <m:r>
                      <m:t>X</m:t>
                    </m:r>
                  </m:e>
                  <m:sub>
                    <m:r>
                      <m:t>i</m:t>
                    </m:r>
                  </m:sub>
                </m:sSub>
                <m:r>
                  <m:t>-X̄)(</m:t>
                </m:r>
                <m:sSub>
                  <m:e>
                    <m:r>
                      <m:t>Y</m:t>
                    </m:r>
                  </m:e>
                  <m:sub>
                    <m:r>
                      <m:t>i</m:t>
                    </m:r>
                  </m:sub>
                </m:sSub>
                <m:r>
                  <m:t>-Ȳ)</m:t>
                </m:r>
              </m:e>
            </m:nary>
          </m:num>
          <m:den>
            <m:rad>
              <m:radPr>
                <m:degHide m:val="1"/>
              </m:radPr>
              <m:deg/>
              <m:e>
                <m:nary>
                  <m:naryPr>
                    <m:chr m:val="∑"/>
                    <m:limLoc m:val="undOvr"/>
                  </m:naryPr>
                  <m:sub>
                    <m:r>
                      <m:t>i=1</m:t>
                    </m:r>
                  </m:sub>
                  <m:sup>
                    <m:r>
                      <m:t>N</m:t>
                    </m:r>
                  </m:sup>
                  <m:e>
                    <m:sSup>
                      <m:e>
                        <m:r>
                          <m:t>(</m:t>
                        </m:r>
                        <m:sSub>
                          <m:e>
                            <m:r>
                              <m:t>X</m:t>
                            </m:r>
                          </m:e>
                          <m:sub>
                            <m:r>
                              <m:t>i</m:t>
                            </m:r>
                          </m:sub>
                        </m:sSub>
                        <m:r>
                          <m:t>-X̄)</m:t>
                        </m:r>
                      </m:e>
                      <m:sup>
                        <m:r>
                          <m:t>2</m:t>
                        </m:r>
                      </m:sup>
                    </m:sSup>
                  </m:e>
                </m:nary>
                <m:nary>
                  <m:naryPr>
                    <m:chr m:val="∑"/>
                    <m:limLoc m:val="undOvr"/>
                  </m:naryPr>
                  <m:sub>
                    <m:r>
                      <m:t>i=1</m:t>
                    </m:r>
                  </m:sub>
                  <m:sup>
                    <m:r>
                      <m:t>N</m:t>
                    </m:r>
                  </m:sup>
                  <m:e>
                    <m:sSup>
                      <m:e>
                        <m:r>
                          <m:t>(</m:t>
                        </m:r>
                        <m:sSub>
                          <m:e>
                            <m:r>
                              <m:t>Y</m:t>
                            </m:r>
                          </m:e>
                          <m:sub>
                            <m:r>
                              <m:t>i</m:t>
                            </m:r>
                          </m:sub>
                        </m:sSub>
                        <m:r>
                          <m:t>-Ȳ)</m:t>
                        </m:r>
                      </m:e>
                      <m:sup>
                        <m:r>
                          <m:t>2</m:t>
                        </m:r>
                      </m:sup>
                    </m:sSup>
                  </m:e>
                </m:nary>
              </m:e>
            </m:rad>
          </m:den>
        </m:f>
      </m:oMath>
      <w:r>
        <w:rPr>
          <w:rFonts w:ascii="Palatino Linotype" w:hAnsi="Palatino Linotype"/>
          <w:sz w:val="20"/>
        </w:rPr>
        <w:tab/>
        <w:t>(9)</w:t>
      </w:r>
    </w:p>
    <w:p>
      <w:pPr>
        <w:spacing w:before="80" w:after="80"/>
        <w:jc w:val="left"/>
        <w:tabs>
          <w:tab w:val="right" w:pos="4824"/>
        </w:tabs>
      </w:pPr>
      <m:oMath>
        <m:r>
          <m:t>ASLE=</m:t>
        </m:r>
        <m:f>
          <m:num>
            <m:r>
              <m:t>1</m:t>
            </m:r>
          </m:num>
          <m:den>
            <m:r>
              <m:t>N</m:t>
            </m:r>
          </m:den>
        </m:f>
        <m:nary>
          <m:naryPr>
            <m:chr m:val="∑"/>
            <m:limLoc m:val="undOvr"/>
          </m:naryPr>
          <m:sub>
            <m:r>
              <m:t>i=1</m:t>
            </m:r>
          </m:sub>
          <m:sup>
            <m:r>
              <m:t>N</m:t>
            </m:r>
          </m:sup>
          <m:e>
            <m:r>
              <m:t>|20 log₁₀(</m:t>
            </m:r>
            <m:sSub>
              <m:e>
                <m:r>
                  <m:t>X</m:t>
                </m:r>
              </m:e>
              <m:sub>
                <m:r>
                  <m:t>i</m:t>
                </m:r>
              </m:sub>
            </m:sSub>
            <m:r>
              <m:t>)-20 log₁₀(</m:t>
            </m:r>
            <m:sSub>
              <m:e>
                <m:r>
                  <m:t>Y</m:t>
                </m:r>
              </m:e>
              <m:sub>
                <m:r>
                  <m:t>i</m:t>
                </m:r>
              </m:sub>
            </m:sSub>
            <m:r>
              <m:t>)|</m:t>
            </m:r>
          </m:e>
        </m:nary>
      </m:oMath>
      <w:r>
        <w:rPr>
          <w:rFonts w:ascii="Palatino Linotype" w:hAnsi="Palatino Linotype"/>
          <w:sz w:val="20"/>
        </w:rPr>
        <w:tab/>
        <w:t>(10)</w:t>
      </w:r>
    </w:p>
    <w:p>
      <w:pPr>
        <w:spacing w:before="120" w:after="40" w:line="240" w:lineRule="auto"/>
        <w:jc w:val="left"/>
      </w:pPr>
      <w:r>
        <w:rPr>
          <w:rFonts w:ascii="Palatino Linotype" w:hAnsi="Palatino Linotype"/>
          <w:b/>
          <w:sz w:val="20"/>
        </w:rPr>
        <w:t>2.7 Multimodal ControlVisionQA-10K Dataset Generation Methodology</w:t>
      </w:r>
    </w:p>
    <w:p>
      <w:pPr>
        <w:spacing w:before="0" w:after="80" w:line="240" w:lineRule="auto"/>
        <w:jc w:val="both"/>
      </w:pPr>
      <w:r>
        <w:rPr>
          <w:rFonts w:ascii="Palatino Linotype" w:hAnsi="Palatino Linotype"/>
          <w:sz w:val="20"/>
        </w:rPr>
        <w:t>To advance beyond tabular classification and facilitate future multimodal visual question answering (VQA) copilots for electrical substations, we constructed the ControlVisionQA-10K engineering benchmark. The dataset comprises 10,000 synthesized high-resolution control response plots (512 x 512 pixels) paired with 146,051 ground-truth engineering question-answer pairs (averaging ~14.6 QA pairs per image). Plot representations encompass Bode magnitude and phase plots, Nyquist diagrams, Nichols charts, Polar plots, Inverse Nyquist diagrams, and Sweep Frequency Response traces.</w:t>
        <w:br/>
        <w:br/>
        <w:t>Response plots were generated by randomly sampling continuous-time transfer functions across first-order, second-order, and higher-order dynamic systems (with damping ratios zeta in [0.05, 1.80] and natural frequencies wn in [0.1, 100.0] rad/s). Ground-truth annotations quantify gain margins, phase margins, gain crossover frequencies, phase crossover frequencies, resonance peak counts, high-frequency capacitive attenuation, and fault severity classes in structured CSV and JSON formats. This enables multi-task multimodal representation learning linking visual graphical traces with natural language engineering explanations.</w:t>
      </w:r>
    </w:p>
    <w:p>
      <w:pPr>
        <w:pStyle w:val="ListParagraph"/>
        <w:numPr>
          <w:ilvl w:val="0"/>
          <w:numId w:val="1"/>
        </w:numPr>
      </w:pPr>
      <w:r>
        <w:rPr>
          <w:rFonts w:ascii="Palatino Linotype" w:hAnsi="Palatino Linotype"/>
          <w:b/>
          <w:sz w:val="20"/>
        </w:rPr>
        <w:t>Results and Discussion</w:t>
      </w:r>
    </w:p>
    <w:p>
      <w:pPr>
        <w:spacing w:before="0" w:after="80" w:line="240" w:lineRule="auto"/>
        <w:jc w:val="both"/>
      </w:pPr>
      <w:r>
        <w:rPr>
          <w:rFonts w:ascii="Palatino Linotype" w:hAnsi="Palatino Linotype"/>
          <w:b/>
          <w:sz w:val="20"/>
        </w:rPr>
        <w:t>3.1 5-Fold Stratified Cross-Validation &amp; Baseline Comparison</w:t>
        <w:br/>
      </w:r>
      <w:r>
        <w:rPr>
          <w:rFonts w:ascii="Palatino Linotype" w:hAnsi="Palatino Linotype"/>
          <w:sz w:val="20"/>
        </w:rPr>
        <w:t>To eliminate single-seed evaluation bias and establish reproducible statistical bounds, all diagnostic models were benchmarked using 5-fold stratified cross-validation on 12,000 synthesized frequency responses (20 Hz to 2 MHz). Table 2 presents the comparative performance between our proposed 1D-CNN and three classical machine learning baselines trained on identical fold splits: Random Forest (100 estimators), Support Vector Machine (SVM with RBF kernel, C=1.0), and a Multi-Layer Perceptron (MLP with two hidden layers: 256-128 units). The 1D-CNN achieves a superior mean classification accuracy of 81.03% ± 1.60% and Macro F1-score of 0.8234 ± 0.0149, significantly outperforming Random Forest (72.57% ± 1.28%), SVM (66.12% ± 1.14%), and MLP (64.95% ± 1.00%).</w:t>
        <w:br/>
        <w:br/>
        <w:t>The performance advantage of the 1D-CNN stems from its translationally invariant convolutional kernels, which preserve local spatial correlations between adjacent frequency points. Flat classifiers (such as SVM and MLP) treat each frequency bin as an independent tabular feature, losing topological resonance peak continuity. Statistical variance analysis across the 5 independent folds reveals narrow standard deviations (±1.60% for 1D-CNN, ±1.28% for Random Forest, and ±1.14% for SVM), confirming that the performance gains are statistically robust and not an artifact of favorable data partitioning. Furthermore, the 1D-CNN demonstrates consistent convergence across all folds within 25 epochs using the Adam optimizer with cosine annealing learning rate decay, preventing overfitting to high-frequency noise components. Fig. 2(a) displays the 1D-CNN 4-class confusion matrix, demonstrating strong diagonal concentration across all four severity grades with minimal off-diagonal dispersion.</w:t>
      </w:r>
    </w:p>
    <w:p>
      <w:pPr>
        <w:spacing w:before="120" w:after="40" w:line="240" w:lineRule="auto"/>
        <w:jc w:val="center"/>
      </w:pPr>
      <w:r>
        <w:rPr>
          <w:rFonts w:ascii="Palatino Linotype" w:hAnsi="Palatino Linotype"/>
          <w:b/>
          <w:sz w:val="19"/>
        </w:rPr>
        <w:t xml:space="preserve">Table. 2: </w:t>
      </w:r>
      <w:r>
        <w:rPr>
          <w:rFonts w:ascii="Palatino Linotype" w:hAnsi="Palatino Linotype"/>
          <w:sz w:val="19"/>
        </w:rPr>
        <w:t>5-Fold Stratified Cross-Validation Baseline Comparison</w:t>
      </w:r>
    </w:p>
    <w:tbl>
      <w:tblPr>
        <w:tblW w:type="auto" w:w="0"/>
        <w:jc w:val="center"/>
        <w:tblLook w:firstColumn="1" w:firstRow="1" w:lastColumn="0" w:lastRow="0" w:noHBand="0" w:noVBand="1" w:val="04A0"/>
      </w:tblPr>
      <w:tblGrid>
        <w:gridCol w:w="2620"/>
        <w:gridCol w:w="2620"/>
        <w:gridCol w:w="2620"/>
        <w:gridCol w:w="2620"/>
      </w:tblGrid>
      <w:tr>
        <w:tc>
          <w:tcPr>
            <w:tcW w:type="dxa" w:w="165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Algorithm</w:t>
            </w:r>
          </w:p>
        </w:tc>
        <w:tc>
          <w:tcPr>
            <w:tcW w:type="dxa" w:w="129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Accuracy (Mean ± Std)</w:t>
            </w:r>
          </w:p>
        </w:tc>
        <w:tc>
          <w:tcPr>
            <w:tcW w:type="dxa" w:w="1080"/>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Macro F1 (Mean ± Std)</w:t>
            </w:r>
          </w:p>
        </w:tc>
        <w:tc>
          <w:tcPr>
            <w:tcW w:type="dxa" w:w="79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p95 Latency</w:t>
            </w:r>
          </w:p>
        </w:tc>
      </w:tr>
      <w:tr>
        <w:tc>
          <w:tcPr>
            <w:tcW w:type="dxa" w:w="1656"/>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1D-CNN (Proposed)</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81.03% ± 1.60%</w:t>
            </w:r>
          </w:p>
        </w:tc>
        <w:tc>
          <w:tcPr>
            <w:tcW w:type="dxa" w:w="1080"/>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0.8234 ± 0.0149</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0.247 ms</w:t>
            </w:r>
          </w:p>
        </w:tc>
      </w:tr>
      <w:tr>
        <w:tc>
          <w:tcPr>
            <w:tcW w:type="dxa" w:w="1656"/>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Random Forest (100 Trees)</w:t>
            </w:r>
          </w:p>
        </w:tc>
        <w:tc>
          <w:tcPr>
            <w:tcW w:type="dxa" w:w="129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72.57% ± 1.28%</w:t>
            </w:r>
          </w:p>
        </w:tc>
        <w:tc>
          <w:tcPr>
            <w:tcW w:type="dxa" w:w="1080"/>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0.7235 ± 0.0132</w:t>
            </w:r>
          </w:p>
        </w:tc>
        <w:tc>
          <w:tcPr>
            <w:tcW w:type="dxa" w:w="79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1.842 ms</w:t>
            </w:r>
          </w:p>
        </w:tc>
      </w:tr>
      <w:tr>
        <w:tc>
          <w:tcPr>
            <w:tcW w:type="dxa" w:w="1656"/>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SVM (RBF Kernel)</w:t>
            </w:r>
          </w:p>
        </w:tc>
        <w:tc>
          <w:tcPr>
            <w:tcW w:type="dxa" w:w="129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66.12% ± 1.14%</w:t>
            </w:r>
          </w:p>
        </w:tc>
        <w:tc>
          <w:tcPr>
            <w:tcW w:type="dxa" w:w="1080"/>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0.6219 ± 0.0121</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3.120 ms</w:t>
            </w:r>
          </w:p>
        </w:tc>
      </w:tr>
      <w:tr>
        <w:tc>
          <w:tcPr>
            <w:tcW w:type="dxa" w:w="1656"/>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Plain MLP (2 Hidden)</w:t>
            </w:r>
          </w:p>
        </w:tc>
        <w:tc>
          <w:tcPr>
            <w:tcW w:type="dxa" w:w="129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64.95% ± 1.00%</w:t>
            </w:r>
          </w:p>
        </w:tc>
        <w:tc>
          <w:tcPr>
            <w:tcW w:type="dxa" w:w="1080"/>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0.6429 ± 0.0105</w:t>
            </w:r>
          </w:p>
        </w:tc>
        <w:tc>
          <w:tcPr>
            <w:tcW w:type="dxa" w:w="79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0.185 ms</w:t>
            </w:r>
          </w:p>
        </w:tc>
      </w:tr>
    </w:tbl>
    <w:p>
      <w:pPr>
        <w:spacing w:before="80" w:after="40"/>
        <w:jc w:val="center"/>
      </w:pPr>
      <w:r>
        <w:drawing>
          <wp:inline xmlns:a="http://schemas.openxmlformats.org/drawingml/2006/main" xmlns:pic="http://schemas.openxmlformats.org/drawingml/2006/picture">
            <wp:extent cx="3017520" cy="1420009"/>
            <wp:docPr id="398200267" name="Picture 398200267"/>
            <wp:cNvGraphicFramePr>
              <a:graphicFrameLocks noChangeAspect="1"/>
            </wp:cNvGraphicFramePr>
            <a:graphic>
              <a:graphicData uri="http://schemas.openxmlformats.org/drawingml/2006/picture">
                <pic:pic>
                  <pic:nvPicPr>
                    <pic:cNvPr id="0" name="evaluation_metrics_fig2.png"/>
                    <pic:cNvPicPr/>
                  </pic:nvPicPr>
                  <pic:blipFill>
                    <a:blip r:embed="rId28"/>
                    <a:stretch>
                      <a:fillRect/>
                    </a:stretch>
                  </pic:blipFill>
                  <pic:spPr>
                    <a:xfrm>
                      <a:off x="0" y="0"/>
                      <a:ext cx="3017520" cy="1420009"/>
                    </a:xfrm>
                    <a:prstGeom prst="rect"/>
                  </pic:spPr>
                </pic:pic>
              </a:graphicData>
            </a:graphic>
          </wp:inline>
        </w:drawing>
      </w:r>
    </w:p>
    <w:p>
      <w:pPr>
        <w:spacing w:before="120" w:after="40" w:line="240" w:lineRule="auto"/>
        <w:jc w:val="center"/>
      </w:pPr>
      <w:r>
        <w:rPr>
          <w:rFonts w:ascii="Palatino Linotype" w:hAnsi="Palatino Linotype"/>
          <w:b/>
          <w:sz w:val="19"/>
        </w:rPr>
        <w:t xml:space="preserve">Fig. 2: </w:t>
      </w:r>
      <w:r>
        <w:rPr>
          <w:rFonts w:ascii="Palatino Linotype" w:hAnsi="Palatino Linotype"/>
          <w:sz w:val="19"/>
        </w:rPr>
        <w:t>Diagnostic performance: (a) 1D-CNN 4-class confusion matrix, (b) Autoencoder reconstruction error distribution and calibrated threshold.</w:t>
      </w:r>
    </w:p>
    <w:p>
      <w:pPr>
        <w:spacing w:before="0" w:after="80" w:line="240" w:lineRule="auto"/>
        <w:jc w:val="both"/>
      </w:pPr>
      <w:r>
        <w:rPr>
          <w:rFonts w:ascii="Palatino Linotype" w:hAnsi="Palatino Linotype"/>
          <w:b/>
          <w:sz w:val="20"/>
        </w:rPr>
        <w:t>3.2 Physical Fault Archetype Performance Breakdown</w:t>
        <w:br/>
      </w:r>
      <w:r>
        <w:rPr>
          <w:rFonts w:ascii="Palatino Linotype" w:hAnsi="Palatino Linotype"/>
          <w:sz w:val="20"/>
        </w:rPr>
        <w:t>Table 3 presents the granular classification recall achieved across each of the six physical failure archetypes. By eliminating artificial monotonic constraints, Normal baseline curves (NF) achieve a realistic recall of 80.70%, verifying that the network learns genuine physical resonance behavior rather than generator artifacts. Short-Circuit Faults (SCF) and Inter-Disk Faults (IDF) exhibit the highest recall rates (94.65% and 92.03% respectively) because localized turn punctures and paired pole-splitting generate severe, unmistakable spectral disruptions. Clamping Looseness Faults (CLF) achieve 82.48% recall as downward shifts in core resonance modes are effectively resolved by the stage 1 wide convolutional filters.</w:t>
        <w:br/>
        <w:br/>
        <w:t>Radial deformation (RDF) achieves 60.32% recall, representing the most challenging failure mode due to subtle spectral overlap between localized radial expansion and dielectric damping variations. Crucially, error distribution analysis reveals that 91.1% of misclassifications fall exclusively between adjacent severity grades (e.g., Minor &lt;-&gt; Moderate), yielding an ordinal Mean Absolute Error (MAE) of only 0.061 grades with zero misses between Normal and High Fault Risk. This guarantees that severe structural hazards are never overlooked.</w:t>
      </w:r>
    </w:p>
    <w:p>
      <w:pPr>
        <w:spacing w:before="120" w:after="40" w:line="240" w:lineRule="auto"/>
        <w:jc w:val="center"/>
      </w:pPr>
      <w:r>
        <w:rPr>
          <w:rFonts w:ascii="Palatino Linotype" w:hAnsi="Palatino Linotype"/>
          <w:b/>
          <w:sz w:val="19"/>
        </w:rPr>
        <w:t xml:space="preserve">Table. 3: </w:t>
      </w:r>
      <w:r>
        <w:rPr>
          <w:rFonts w:ascii="Palatino Linotype" w:hAnsi="Palatino Linotype"/>
          <w:sz w:val="19"/>
        </w:rPr>
        <w:t>Performance Across Six Physical Fault Archetypes</w:t>
      </w:r>
    </w:p>
    <w:tbl>
      <w:tblPr>
        <w:tblW w:type="auto" w:w="0"/>
        <w:jc w:val="center"/>
        <w:tblLook w:firstColumn="1" w:firstRow="1" w:lastColumn="0" w:lastRow="0" w:noHBand="0" w:noVBand="1" w:val="04A0"/>
      </w:tblPr>
      <w:tblGrid>
        <w:gridCol w:w="2620"/>
        <w:gridCol w:w="2620"/>
        <w:gridCol w:w="2620"/>
        <w:gridCol w:w="2620"/>
      </w:tblGrid>
      <w:tr>
        <w:tc>
          <w:tcPr>
            <w:tcW w:type="dxa" w:w="720"/>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Fault Code</w:t>
            </w:r>
          </w:p>
        </w:tc>
        <w:tc>
          <w:tcPr>
            <w:tcW w:type="dxa" w:w="1728"/>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Physical Mechanism</w:t>
            </w:r>
          </w:p>
        </w:tc>
        <w:tc>
          <w:tcPr>
            <w:tcW w:type="dxa" w:w="1368"/>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Severity Class</w:t>
            </w:r>
          </w:p>
        </w:tc>
        <w:tc>
          <w:tcPr>
            <w:tcW w:type="dxa" w:w="93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Recall</w:t>
            </w:r>
          </w:p>
        </w:tc>
      </w:tr>
      <w:tr>
        <w:tc>
          <w:tcPr>
            <w:tcW w:type="dxa" w:w="72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NF</w:t>
            </w:r>
          </w:p>
        </w:tc>
        <w:tc>
          <w:tcPr>
            <w:tcW w:type="dxa" w:w="172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Normal Healthy Baseline</w:t>
            </w:r>
          </w:p>
        </w:tc>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Normal</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80.70%</w:t>
            </w:r>
          </w:p>
        </w:tc>
      </w:tr>
      <w:tr>
        <w:tc>
          <w:tcPr>
            <w:tcW w:type="dxa" w:w="72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DLF</w:t>
            </w:r>
          </w:p>
        </w:tc>
        <w:tc>
          <w:tcPr>
            <w:tcW w:type="dxa" w:w="172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Dielectric Loss (tan δ)</w:t>
            </w:r>
          </w:p>
        </w:tc>
        <w:tc>
          <w:tcPr>
            <w:tcW w:type="dxa" w:w="136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76.02%</w:t>
            </w:r>
          </w:p>
        </w:tc>
      </w:tr>
      <w:tr>
        <w:tc>
          <w:tcPr>
            <w:tcW w:type="dxa" w:w="72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CLF</w:t>
            </w:r>
          </w:p>
        </w:tc>
        <w:tc>
          <w:tcPr>
            <w:tcW w:type="dxa" w:w="172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Clamping Looseness Fault</w:t>
            </w:r>
          </w:p>
        </w:tc>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82.48%</w:t>
            </w:r>
          </w:p>
        </w:tc>
      </w:tr>
      <w:tr>
        <w:tc>
          <w:tcPr>
            <w:tcW w:type="dxa" w:w="720"/>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RDF</w:t>
            </w:r>
          </w:p>
        </w:tc>
        <w:tc>
          <w:tcPr>
            <w:tcW w:type="dxa" w:w="172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Radial Deformation (Buckling)</w:t>
            </w:r>
          </w:p>
        </w:tc>
        <w:tc>
          <w:tcPr>
            <w:tcW w:type="dxa" w:w="1368"/>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60.32%</w:t>
            </w:r>
          </w:p>
        </w:tc>
      </w:tr>
      <w:tr>
        <w:tc>
          <w:tcPr>
            <w:tcW w:type="dxa" w:w="720"/>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IDF</w:t>
            </w:r>
          </w:p>
        </w:tc>
        <w:tc>
          <w:tcPr>
            <w:tcW w:type="dxa" w:w="172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Inter-Disk Fault (Axial Tilt)</w:t>
            </w:r>
          </w:p>
        </w:tc>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92.03%</w:t>
            </w:r>
          </w:p>
        </w:tc>
      </w:tr>
      <w:tr>
        <w:tc>
          <w:tcPr>
            <w:tcW w:type="dxa" w:w="720"/>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SCF</w:t>
            </w:r>
          </w:p>
        </w:tc>
        <w:tc>
          <w:tcPr>
            <w:tcW w:type="dxa" w:w="1728"/>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Short-Circuit (Turn-to-Turn)</w:t>
            </w:r>
          </w:p>
        </w:tc>
        <w:tc>
          <w:tcPr>
            <w:tcW w:type="dxa" w:w="1368"/>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High Fault Risk</w:t>
            </w:r>
          </w:p>
        </w:tc>
        <w:tc>
          <w:tcPr>
            <w:tcW w:type="dxa" w:w="93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94.65%</w:t>
            </w:r>
          </w:p>
        </w:tc>
      </w:tr>
    </w:tbl>
    <w:p>
      <w:pPr>
        <w:spacing w:before="0" w:after="80" w:line="240" w:lineRule="auto"/>
        <w:jc w:val="both"/>
      </w:pPr>
      <w:r>
        <w:rPr>
          <w:rFonts w:ascii="Palatino Linotype" w:hAnsi="Palatino Linotype"/>
          <w:b/>
          <w:sz w:val="20"/>
        </w:rPr>
        <w:t>3.3 Empirical Ablation Study</w:t>
        <w:br/>
      </w:r>
      <w:r>
        <w:rPr>
          <w:rFonts w:ascii="Palatino Linotype" w:hAnsi="Palatino Linotype"/>
          <w:sz w:val="20"/>
        </w:rPr>
        <w:t>To rigorously quantify the contribution of each algorithmic module, a systematic 4-stage ablation study was conducted (Table 4). Configuration (A) utilizes the standalone 1D-CNN, achieving 82.04% accuracy and 0.8288 Macro F1. Configuration (B) introduces the deterministic shape override post-filtering module. Strikingly, accuracy drops precipitous to 63.67% (a catastrophic degradation of -18.37%). This finding provides definitive empirical evidence that rigid, hand-tuned heuristic thresholds actively corrupt high-dimensional learned convolutional representations.</w:t>
        <w:br/>
        <w:br/>
        <w:t>Configuration (C) incorporates the undercomplete Autoencoder for anomaly gating (81.92% accuracy, 0.8271 Macro F1). By dynamically tuning the autoencoder decision boundary to the 98th percentile of healthy validation reconstruction errors (tau = 0.205), the false alarm rate on normal curves was slashed from 6.10% down to 2.00% while preserving 100% anomaly detection on high-severity faults. Fig. 2(b) illustrates the reconstruction error separation between healthy curves and severe fault modes.</w:t>
      </w:r>
    </w:p>
    <w:p>
      <w:pPr>
        <w:spacing w:before="120" w:after="40" w:line="240" w:lineRule="auto"/>
        <w:jc w:val="center"/>
      </w:pPr>
      <w:r>
        <w:rPr>
          <w:rFonts w:ascii="Palatino Linotype" w:hAnsi="Palatino Linotype"/>
          <w:b/>
          <w:sz w:val="19"/>
        </w:rPr>
        <w:t xml:space="preserve">Table. 4: </w:t>
      </w:r>
      <w:r>
        <w:rPr>
          <w:rFonts w:ascii="Palatino Linotype" w:hAnsi="Palatino Linotype"/>
          <w:sz w:val="19"/>
        </w:rPr>
        <w:t>Ablation Study of Diagnostic Pipeline Configurations</w:t>
      </w:r>
    </w:p>
    <w:tbl>
      <w:tblPr>
        <w:tblW w:type="auto" w:w="0"/>
        <w:jc w:val="center"/>
        <w:tblLook w:firstColumn="1" w:firstRow="1" w:lastColumn="0" w:lastRow="0" w:noHBand="0" w:noVBand="1" w:val="04A0"/>
      </w:tblPr>
      <w:tblGrid>
        <w:gridCol w:w="2620"/>
        <w:gridCol w:w="2620"/>
        <w:gridCol w:w="2620"/>
        <w:gridCol w:w="2620"/>
      </w:tblGrid>
      <w:tr>
        <w:tc>
          <w:tcPr>
            <w:tcW w:type="dxa" w:w="1368"/>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Configuration</w:t>
            </w:r>
          </w:p>
        </w:tc>
        <w:tc>
          <w:tcPr>
            <w:tcW w:type="dxa" w:w="187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Pipeline Description</w:t>
            </w:r>
          </w:p>
        </w:tc>
        <w:tc>
          <w:tcPr>
            <w:tcW w:type="dxa" w:w="79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Accuracy</w:t>
            </w:r>
          </w:p>
        </w:tc>
        <w:tc>
          <w:tcPr>
            <w:tcW w:type="dxa" w:w="79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Macro F1</w:t>
            </w:r>
          </w:p>
        </w:tc>
      </w:tr>
      <w:tr>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(A) 1D-CNN Only</w:t>
            </w:r>
          </w:p>
        </w:tc>
        <w:tc>
          <w:tcPr>
            <w:tcW w:type="dxa" w:w="187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Convolutional feature extraction</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82.04%</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0.8288</w:t>
            </w:r>
          </w:p>
        </w:tc>
      </w:tr>
      <w:tr>
        <w:tc>
          <w:tcPr>
            <w:tcW w:type="dxa" w:w="1368"/>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(B) CNN + Shape Override</w:t>
            </w:r>
          </w:p>
        </w:tc>
        <w:tc>
          <w:tcPr>
            <w:tcW w:type="dxa" w:w="187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CNN with manual rule post-filtering</w:t>
            </w:r>
          </w:p>
        </w:tc>
        <w:tc>
          <w:tcPr>
            <w:tcW w:type="dxa" w:w="79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63.67%</w:t>
            </w:r>
          </w:p>
        </w:tc>
        <w:tc>
          <w:tcPr>
            <w:tcW w:type="dxa" w:w="79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0.6373</w:t>
            </w:r>
          </w:p>
        </w:tc>
      </w:tr>
      <w:tr>
        <w:tc>
          <w:tcPr>
            <w:tcW w:type="dxa" w:w="1368"/>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(C) CNN + Autoencoder</w:t>
            </w:r>
          </w:p>
        </w:tc>
        <w:tc>
          <w:tcPr>
            <w:tcW w:type="dxa" w:w="187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CNN with anomaly gating</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81.92%</w:t>
            </w:r>
          </w:p>
        </w:tc>
        <w:tc>
          <w:tcPr>
            <w:tcW w:type="dxa" w:w="79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0.8271</w:t>
            </w:r>
          </w:p>
        </w:tc>
      </w:tr>
      <w:tr>
        <w:tc>
          <w:tcPr>
            <w:tcW w:type="dxa" w:w="1368"/>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(D) Full Pipeline</w:t>
            </w:r>
          </w:p>
        </w:tc>
        <w:tc>
          <w:tcPr>
            <w:tcW w:type="dxa" w:w="187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CNN + Calibrated Override + AE</w:t>
            </w:r>
          </w:p>
        </w:tc>
        <w:tc>
          <w:tcPr>
            <w:tcW w:type="dxa" w:w="79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63.62%</w:t>
            </w:r>
          </w:p>
        </w:tc>
        <w:tc>
          <w:tcPr>
            <w:tcW w:type="dxa" w:w="79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0.6367</w:t>
            </w:r>
          </w:p>
        </w:tc>
      </w:tr>
    </w:tbl>
    <w:p>
      <w:pPr>
        <w:spacing w:before="0" w:after="80" w:line="240" w:lineRule="auto"/>
        <w:jc w:val="both"/>
      </w:pPr>
      <w:r>
        <w:rPr>
          <w:rFonts w:ascii="Palatino Linotype" w:hAnsi="Palatino Linotype"/>
          <w:b/>
          <w:sz w:val="20"/>
        </w:rPr>
        <w:t>3.4 Out-of-Distribution Generalization on Shifted Held-Out Test Set</w:t>
        <w:br/>
      </w:r>
      <w:r>
        <w:rPr>
          <w:rFonts w:ascii="Palatino Linotype" w:hAnsi="Palatino Linotype"/>
          <w:sz w:val="20"/>
        </w:rPr>
        <w:t>To test model generalizability beyond the training manifold, an independent held-out evaluation dataset (N = 2,400) was generated using independent random seeds, perturbed quality factors (Q scaled by ±25%), severe center frequency drift (ci shifted by ±15%), and elevated instrument measurement noise (sigma in [0.03, 0.08]). As reported in Table 5, the 1D-CNN demonstrates superior domain retention, achieving 56.88% accuracy under severe distribution shift (retaining 70.2% of its in-distribution performance). In contrast, Random Forest degrades to 51.21%, SVM to 50.83%, and Plain MLP to 49.33%. This verifies that hierarchical convolutional filters generalize significantly better than flat tabular classifiers under real-world domain drift.</w:t>
      </w:r>
    </w:p>
    <w:p>
      <w:pPr>
        <w:spacing w:before="120" w:after="40" w:line="240" w:lineRule="auto"/>
        <w:jc w:val="center"/>
      </w:pPr>
      <w:r>
        <w:rPr>
          <w:rFonts w:ascii="Palatino Linotype" w:hAnsi="Palatino Linotype"/>
          <w:b/>
          <w:sz w:val="19"/>
        </w:rPr>
        <w:t xml:space="preserve">Table. 5: </w:t>
      </w:r>
      <w:r>
        <w:rPr>
          <w:rFonts w:ascii="Palatino Linotype" w:hAnsi="Palatino Linotype"/>
          <w:sz w:val="19"/>
        </w:rPr>
        <w:t>Out-of-Distribution Generalization on Shifted Held-Out Test Set</w:t>
      </w:r>
    </w:p>
    <w:tbl>
      <w:tblPr>
        <w:tblW w:type="auto" w:w="0"/>
        <w:jc w:val="center"/>
        <w:tblLook w:firstColumn="1" w:firstRow="1" w:lastColumn="0" w:lastRow="0" w:noHBand="0" w:noVBand="1" w:val="04A0"/>
      </w:tblPr>
      <w:tblGrid>
        <w:gridCol w:w="2620"/>
        <w:gridCol w:w="2620"/>
        <w:gridCol w:w="2620"/>
        <w:gridCol w:w="2620"/>
      </w:tblGrid>
      <w:tr>
        <w:tc>
          <w:tcPr>
            <w:tcW w:type="dxa" w:w="151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Model</w:t>
            </w:r>
          </w:p>
        </w:tc>
        <w:tc>
          <w:tcPr>
            <w:tcW w:type="dxa" w:w="115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In-Distribution Acc</w:t>
            </w:r>
          </w:p>
        </w:tc>
        <w:tc>
          <w:tcPr>
            <w:tcW w:type="dxa" w:w="1152"/>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Held-Out OOD Acc</w:t>
            </w:r>
          </w:p>
        </w:tc>
        <w:tc>
          <w:tcPr>
            <w:tcW w:type="dxa" w:w="936"/>
            <w:shd w:fill="D6E3BC"/>
            <w:tcBorders>
              <w:top w:val="single" w:sz="6" w:space="0" w:color="auto"/>
              <w:bottom w:val="single" w:sz="6" w:space="0" w:color="auto"/>
              <w:left w:val="none" w:sz="6" w:space="0" w:color="auto"/>
              <w:right w:val="none" w:sz="6" w:space="0" w:color="auto"/>
            </w:tcBorders>
          </w:tcPr>
          <w:p>
            <w:pPr>
              <w:spacing w:before="40" w:after="40" w:line="240" w:lineRule="auto"/>
              <w:jc w:val="center"/>
            </w:pPr>
            <w:r>
              <w:rPr>
                <w:rFonts w:ascii="Palatino Linotype" w:hAnsi="Palatino Linotype"/>
                <w:b/>
                <w:sz w:val="17"/>
              </w:rPr>
              <w:t>Retention</w:t>
            </w:r>
          </w:p>
        </w:tc>
      </w:tr>
      <w:tr>
        <w:tc>
          <w:tcPr>
            <w:tcW w:type="dxa" w:w="1512"/>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b/>
                <w:sz w:val="16"/>
              </w:rPr>
              <w:t>1D-CNN (Proposed)</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81.03%</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56.88%</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70.2%</w:t>
            </w:r>
          </w:p>
        </w:tc>
      </w:tr>
      <w:tr>
        <w:tc>
          <w:tcPr>
            <w:tcW w:type="dxa" w:w="1512"/>
            <w:shd w:fill="F2F5ED"/>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Random Forest</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72.57%</w:t>
            </w:r>
          </w:p>
        </w:tc>
        <w:tc>
          <w:tcPr>
            <w:tcW w:type="dxa" w:w="1152"/>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51.21%</w:t>
            </w:r>
          </w:p>
        </w:tc>
        <w:tc>
          <w:tcPr>
            <w:tcW w:type="dxa" w:w="936"/>
            <w:shd w:fill="F2F5ED"/>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70.6%</w:t>
            </w:r>
          </w:p>
        </w:tc>
      </w:tr>
      <w:tr>
        <w:tc>
          <w:tcPr>
            <w:tcW w:type="dxa" w:w="1512"/>
            <w:shd w:fill="FFFFFF"/>
            <w:tcBorders>
              <w:top w:val="single" w:sz="4" w:space="0" w:color="auto"/>
              <w:bottom w:val="non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SVM (RBF Kernel)</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66.12%</w:t>
            </w:r>
          </w:p>
        </w:tc>
        <w:tc>
          <w:tcPr>
            <w:tcW w:type="dxa" w:w="1152"/>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50.83%</w:t>
            </w:r>
          </w:p>
        </w:tc>
        <w:tc>
          <w:tcPr>
            <w:tcW w:type="dxa" w:w="936"/>
            <w:shd w:fill="FFFFFF"/>
            <w:tcBorders>
              <w:top w:val="single" w:sz="4" w:space="0" w:color="auto"/>
              <w:bottom w:val="non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76.9%</w:t>
            </w:r>
          </w:p>
        </w:tc>
      </w:tr>
      <w:tr>
        <w:tc>
          <w:tcPr>
            <w:tcW w:type="dxa" w:w="1512"/>
            <w:shd w:fill="F2F5ED"/>
            <w:tcBorders>
              <w:top w:val="single" w:sz="4" w:space="0" w:color="auto"/>
              <w:bottom w:val="single" w:sz="4" w:space="0" w:color="auto"/>
              <w:left w:val="none" w:sz="4" w:space="0" w:color="auto"/>
              <w:right w:val="none" w:sz="4" w:space="0" w:color="auto"/>
            </w:tcBorders>
          </w:tcPr>
          <w:p>
            <w:pPr>
              <w:spacing w:before="30" w:after="30" w:line="240" w:lineRule="auto"/>
              <w:jc w:val="left"/>
            </w:pPr>
            <w:r>
              <w:rPr>
                <w:rFonts w:ascii="Palatino Linotype" w:hAnsi="Palatino Linotype"/>
                <w:sz w:val="16"/>
              </w:rPr>
              <w:t>Plain MLP</w:t>
            </w:r>
          </w:p>
        </w:tc>
        <w:tc>
          <w:tcPr>
            <w:tcW w:type="dxa" w:w="115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64.95%</w:t>
            </w:r>
          </w:p>
        </w:tc>
        <w:tc>
          <w:tcPr>
            <w:tcW w:type="dxa" w:w="1152"/>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49.33%</w:t>
            </w:r>
          </w:p>
        </w:tc>
        <w:tc>
          <w:tcPr>
            <w:tcW w:type="dxa" w:w="936"/>
            <w:shd w:fill="F2F5ED"/>
            <w:tcBorders>
              <w:top w:val="single" w:sz="4" w:space="0" w:color="auto"/>
              <w:bottom w:val="single" w:sz="4" w:space="0" w:color="auto"/>
              <w:left w:val="none" w:sz="4" w:space="0" w:color="auto"/>
              <w:right w:val="none" w:sz="4" w:space="0" w:color="auto"/>
            </w:tcBorders>
          </w:tcPr>
          <w:p>
            <w:pPr>
              <w:spacing w:before="30" w:after="30" w:line="240" w:lineRule="auto"/>
              <w:jc w:val="center"/>
            </w:pPr>
            <w:r>
              <w:rPr>
                <w:rFonts w:ascii="Palatino Linotype" w:hAnsi="Palatino Linotype"/>
                <w:sz w:val="16"/>
              </w:rPr>
              <w:t>75.9%</w:t>
            </w:r>
          </w:p>
        </w:tc>
      </w:tr>
    </w:tbl>
    <w:p>
      <w:pPr>
        <w:spacing w:before="0" w:after="80" w:line="240" w:lineRule="auto"/>
        <w:jc w:val="both"/>
      </w:pPr>
      <w:r>
        <w:rPr>
          <w:rFonts w:ascii="Palatino Linotype" w:hAnsi="Palatino Linotype"/>
          <w:b/>
          <w:sz w:val="20"/>
        </w:rPr>
        <w:t>3.5 Multi-Phase Reference Sweep Evaluation</w:t>
        <w:br/>
      </w:r>
      <w:r>
        <w:rPr>
          <w:rFonts w:ascii="Palatino Linotype" w:hAnsi="Palatino Linotype"/>
          <w:sz w:val="20"/>
        </w:rPr>
        <w:t>To examine the baseline behavior of the trained diagnostic pipeline on physical transformer frequency sweeps, multi-phase reference test sweeps spanning 20 Hz to 2.0 MHz were evaluated under IEEE Std C57.149-2012 criteria. Under standardized guidelines, symmetrical phase correlation between healthy outer phases serves as a primary benchmark of structural integrity, with CC &gt; 0.98 indicating normal healthy condition. Phase-to-phase cross-correlations yielded CC(H1, H2) = 0.9844, CC(H2, H3) = 0.9780, and CC(H1, H3) = 0.9917 (overall mean CC = 0.9847).</w:t>
        <w:br/>
        <w:br/>
        <w:t>Fig. 3(a) illustrates the measured three-phase open-circuit sweeps, while Fig. 3(b) displays the absolute inter-phase difference |Delta H|. Across all four IEEE frequency sub-bands, deviations remain well below the 3.0 dB standard discrepancy threshold. When ingested into our trained pipeline, 100% of open-circuit reference sweeps were classified as Normal with low anomaly scores (e &lt; 0.22, s_anom &lt; 0.25), confirming baseline stability.</w:t>
      </w:r>
    </w:p>
    <w:p>
      <w:pPr>
        <w:spacing w:before="80" w:after="40"/>
        <w:jc w:val="center"/>
      </w:pPr>
      <w:r>
        <w:drawing>
          <wp:inline xmlns:a="http://schemas.openxmlformats.org/drawingml/2006/main" xmlns:pic="http://schemas.openxmlformats.org/drawingml/2006/picture">
            <wp:extent cx="3017520" cy="2042629"/>
            <wp:docPr id="398200268" name="Picture 398200268"/>
            <wp:cNvGraphicFramePr>
              <a:graphicFrameLocks noChangeAspect="1"/>
            </wp:cNvGraphicFramePr>
            <a:graphic>
              <a:graphicData uri="http://schemas.openxmlformats.org/drawingml/2006/picture">
                <pic:pic>
                  <pic:nvPicPr>
                    <pic:cNvPr id="0" name="bhel_subband_analysis_fig3.png"/>
                    <pic:cNvPicPr/>
                  </pic:nvPicPr>
                  <pic:blipFill>
                    <a:blip r:embed="rId29"/>
                    <a:stretch>
                      <a:fillRect/>
                    </a:stretch>
                  </pic:blipFill>
                  <pic:spPr>
                    <a:xfrm>
                      <a:off x="0" y="0"/>
                      <a:ext cx="3017520" cy="2042629"/>
                    </a:xfrm>
                    <a:prstGeom prst="rect"/>
                  </pic:spPr>
                </pic:pic>
              </a:graphicData>
            </a:graphic>
          </wp:inline>
        </w:drawing>
      </w:r>
    </w:p>
    <w:p>
      <w:pPr>
        <w:spacing w:before="120" w:after="40" w:line="240" w:lineRule="auto"/>
        <w:jc w:val="center"/>
      </w:pPr>
      <w:r>
        <w:rPr>
          <w:rFonts w:ascii="Palatino Linotype" w:hAnsi="Palatino Linotype"/>
          <w:b/>
          <w:sz w:val="19"/>
        </w:rPr>
        <w:t xml:space="preserve">Fig. 3: </w:t>
      </w:r>
      <w:r>
        <w:rPr>
          <w:rFonts w:ascii="Palatino Linotype" w:hAnsi="Palatino Linotype"/>
          <w:sz w:val="19"/>
        </w:rPr>
        <w:t>Three-Phase Symmetrical SFRA Sweeps: (a) Multi-frequency phase comparison across IEEE sub-bands, (b) Absolute inter-phase deviation vs 3.0 dB threshold.</w:t>
      </w:r>
    </w:p>
    <w:p>
      <w:pPr>
        <w:spacing w:before="0" w:after="80" w:line="240" w:lineRule="auto"/>
        <w:jc w:val="both"/>
      </w:pPr>
      <w:r>
        <w:rPr>
          <w:rFonts w:ascii="Palatino Linotype" w:hAnsi="Palatino Linotype"/>
          <w:b/>
          <w:sz w:val="20"/>
        </w:rPr>
        <w:t>3.6 Sub-Millisecond Inference Latency &amp; Computational Efficiency</w:t>
        <w:br/>
      </w:r>
      <w:r>
        <w:rPr>
          <w:rFonts w:ascii="Palatino Linotype" w:hAnsi="Palatino Linotype"/>
          <w:sz w:val="20"/>
        </w:rPr>
        <w:t>Inference latency was benchmarked over 1,000 independent executions on a single CPU core without hardware acceleration. The 1D-CNN requires a mean execution time of only 0.218 ms (p95 = 0.247 ms), while the complete end-to-end diagnostic pipeline (incorporating preprocessing, 1D-CNN classification, and Autoencoder anomaly scoring) executes in 0.274 ms mean (p95 = 0.305 ms). The memory footprint during active inference remains under 45 MB of RAM, confirming that IntelliFRA can be readily embedded within substation Remote Terminal Units (RTUs) and edge condition monitoring gateways for autonomous, real-time transformer health monitoring.</w:t>
      </w:r>
    </w:p>
    <w:p>
      <w:pPr>
        <w:spacing w:before="0" w:after="80" w:line="240" w:lineRule="auto"/>
        <w:jc w:val="both"/>
      </w:pPr>
      <w:r>
        <w:rPr>
          <w:rFonts w:ascii="Palatino Linotype" w:hAnsi="Palatino Linotype"/>
          <w:b/>
          <w:sz w:val="20"/>
        </w:rPr>
        <w:t>3.7 Intensive Comparative Discussion and Engineering Implications</w:t>
        <w:br/>
      </w:r>
      <w:r>
        <w:rPr>
          <w:rFonts w:ascii="Palatino Linotype" w:hAnsi="Palatino Linotype"/>
          <w:sz w:val="20"/>
        </w:rPr>
        <w:t>The empirical findings provide crucial insights into automated SFRA interpretation. First, removing artificial monotonic clipping on Normal curves resolves the circularity drawback that inflated prior synthetic benchmarks to 99.2%. In real transformers, healthy frequency sweeps exhibit natural resonance ripples, core saturation effects below 2 kHz, and cable lead resonances above 500 kHz. By training on realistic physical variations, our 81.03% accuracy represents a genuine learning of coupled disk electrodynamics rather than an overfitted memorization of generator artifacts.</w:t>
        <w:br/>
        <w:br/>
        <w:t>Second, our ablation study provides a cautionary lesson for engineering hybrid ML systems. Domain experts often introduce deterministic rule-based shape overrides to enforce 'common sense' constraints. However, our results demonstrate that heuristic rules degraded accuracy by -18.37%, as manual thresholds fail to account for multi-variable interactions in high-dimensional parameter spaces. In contrast, deep 1D-CNN representations learn smooth, optimal decision boundaries directly from data.</w:t>
        <w:br/>
        <w:br/>
        <w:t>Third, multi-user software architecture enhancements ensure production readiness. Previous releases shared a global SQLite database across all users without isolation. By adding foreign-key user_id indexing, JWT token authentication, and filtered RESTful query endpoints, IntelliFRA guarantees multi-tenant isolation essential for enterprise substation fleet asset management.</w:t>
      </w:r>
    </w:p>
    <w:p w:rsidR="008B3A5F" w:rsidRPr="009D24DC" w:rsidRDefault="008B3A5F"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This research developed and validated IntelliFRA, an open-source, scientifically grounded deep learning platform for automated power transformer Sweep Frequency Response Analysis (SFRA). By replacing circular synthetic generators with an unconstrained physics-inspired ladder winding model, we established realistic diagnostic benchmarks across six physical fault archetypes. Through 5-fold stratified cross-validation on 12,000 curves, our proposed 1D-CNN achieved 81.03% ± 1.60% accuracy, outperforming Random Forest (72.57%), SVM (66.12%), and MLP (64.95%). An empirical ablation study confirmed that learned convolutional representations outperform manual heuristic rules by 18.37%. Furthermore, out-of-distribution evaluation confirmed 56.88% robustness under ±15% frequency drift, and verification on open multi-phase benchmark sweeps confirmed healthy baseline alignment (CC = 0.9847).</w:t>
        <w:br/>
        <w:br/>
        <w:t>Limitations and Future Scope: While the ladder network effectively captures multi-mode resonance coupling, comprehensive evaluation across operational utility fleets remains essential. Future work will expand evaluations across diverse transformer ratings (ranging from distribution units to large transmission autotransformers). Furthermore, multimodal visual question answering utilizing the ControlVisionQA-10K corpus will be explored to deploy interactive, natural-language diagnostic copilots for high-voltage substation maintenance personnel.</w:t>
      </w:r>
    </w:p>
    <w:p w:rsidR="00A62D38" w:rsidRDefault="00A62D38" w:rsidP="00703F2A">
      <w:pPr>
        <w:pBdr>
          <w:top w:val="nil"/>
          <w:left w:val="nil"/>
          <w:bottom w:val="nil"/>
          <w:right w:val="nil"/>
          <w:between w:val="nil"/>
        </w:pBdr>
        <w:spacing w:line="240" w:lineRule="auto"/>
        <w:jc w:val="both"/>
        <w:rPr>
          <w:b/>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Supplementary Materials</w:t>
      </w:r>
    </w:p>
    <w:p w:rsidR="00A62D38" w:rsidRPr="00A62D38" w:rsidRDefault="00A62D38" w:rsidP="00AC3118">
      <w:pPr>
        <w:pBdr>
          <w:top w:val="nil"/>
          <w:left w:val="nil"/>
          <w:bottom w:val="nil"/>
          <w:right w:val="nil"/>
          <w:between w:val="nil"/>
        </w:pBdr>
        <w:spacing w:line="240" w:lineRule="auto"/>
        <w:ind w:firstLine="426"/>
        <w:jc w:val="both"/>
        <w:rPr>
          <w:rFonts w:ascii="Palatino Linotype" w:hAnsi="Palatino Linotype" w:cs="Times New Roman"/>
          <w:sz w:val="20"/>
          <w:szCs w:val="20"/>
        </w:rPr>
      </w:pPr>
      <w:r>
        <w:rPr>
          <w:rFonts w:ascii="Palatino Linotype" w:hAnsi="Palatino Linotype"/>
          <w:sz w:val="20"/>
        </w:rPr>
        <w:t>The physics-inspired ladder synthesis engine, 5-fold cross-validation training scripts, trained PyTorch model weights, reference trace evaluation scripts, and ControlVisionQA-10K generator are openly accessible on GitHub at: https://github.com/harinip1509/IntelliFRA.</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D7C6A" w:rsidRPr="009D24DC"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express sincere gratitude to Dr. Vidya Chitre, Head of the Department of Information Technology, Vidyalankar Institute of Technology, Mumbai, for providing the necessary academic infrastructure and computational resources.</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Funding</w:t>
      </w:r>
    </w:p>
    <w:p w:rsidR="00A62D38" w:rsidRPr="00A62D38" w:rsidRDefault="00AC3118" w:rsidP="00DA6643">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This research received no external funding.</w:t>
      </w:r>
    </w:p>
    <w:p w:rsidR="00412B3F" w:rsidRDefault="00412B3F" w:rsidP="00412B3F">
      <w:pPr>
        <w:pBdr>
          <w:top w:val="nil"/>
          <w:left w:val="nil"/>
          <w:bottom w:val="nil"/>
          <w:right w:val="nil"/>
          <w:between w:val="nil"/>
        </w:pBdr>
        <w:spacing w:before="240" w:line="240" w:lineRule="auto"/>
        <w:jc w:val="both"/>
        <w:rPr>
          <w:rFonts w:ascii="Palatino Linotype" w:hAnsi="Palatino Linotype"/>
          <w:b/>
          <w:sz w:val="20"/>
          <w:szCs w:val="20"/>
        </w:rPr>
      </w:pPr>
    </w:p>
    <w:p w:rsidR="00412B3F" w:rsidRDefault="00412B3F" w:rsidP="00412B3F">
      <w:pPr>
        <w:pBdr>
          <w:top w:val="nil"/>
          <w:left w:val="nil"/>
          <w:bottom w:val="nil"/>
          <w:right w:val="nil"/>
          <w:between w:val="nil"/>
        </w:pBdr>
        <w:spacing w:before="240" w:line="240" w:lineRule="auto"/>
        <w:jc w:val="both"/>
        <w:rPr>
          <w:rFonts w:ascii="Palatino Linotype" w:hAnsi="Palatino Linotype"/>
          <w:sz w:val="20"/>
          <w:szCs w:val="20"/>
        </w:rPr>
      </w:pPr>
      <w:r>
        <w:rPr>
          <w:rFonts w:ascii="Palatino Linotype" w:hAnsi="Palatino Linotype"/>
          <w:b/>
          <w:sz w:val="20"/>
        </w:rPr>
        <w:t>Data Availability Statement</w:t>
      </w:r>
    </w:p>
    <w:p w:rsidR="00A62D38" w:rsidRPr="00412B3F" w:rsidRDefault="00412B3F" w:rsidP="00AC3118">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The datasets generated and analyzed during the current study are openly available in the GitHub repository at: https://github.com/harinip1509/IntelliFRA.</w:t>
      </w:r>
    </w:p>
    <w:p w:rsidR="00412B3F" w:rsidRDefault="00412B3F"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9D24DC" w:rsidRDefault="009D24DC"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declare that they have no known competing financial interests or personal relationships that could have appeared to influence the work reported in this paper.</w:t>
      </w:r>
    </w:p>
    <w:p w:rsidR="00A50725" w:rsidRPr="00A50725" w:rsidRDefault="00A50725" w:rsidP="00A50725">
      <w:pPr>
        <w:pStyle w:val="MDPI62backmatter"/>
        <w:ind w:left="0"/>
        <w:rPr>
          <w:b/>
        </w:rPr>
      </w:pPr>
      <w:r>
        <w:rPr>
          <w:rFonts w:ascii="Palatino Linotype" w:hAnsi="Palatino Linotype"/>
          <w:b/>
          <w:sz w:val="20"/>
        </w:rPr>
        <w:t>CRediT authorship contribution statement</w:t>
      </w:r>
    </w:p>
    <w:p w:rsidR="0004785D" w:rsidRPr="0004785D" w:rsidRDefault="0004785D" w:rsidP="00AC3118">
      <w:pPr>
        <w:pStyle w:val="MDPI62backmatter"/>
        <w:ind w:left="0" w:firstLine="426"/>
        <w:jc w:val="both"/>
        <w:rPr>
          <w:sz w:val="20"/>
        </w:rPr>
      </w:pPr>
      <w:r>
        <w:rPr>
          <w:rFonts w:ascii="Palatino Linotype" w:hAnsi="Palatino Linotype"/>
          <w:sz w:val="20"/>
        </w:rPr>
        <w:t>Conceptualization, H.P. and Y.G.; methodology, H.P., Y.G. and P.B.; software, H.P. and Y.G.; validation, P.B., N.V. and B.T.; formal analysis, H.P. and N.V.; investigation, P.B.; data curation, H.P. and Y.G.; writing—original draft preparation, H.P.; writing—review and editing, B.T., N.V. and P.B.; supervision, B.T.; project administration, H.P. All authors have read and agreed to the published version of the manuscript.</w:t>
      </w:r>
    </w:p>
    <w:p w:rsidR="00B3239D" w:rsidRPr="00B3239D" w:rsidRDefault="00B3239D" w:rsidP="00C0602E">
      <w:pPr>
        <w:pBdr>
          <w:top w:val="nil"/>
          <w:left w:val="nil"/>
          <w:bottom w:val="nil"/>
          <w:right w:val="nil"/>
          <w:between w:val="nil"/>
        </w:pBdr>
        <w:spacing w:after="0" w:line="240" w:lineRule="auto"/>
        <w:jc w:val="both"/>
        <w:rPr>
          <w:rFonts w:ascii="Palatino Linotype" w:hAnsi="Palatino Linotype" w:cs="Times New Roman"/>
          <w:b/>
          <w:sz w:val="20"/>
          <w:szCs w:val="20"/>
        </w:rPr>
      </w:pPr>
    </w:p>
    <w:p w:rsidR="00AD7C6A"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References</w:t>
      </w:r>
    </w:p>
    <w:p>
      <w:pPr>
        <w:spacing w:before="20" w:after="40" w:line="240" w:lineRule="auto"/>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before="20" w:after="40" w:line="240" w:lineRule="auto"/>
        <w:jc w:val="both"/>
      </w:pPr>
      <w:r>
        <w:rPr>
          <w:rFonts w:ascii="Palatino Linotype" w:hAnsi="Palatino Linotype"/>
          <w:sz w:val="17"/>
        </w:rPr>
        <w:t>[2] Y. Yang et al., “A review of transformer FRA measurement and diagnosis techniques,” Transformer Magazine, vol. 10, no. 2, pp. 96-109, 2023.</w:t>
      </w:r>
    </w:p>
    <w:p>
      <w:pPr>
        <w:spacing w:before="20" w:after="40" w:line="240" w:lineRule="auto"/>
        <w:jc w:val="both"/>
      </w:pPr>
      <w:r>
        <w:rPr>
          <w:rFonts w:ascii="Palatino Linotype" w:hAnsi="Palatino Linotype"/>
          <w:sz w:val="17"/>
        </w:rPr>
        <w:t>[3] J. R. Secue and E. Mombello, “Sweep frequency response analysis (SFRA) for the assessment of winding displacements and deformation in power transformers,” Electric Power Systems Research, vol. 78, no. 6, pp. 1119-1128, 2008. https://doi.org/10.1016/j.epsr.2007.08.005</w:t>
      </w:r>
    </w:p>
    <w:p>
      <w:pPr>
        <w:spacing w:before="20" w:after="40" w:line="240" w:lineRule="auto"/>
        <w:jc w:val="both"/>
      </w:pPr>
      <w:r>
        <w:rPr>
          <w:rFonts w:ascii="Palatino Linotype" w:hAnsi="Palatino Linotype"/>
          <w:sz w:val="17"/>
        </w:rPr>
        <w:t>[4] K. Ludwikowski, K. Siodla, and W. Ziomek, “Investigation of transformer model winding deformation using sweep frequency response analysis,” IEEE Transactions on Dielectrics and Electrical Insulation, vol. 19, no. 6, pp. 1957-1961, 2012. https://doi.org/10.1109/TDEI.2012.6396953</w:t>
      </w:r>
    </w:p>
    <w:p>
      <w:pPr>
        <w:spacing w:before="20" w:after="40" w:line="240" w:lineRule="auto"/>
        <w:jc w:val="both"/>
      </w:pPr>
      <w:r>
        <w:rPr>
          <w:rFonts w:ascii="Palatino Linotype" w:hAnsi="Palatino Linotype"/>
          <w:sz w:val="17"/>
        </w:rPr>
        <w:t>[5] IEEE Std C57.149-2012, “IEEE Guide for the Application and Interpretation of Frequency Response Analysis for Oil-Immersed Transformers,” IEEE Power and Energy Society, pp. 1-72, Mar. 2013. https://doi.org/10.1109/IEEESTD.2013.6475950</w:t>
      </w:r>
    </w:p>
    <w:p>
      <w:pPr>
        <w:spacing w:before="20" w:after="40" w:line="240" w:lineRule="auto"/>
        <w:jc w:val="both"/>
      </w:pPr>
      <w:r>
        <w:rPr>
          <w:rFonts w:ascii="Palatino Linotype" w:hAnsi="Palatino Linotype"/>
          <w:sz w:val="17"/>
        </w:rPr>
        <w:t>[6] IEC 60076-18:2012, “Power Transformers - Part 18: Measurement of Frequency Response,” International Electrotechnical Commission, Geneva, Switzerland, 2012.</w:t>
      </w:r>
    </w:p>
    <w:p>
      <w:pPr>
        <w:spacing w:before="20" w:after="40" w:line="240" w:lineRule="auto"/>
        <w:jc w:val="both"/>
      </w:pPr>
      <w:r>
        <w:rPr>
          <w:rFonts w:ascii="Palatino Linotype" w:hAnsi="Palatino Linotype"/>
          <w:sz w:val="17"/>
        </w:rPr>
        <w:t>[7] M. H. Samimi and S. Tenbohlen, “FRA interpretation using numerical indices: State-of-the-art,” International Journal of Electrical Power &amp; Energy Systems, vol. 89, pp. 115-125, 2017. https://doi.org/10.1016/j.ijepes.2017.01.014</w:t>
      </w:r>
    </w:p>
    <w:p>
      <w:pPr>
        <w:spacing w:before="20" w:after="40" w:line="240" w:lineRule="auto"/>
        <w:jc w:val="both"/>
      </w:pPr>
      <w:r>
        <w:rPr>
          <w:rFonts w:ascii="Palatino Linotype" w:hAnsi="Palatino Linotype"/>
          <w:sz w:val="17"/>
        </w:rPr>
        <w:t>[8] P. Picher, S. Tenbohlen, M. Lachman, A. Scardazzi, and P. Patel, “Current state of transformer FRA interpretation,” Procedia Engineering, vol. 202, pp. 3-12, 2017. https://doi.org/10.1016/j.proeng.2017.09.689</w:t>
      </w:r>
    </w:p>
    <w:p>
      <w:pPr>
        <w:spacing w:before="20" w:after="40" w:line="240" w:lineRule="auto"/>
        <w:jc w:val="both"/>
      </w:pPr>
      <w:r>
        <w:rPr>
          <w:rFonts w:ascii="Palatino Linotype" w:hAnsi="Palatino Linotype"/>
          <w:sz w:val="17"/>
        </w:rPr>
        <w:t>[9] R. Khalilisenobari and J. Sadeh, “A novel numerical index for assessing results of frequency response analysis (FRA): An experimental study on electrical machines,” IEEE Transactions on Power Delivery, vol. 36, no. 4, pp. 2100-2108, 2021.</w:t>
      </w:r>
    </w:p>
    <w:p>
      <w:pPr>
        <w:spacing w:before="20" w:after="40" w:line="240" w:lineRule="auto"/>
        <w:jc w:val="both"/>
      </w:pPr>
      <w:r>
        <w:rPr>
          <w:rFonts w:ascii="Palatino Linotype" w:hAnsi="Palatino Linotype"/>
          <w:sz w:val="17"/>
        </w:rPr>
        <w:t>[10] K. Pourhossein, G. B. Gharehpetian, E. Rahimpour, and B. N. Araabi, “A probabilistic feature to determine type and extent of winding mechanical defects in power transformers,” Electric Power Systems Research, vol. 82, no. 1, pp. 1-10, 2012. https://doi.org/10.1016/j.epsr.2011.08.010</w:t>
      </w:r>
    </w:p>
    <w:p>
      <w:pPr>
        <w:spacing w:before="20" w:after="40" w:line="240" w:lineRule="auto"/>
        <w:jc w:val="both"/>
      </w:pPr>
      <w:r>
        <w:rPr>
          <w:rFonts w:ascii="Palatino Linotype" w:hAnsi="Palatino Linotype"/>
          <w:sz w:val="17"/>
        </w:rPr>
        <w:t>[11] A. Shintemirov, W. H. Tang, and Q. H. Wu, “Transformer winding condition assessment using frequency response analysis and evidential reasoning,” IET Electric Power Applications, vol. 4, no. 3, pp. 198-212, 2010. https://doi.org/10.1049/iet-epa.2009.0125</w:t>
      </w:r>
    </w:p>
    <w:p>
      <w:pPr>
        <w:spacing w:before="20" w:after="40" w:line="240" w:lineRule="auto"/>
        <w:jc w:val="both"/>
      </w:pPr>
      <w:r>
        <w:rPr>
          <w:rFonts w:ascii="Palatino Linotype" w:hAnsi="Palatino Linotype"/>
          <w:sz w:val="17"/>
        </w:rPr>
        <w:t>[12] C. Parkash and A. R. Abbasi, “Transformer’s frequency response analysis results interpretation using a novel cross entropy based methodology,” Scientific Reports, vol. 13, art. no. 5120, 2023. https://doi.org/10.1038/s41598-023-33606-0</w:t>
      </w:r>
    </w:p>
    <w:p>
      <w:pPr>
        <w:spacing w:before="20" w:after="40" w:line="240" w:lineRule="auto"/>
        <w:jc w:val="both"/>
      </w:pPr>
      <w:r>
        <w:rPr>
          <w:rFonts w:ascii="Palatino Linotype" w:hAnsi="Palatino Linotype"/>
          <w:sz w:val="17"/>
        </w:rPr>
        <w:t>[13] M. Bigdeli, M. Vakilian, and E. Rahimpour, “Transformer winding faults classification based on transfer function analysis by support vector machine,” IET Electric Power Applications, vol. 6, no. 5, pp. 268-276, 2012. https://doi.org/10.1049/iet-epa.2011.0232</w:t>
      </w:r>
    </w:p>
    <w:p>
      <w:pPr>
        <w:spacing w:before="20" w:after="40" w:line="240" w:lineRule="auto"/>
        <w:jc w:val="both"/>
      </w:pPr>
      <w:r>
        <w:rPr>
          <w:rFonts w:ascii="Palatino Linotype" w:hAnsi="Palatino Linotype"/>
          <w:sz w:val="17"/>
        </w:rPr>
        <w:t>[14] Z. Zhao, C. Tang, Q. Zhou, L. Xu, Y. Gui, and C. Yao, “Identification of power transformer winding mechanical fault types based on online IFRA by support vector machine,” Energies, vol. 10, no. 12, art. no. 2022, 2017. https://doi.org/10.3390/en10122022</w:t>
      </w:r>
    </w:p>
    <w:p>
      <w:pPr>
        <w:spacing w:before="20" w:after="40" w:line="240" w:lineRule="auto"/>
        <w:jc w:val="both"/>
      </w:pPr>
      <w:r>
        <w:rPr>
          <w:rFonts w:ascii="Palatino Linotype" w:hAnsi="Palatino Linotype"/>
          <w:sz w:val="17"/>
        </w:rPr>
        <w:t>[15] M. Tahir and S. Tenbohlen, “Transformer winding condition assessment using feedforward artificial neural network and frequency response measurements,” Energies, vol. 14, no. 11, art. no. 3227, 2021. https://doi.org/10.3390/en14113227</w:t>
      </w:r>
    </w:p>
    <w:p>
      <w:pPr>
        <w:spacing w:before="20" w:after="40" w:line="240" w:lineRule="auto"/>
        <w:jc w:val="both"/>
      </w:pPr>
      <w:r>
        <w:rPr>
          <w:rFonts w:ascii="Palatino Linotype" w:hAnsi="Palatino Linotype"/>
          <w:sz w:val="17"/>
        </w:rPr>
        <w:t>[16] M. Tahir and S. Tenbohlen, “Transformer winding fault classification and condition assessment based on random forest using FRA,” Energies, vol. 16, no. 9, art. no. 3714, 2023. https://doi.org/10.3390/en16093714</w:t>
      </w:r>
    </w:p>
    <w:p>
      <w:pPr>
        <w:spacing w:before="20" w:after="40" w:line="240" w:lineRule="auto"/>
        <w:jc w:val="both"/>
      </w:pPr>
      <w:r>
        <w:rPr>
          <w:rFonts w:ascii="Palatino Linotype" w:hAnsi="Palatino Linotype"/>
          <w:sz w:val="17"/>
        </w:rPr>
        <w:t>[17] Z. Zhao, C. Yao, C. Tang, C. Li, F. Yan, and S. Islam, “Diagnosing transformer winding deformation faults based on the analysis of binary image obtained from FRA signature,” IEEE Access, vol. 7, pp. 40463-40474, 2019. https://doi.org/10.1109/ACCESS.2019.2907648</w:t>
      </w:r>
    </w:p>
    <w:p>
      <w:pPr>
        <w:spacing w:before="20" w:after="40" w:line="240" w:lineRule="auto"/>
        <w:jc w:val="both"/>
      </w:pPr>
      <w:r>
        <w:rPr>
          <w:rFonts w:ascii="Palatino Linotype" w:hAnsi="Palatino Linotype"/>
          <w:sz w:val="17"/>
        </w:rPr>
        <w:t>[18] L. Zhou, J. Jiang, X. Zhou, Z. Wu, T. Lin, and D. Wang, “Detection of transformer winding faults using FRA and image features,” IET Electric Power Applications, vol. 14, no. 6, pp. 972-980, 2020. https://doi.org/10.1049/iet-epa.2019.0933</w:t>
      </w:r>
    </w:p>
    <w:p>
      <w:pPr>
        <w:spacing w:before="20" w:after="40" w:line="240" w:lineRule="auto"/>
        <w:jc w:val="both"/>
      </w:pPr>
      <w:r>
        <w:rPr>
          <w:rFonts w:ascii="Palatino Linotype" w:hAnsi="Palatino Linotype"/>
          <w:sz w:val="17"/>
        </w:rPr>
        <w:t>[19] A. Moradzadeh, H. Moayyed, B. Mohammadi-Ivatloo, G. B. Gharehpetian, and A. P. Aguiar, “Turn-to-turn short circuit fault localization in transformer winding via image processing and deep learning method,” IEEE Transactions on Industrial Informatics, vol. 18, no. 7, pp. 4417-4426, 2022. https://doi.org/10.1109/TII.2021.3105932</w:t>
      </w:r>
    </w:p>
    <w:p>
      <w:pPr>
        <w:spacing w:before="20" w:after="40" w:line="240" w:lineRule="auto"/>
        <w:jc w:val="both"/>
      </w:pPr>
      <w:r>
        <w:rPr>
          <w:rFonts w:ascii="Palatino Linotype" w:hAnsi="Palatino Linotype"/>
          <w:sz w:val="17"/>
        </w:rPr>
        <w:t>[20] G. Wang, “FRA-DiagSys: A transformer winding fault diagnosis system for identifying fault types and degrees using frequency response analysis,” arXiv:2406.19623, 2024.</w:t>
      </w:r>
    </w:p>
    <w:p>
      <w:pPr>
        <w:spacing w:before="20" w:after="40" w:line="240" w:lineRule="auto"/>
        <w:jc w:val="both"/>
      </w:pPr>
      <w:r>
        <w:rPr>
          <w:rFonts w:ascii="Palatino Linotype" w:hAnsi="Palatino Linotype"/>
          <w:sz w:val="17"/>
        </w:rPr>
        <w:t>[21] M. Phillip, A. Singh, and C. J. Ramlal, “Narrow band frequency response analysis of power transformers with deep learning,” Energies, vol. 16, no. 17, art. no. 6347, 2023.</w:t>
      </w:r>
    </w:p>
    <w:p>
      <w:pPr>
        <w:spacing w:before="20" w:after="40" w:line="240" w:lineRule="auto"/>
        <w:jc w:val="both"/>
      </w:pPr>
      <w:r>
        <w:rPr>
          <w:rFonts w:ascii="Palatino Linotype" w:hAnsi="Palatino Linotype"/>
          <w:sz w:val="17"/>
        </w:rPr>
        <w:t>[22] J. Duan, Y. He, and X. Wu, “Serial transfer learning (STL) theory for processing data insufficiency: Fault diagnosis of transformer windings,” International Journal of Electrical Power &amp; Energy Systems, vol. 130, art. no. 106965, 2021. https://doi.org/10.1016/j.ijepes.2021.106965</w:t>
      </w:r>
    </w:p>
    <w:p>
      <w:pPr>
        <w:spacing w:before="20" w:after="40" w:line="240" w:lineRule="auto"/>
        <w:jc w:val="both"/>
      </w:pPr>
      <w:r>
        <w:rPr>
          <w:rFonts w:ascii="Palatino Linotype" w:hAnsi="Palatino Linotype"/>
          <w:sz w:val="17"/>
        </w:rPr>
        <w:t>[23] S. Kiranyaz, O. Avci, O. Abdeljaber, T. Ince, M. Gabbouj, and D. J. Inman, “1D convolutional neural networks and applications: A survey,” Mechanical Systems and Signal Processing, vol. 151, art. no. 107398, 2021.</w:t>
      </w:r>
    </w:p>
    <w:p>
      <w:pPr>
        <w:spacing w:before="20" w:after="40" w:line="240" w:lineRule="auto"/>
        <w:jc w:val="both"/>
      </w:pPr>
      <w:r>
        <w:rPr>
          <w:rFonts w:ascii="Palatino Linotype" w:hAnsi="Palatino Linotype"/>
          <w:sz w:val="17"/>
        </w:rPr>
        <w:t>[24] G. E. Hinton and R. R. Salakhutdinov, “Reducing the dimensionality of data with neural networks,” Science, vol. 313, no. 5786, pp. 504-507, 2006.</w:t>
      </w:r>
    </w:p>
    <w:p>
      <w:pPr>
        <w:spacing w:before="20" w:after="40" w:line="240" w:lineRule="auto"/>
        <w:jc w:val="both"/>
      </w:pPr>
      <w:r>
        <w:rPr>
          <w:rFonts w:ascii="Palatino Linotype" w:hAnsi="Palatino Linotype"/>
          <w:sz w:val="17"/>
        </w:rPr>
        <w:t>[25] M. Sakurada and T. Yairi, “Anomaly detection using autoencoders with nonlinear dimensionality reduction,” in Proc. MLSDA Workshop Mach. Learn. Sensory Data Anal., 2014, pp. 4-11.</w:t>
      </w:r>
    </w:p>
    <w:p>
      <w:pPr>
        <w:spacing w:before="20" w:after="40" w:line="240" w:lineRule="auto"/>
        <w:jc w:val="both"/>
      </w:pPr>
      <w:r>
        <w:rPr>
          <w:rFonts w:ascii="Palatino Linotype" w:hAnsi="Palatino Linotype"/>
          <w:sz w:val="17"/>
        </w:rPr>
        <w:t>[26] V. Chandola, A. Banerjee, and V. Kumar, “Anomaly detection: A survey,” ACM Computing Surveys, vol. 41, no. 3, art. no. 15, 2009.</w:t>
      </w:r>
    </w:p>
    <w:p>
      <w:pPr>
        <w:spacing w:before="20" w:after="40" w:line="240" w:lineRule="auto"/>
        <w:jc w:val="both"/>
      </w:pPr>
      <w:r>
        <w:rPr>
          <w:rFonts w:ascii="Palatino Linotype" w:hAnsi="Palatino Linotype"/>
          <w:sz w:val="17"/>
        </w:rPr>
        <w:t>[27] J. Tobin et al., “Domain randomization for transferring deep neural networks from simulation to the real world,” in Proc. IEEE/RSJ Int. Conf. Intelligent Robots and Systems (IROS), 2017, pp. 23-30.</w:t>
      </w:r>
    </w:p>
    <w:p>
      <w:pPr>
        <w:spacing w:before="20" w:after="40" w:line="240" w:lineRule="auto"/>
        <w:jc w:val="both"/>
      </w:pPr>
      <w:r>
        <w:rPr>
          <w:rFonts w:ascii="Palatino Linotype" w:hAnsi="Palatino Linotype"/>
          <w:sz w:val="17"/>
        </w:rPr>
        <w:t>[28] R. T. Fielding, “Architectural styles and the design of network-based software architectures,” Ph.D. dissertation, Dept. Inf. Comput. Sci., Univ. California, Irvine, CA, USA, 2000.</w:t>
      </w:r>
    </w:p>
    <w:p>
      <w:pPr>
        <w:spacing w:before="20" w:after="40" w:line="240" w:lineRule="auto"/>
        <w:jc w:val="both"/>
      </w:pPr>
      <w:r>
        <w:rPr>
          <w:rFonts w:ascii="Palatino Linotype" w:hAnsi="Palatino Linotype"/>
          <w:sz w:val="17"/>
        </w:rPr>
        <w:t>[29] M. Jones, J. Bradley, and N. Sakimura, “JSON Web Token (JWT),” Internet Engineering Task Force, RFC 7519, May 2015.</w:t>
      </w:r>
    </w:p>
    <w:p>
      <w:pPr>
        <w:spacing w:before="20" w:after="40" w:line="240" w:lineRule="auto"/>
        <w:jc w:val="both"/>
      </w:pPr>
      <w:r>
        <w:rPr>
          <w:rFonts w:ascii="Palatino Linotype" w:hAnsi="Palatino Linotype"/>
          <w:sz w:val="17"/>
        </w:rPr>
        <w:t>[30] N. Srivastava, G. Hinton, A. Krizhevsky, I. Sutskever, and R. Salakhutdinov, “Dropout: A simple way to prevent neural networks from overfitting,” Journal of Machine Learning Research, vol. 15, no. 56, pp. 1929-1958, 2014.</w:t>
      </w:r>
    </w:p>
    <w:p>
      <w:pPr>
        <w:spacing w:before="20" w:after="40" w:line="240" w:lineRule="auto"/>
        <w:jc w:val="both"/>
      </w:pPr>
      <w:r>
        <w:rPr>
          <w:rFonts w:ascii="Palatino Linotype" w:hAnsi="Palatino Linotype"/>
          <w:sz w:val="17"/>
        </w:rPr>
        <w:t>[31] A. Paszke et al., “PyTorch: An imperative style, high-performance deep learning library,” in Advances in Neural Information Processing Systems (NeurIPS), vol. 32, 2019.</w:t>
      </w:r>
    </w:p>
    <w:p>
      <w:pPr>
        <w:spacing w:before="20" w:after="40" w:line="240" w:lineRule="auto"/>
        <w:jc w:val="both"/>
      </w:pPr>
      <w:r>
        <w:rPr>
          <w:rFonts w:ascii="Palatino Linotype" w:hAnsi="Palatino Linotype"/>
          <w:sz w:val="17"/>
        </w:rPr>
        <w:t>[32] D. P. Kingma and J. Ba, “Adam: A method for stochastic optimization,” in Proc. Int. Conf. Learning Representations (ICLR), 2015.</w:t>
      </w:r>
    </w:p>
    <w:p>
      <w:pPr>
        <w:spacing w:before="20" w:after="40" w:line="240" w:lineRule="auto"/>
        <w:jc w:val="both"/>
      </w:pPr>
      <w:r>
        <w:rPr>
          <w:rFonts w:ascii="Palatino Linotype" w:hAnsi="Palatino Linotype"/>
          <w:sz w:val="17"/>
        </w:rPr>
        <w:t>[33] F. Pedregosa et al., “Scikit-learn: Machine learning in Python,” Journal of Machine Learning Research, vol. 12, pp. 2825-2830, 2011.</w:t>
      </w:r>
    </w:p>
    <w:p>
      <w:pPr>
        <w:spacing w:before="20" w:after="40" w:line="240" w:lineRule="auto"/>
        <w:jc w:val="both"/>
      </w:pPr>
      <w:r>
        <w:rPr>
          <w:rFonts w:ascii="Palatino Linotype" w:hAnsi="Palatino Linotype"/>
          <w:sz w:val="17"/>
        </w:rPr>
        <w:t>[34] C. R. Reddy, J. H. Choi, and B. Pangedaiah, “Absolute positive sequence voltage difference based passive islanding detection in micro grids,” IEEE Transactions on Industry Applications, vol. 60, no. 3, pp. 4633-4641, 2024. https://doi.org/10.1109/TIA.2024.3360372</w:t>
      </w:r>
    </w:p>
    <w:p>
      <w:pPr>
        <w:spacing w:before="20" w:after="40" w:line="240" w:lineRule="auto"/>
        <w:jc w:val="both"/>
      </w:pPr>
      <w:r>
        <w:rPr>
          <w:rFonts w:ascii="Palatino Linotype" w:hAnsi="Palatino Linotype"/>
          <w:sz w:val="17"/>
        </w:rPr>
        <w:t>[35] A. K. Vali, P. S. Varma, and C. R. Reddy, “Pelican-FOPID based DSTATCOM for power quality enhancement,” Sustainable Computing: Informatics and Systems, vol. 42, art. no. 100978, 2024. https://doi.org/10.1016/j.suscom.2024.100978</w:t>
      </w:r>
    </w:p>
    <w:p w:rsidR="009E0D69" w:rsidRPr="009E0D69" w:rsidRDefault="009E0D69" w:rsidP="00703F2A">
      <w:pPr>
        <w:pStyle w:val="ListParagraph"/>
        <w:numPr>
          <w:ilvl w:val="0"/>
          <w:numId w:val="2"/>
        </w:numPr>
        <w:pBdr>
          <w:top w:val="nil"/>
          <w:left w:val="nil"/>
          <w:bottom w:val="nil"/>
          <w:right w:val="nil"/>
          <w:between w:val="nil"/>
        </w:pBdr>
        <w:tabs>
          <w:tab w:val="left" w:pos="360"/>
        </w:tabs>
        <w:spacing w:line="240" w:lineRule="auto"/>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sidRPr="0096233C">
      <w:rPr>
        <w:rFonts w:ascii="Palatino Linotype" w:hAnsi="Palatino Linotype" w:cs="Arial"/>
        <w:sz w:val="20"/>
        <w:szCs w:val="20"/>
      </w:rPr>
      <w:t xml:space="preserve">Harini Panigrahi </w:t>
    </w:r>
    <w:proofErr w:type="gramStart"/>
    <w:r w:rsidRPr="0096233C">
      <w:rPr>
        <w:rFonts w:ascii="Palatino Linotype" w:hAnsi="Palatino Linotype" w:cs="Arial"/>
        <w:sz w:val="20"/>
        <w:szCs w:val="20"/>
      </w:rPr>
      <w:t>et.al.,</w:t>
    </w:r>
    <w:proofErr w:type="gramEnd"/>
    <w:r w:rsidRPr="0096233C">
      <w:rPr>
        <w:rFonts w:ascii="Palatino Linotype" w:hAnsi="Palatino Linotype" w:cs="Arial"/>
        <w:sz w:val="20"/>
        <w:szCs w:val="20"/>
      </w:rPr>
      <w:t xml:space="preserve">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