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240"/>
        <w:jc w:val="center"/>
        <w:rPr>
          <w:rFonts w:ascii="Times New Roman" w:hAnsi="Times New Roman" w:cs="Times New Roman"/>
          <w:b/>
          <w:sz w:val="48"/>
          <w:szCs w:val="48"/>
        </w:rPr>
      </w:pPr>
      <w:r/>
      <w:r>
        <w:rPr>
          <w:rFonts w:ascii="Times New Roman" w:hAnsi="Times New Roman"/>
          <w:b/>
          <w:color w:val="000000"/>
          <w:sz w:val="44"/>
        </w:rPr>
        <w:t>INTELLIFRA: DEEP LEARNING FRAMEWORK FOR AUTOMATED POWER TRANSFORMER FAULT CLASSIFICATION USING SWEEP FREQUENCY RESPONSE ANALYSIS</w:t>
      </w:r>
    </w:p>
    <w:p w:rsidR="0060487A" w:rsidRPr="0060487A" w:rsidRDefault="0060487A" w:rsidP="0060487A">
      <w:pPr>
        <w:spacing w:before="240" w:after="0" w:line="240" w:lineRule="auto"/>
        <w:jc w:val="center"/>
        <w:rPr>
          <w:rFonts w:ascii="Times New Roman" w:hAnsi="Times New Roman" w:cs="Times New Roman"/>
          <w:sz w:val="24"/>
          <w:szCs w:val="24"/>
        </w:rPr>
      </w:pPr>
    </w:p>
    <w:p w:rsidR="0060487A" w:rsidRPr="007000AE" w:rsidRDefault="003F2D59" w:rsidP="005A474D">
      <w:pPr>
        <w:spacing w:after="120" w:line="600" w:lineRule="auto"/>
        <w:jc w:val="center"/>
        <w:rPr>
          <w:rFonts w:ascii="Times New Roman" w:hAnsi="Times New Roman"/>
          <w:sz w:val="24"/>
          <w:szCs w:val="24"/>
          <w:lang w:val="en-GB"/>
        </w:rPr>
      </w:pPr>
      <w:r>
        <w:rPr>
          <w:rFonts w:ascii="Times New Roman" w:hAnsi="Times New Roman"/>
          <w:sz w:val="24"/>
          <w:szCs w:val="24"/>
          <w:lang w:val="en-GB"/>
        </w:rPr>
        <w:t>Harini Panigrahi</w:t>
      </w:r>
      <w:r w:rsidR="009D194E">
        <w:rPr>
          <w:rFonts w:ascii="Times New Roman" w:hAnsi="Times New Roman"/>
          <w:sz w:val="24"/>
          <w:szCs w:val="24"/>
          <w:lang w:val="en-GB"/>
        </w:rPr>
        <w:t>¹</w:t>
      </w:r>
      <w:r>
        <w:rPr>
          <w:rFonts w:ascii="Times New Roman" w:hAnsi="Times New Roman"/>
          <w:sz w:val="24"/>
          <w:szCs w:val="24"/>
          <w:lang w:val="en-GB"/>
        </w:rPr>
      </w:r>
      <w:r w:rsidR="000573BB">
        <w:rPr>
          <w:rFonts w:ascii="Times New Roman" w:hAnsi="Times New Roman"/>
          <w:sz w:val="24"/>
          <w:szCs w:val="24"/>
          <w:vertAlign w:val="superscript"/>
          <w:lang w:val="en-GB"/>
        </w:rPr>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4"/>
          <w:szCs w:val="24"/>
          <w:lang w:val="en-GB"/>
        </w:rPr>
        <w:t xml:space="preserve">, </w:t>
      </w:r>
      <w:r>
        <w:rPr>
          <w:rFonts w:ascii="Times New Roman" w:hAnsi="Times New Roman"/>
          <w:sz w:val="24"/>
          <w:szCs w:val="24"/>
          <w:lang w:val="en-GB"/>
        </w:rPr>
        <w:t>Yooraj Gole¹</w:t>
      </w:r>
      <w:r w:rsidR="004B20D4">
        <w:rPr>
          <w:rFonts w:ascii="Times New Roman" w:hAnsi="Times New Roman"/>
          <w:sz w:val="24"/>
          <w:szCs w:val="24"/>
          <w:lang w:val="en-GB"/>
        </w:rPr>
        <w:t xml:space="preserve">, </w:t>
      </w:r>
      <w:r w:rsidR="009D194E">
        <w:rPr>
          <w:rFonts w:ascii="Times New Roman" w:hAnsi="Times New Roman"/>
          <w:sz w:val="24"/>
          <w:szCs w:val="24"/>
          <w:lang w:val="en-GB"/>
        </w:rPr>
        <w:t>Prapti Bhayde¹</w:t>
      </w:r>
      <w:r>
        <w:rPr>
          <w:rFonts w:ascii="Times New Roman" w:hAnsi="Times New Roman"/>
          <w:sz w:val="24"/>
          <w:szCs w:val="24"/>
          <w:lang w:val="en-GB"/>
        </w:rPr>
        <w:t xml:space="preserve">, </w:t>
      </w:r>
      <w:r w:rsidR="000573BB">
        <w:rPr>
          <w:rFonts w:ascii="Times New Roman" w:hAnsi="Times New Roman"/>
          <w:sz w:val="24"/>
          <w:szCs w:val="24"/>
          <w:vertAlign w:val="superscript"/>
          <w:lang w:val="en-GB"/>
        </w:rPr>
        <w:t>Neha Verma¹</w:t>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4"/>
          <w:szCs w:val="24"/>
          <w:lang w:val="en-GB"/>
        </w:rPr>
        <w:t xml:space="preserve">, </w:t>
      </w:r>
      <w:proofErr w:type="spellStart"/>
      <w:r w:rsidR="007000AE">
        <w:rPr>
          <w:rFonts w:ascii="Times New Roman" w:hAnsi="Times New Roman"/>
          <w:sz w:val="24"/>
          <w:szCs w:val="24"/>
          <w:lang w:val="en-GB"/>
        </w:rPr>
        <w:t>Bhanu Tekwani¹*</w:t>
      </w:r>
      <w:proofErr w:type="spellEnd"/>
      <w:r w:rsidR="007000AE">
        <w:rPr>
          <w:rFonts w:ascii="Times New Roman" w:hAnsi="Times New Roman"/>
          <w:sz w:val="24"/>
          <w:szCs w:val="24"/>
          <w:lang w:val="en-GB"/>
        </w:rPr>
        <w:t xml:space="preserve"> (12 pt)</w:t>
      </w:r>
      <w:r w:rsidR="00FF1092">
        <w:rPr>
          <w:rFonts w:ascii="Times New Roman" w:hAnsi="Times New Roman"/>
          <w:sz w:val="24"/>
          <w:szCs w:val="24"/>
          <w:lang w:val="en-GB"/>
        </w:rPr>
        <w:t xml:space="preserve"> (TNR)</w:t>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40" w:lineRule="auto" w:before="80" w:after="80"/>
              <w:jc w:val="both"/>
              <w:rPr>
                <w:rFonts w:ascii="Palatino Linotype" w:hAnsi="Palatino Linotype"/>
                <w:sz w:val="20"/>
                <w:szCs w:val="24"/>
                <w:lang w:val="en-GB"/>
              </w:rPr>
            </w:pPr>
            <w:r/>
            <w:r>
              <w:rPr>
                <w:rFonts w:ascii="Palatino Linotype" w:hAnsi="Palatino Linotype"/>
                <w:b/>
                <w:sz w:val="20"/>
              </w:rPr>
              <w:t xml:space="preserve">Abstract: </w:t>
            </w:r>
            <w:r>
              <w:rPr>
                <w:rFonts w:ascii="Palatino Linotype" w:hAnsi="Palatino Linotype"/>
                <w:sz w:val="20"/>
              </w:rPr>
              <w:t>Sweep Frequency Response Analysis (SFRA) is a premier non-destructive diagnostic methodology for identifying mechanical deformations, winding displacements, and core anomalies in power transformers. Although standardized measurement setups exist under IEEE Std C57.149-2012 and IEC 60076-18, the practical interpretation of SFRA curves remains largely qualitative and heavily dependent on human specialist expertise. This paper presents IntelliFRA, an automated diagnostic framework combining a specialized 1D Convolutional Neural Network (1D-CNN) for multi-class severity classification and an undercomplete Autoencoder for anomaly detection. To address the scarcity of physical fault sweeps, a physics-inspired ladder winding synthesis model is formulated without artificial monotonic constraints, simulating six physical fault archetypes across ten coupled disk modes. Through 5-fold stratified cross-validation on 12,000 synthesized frequency responses (20 Hz to 2 MHz), the proposed 1D-CNN achieves a classification accuracy of 81.03% ± 1.60% (Macro F1 = 0.8234 ± 0.0149), outperforming comparative baselines including Random Forest (72.57%), Support Vector Machines (66.12%), and Multi-Layer Perceptrons (64.95%). An empirical ablation study demonstrates that end-to-end learned convolutional features outperform manual heuristic shape rules by 18.37%. Furthermore, the framework demonstrates strong out-of-distribution robustness (56.88% accuracy under ±15% frequency drift and elevated noise) and is validated on real industrial power transformer frequency sweeps from Bharat Heavy Electricals Limited (BHEL), confirming healthy symmetrical phase correlation (CC = 0.9847). Inference latency benchmarking over 1,000 CPU executions confirms a sub-millisecond execution time of 0.247 ms (p95), establishing the framework's readiness for real-time substation condition monitoring. (10 pt, Palatino Linotype)</w:t>
            </w:r>
          </w:p>
          <w:p>
            <w:pPr>
              <w:spacing w:line="240" w:lineRule="auto" w:before="40" w:after="80"/>
              <w:jc w:val="both"/>
            </w:pPr>
            <w:r>
              <w:rPr>
                <w:rFonts w:ascii="Palatino Linotype" w:hAnsi="Palatino Linotype"/>
                <w:b/>
                <w:sz w:val="20"/>
              </w:rPr>
              <w:t xml:space="preserve">Keywords: </w:t>
            </w:r>
            <w:r>
              <w:rPr>
                <w:rFonts w:ascii="Palatino Linotype" w:hAnsi="Palatino Linotype"/>
                <w:sz w:val="20"/>
              </w:rPr>
              <w:t>Sweep Frequency Response Analysis; Power Transformer Fault Diagnosis; 1D Convolutional Neural Network; Autoencoder; Anomaly Detection; Physics-Inspired Synthesis; Condition Monitoring. (10 pt, Palatino Linotype)</w:t>
            </w:r>
          </w:p>
        </w:tc>
      </w:tr>
    </w:tbl>
    <w:p w:rsidR="00FB0A6D" w:rsidRDefault="00FB0A6D" w:rsidP="00FB0A6D">
      <w:pPr>
        <w:pStyle w:val="ListParagraph"/>
        <w:ind w:left="0"/>
        <w:rPr>
          <w:rFonts w:ascii="Times New Roman" w:hAnsi="Times New Roman" w:cs="Times New Roman"/>
          <w:b/>
          <w:sz w:val="20"/>
          <w:szCs w:val="20"/>
        </w:rPr>
      </w:pPr>
    </w:p>
    <w:p w:rsidR="00FB0A6D" w:rsidRDefault="00FB0A6D" w:rsidP="00FB0A6D">
      <w:pPr>
        <w:pStyle w:val="ListParagraph"/>
        <w:numPr>
          <w:ilvl w:val="0"/>
          <w:numId w:val="1"/>
        </w:numPr>
        <w:spacing w:before="24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p>
    <w:p w:rsidR="005467C7" w:rsidRPr="009D24DC" w:rsidRDefault="00FA2399" w:rsidP="002A5870">
      <w:pPr>
        <w:pStyle w:val="ListParagraph"/>
        <w:numPr>
          <w:ilvl w:val="0"/>
          <w:numId w:val="1"/>
        </w:numPr>
        <w:spacing w:before="2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Power transformers sit at the foundation of modern high-voltage transmission and distribution networks. Catastrophic mechanical failures—typically provoked by severe external through-fault short circuits, physical transit vibration, or long-term thermal degradation—incur massive capital losses and broad grid instability [1]. To ensure continuous grid reliability, asset management programs mandate proactive, non-destructive condition assessment.</w:t>
        <w:br/>
        <w:br/>
        <w:t>Sweep Frequency Response Analysis (SFRA) has emerged internationally as the most sensitive diagnostic tool for detecting internal mechanical shifts, core displacements, and winding distortions without dismantling the tank [2]. An SFRA instrument injects a low-voltage sinusoidal excitation over a wide logarithmic frequency spectrum (20 Hz to 2 MHz) into one terminal and records the transferred frequency response H(f) = 20 log10(|Vout(f) / Vin(f)|). The resulting spectral curve acts as a high-resolution fingerprint of the distributed R-L-C circuit of the transformer windings, core, and tank geometry [3].</w:t>
      </w: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0573BB" w:rsidRPr="00B6748F" w:rsidRDefault="000573BB" w:rsidP="000573BB">
      <w:pPr>
        <w:spacing w:after="0" w:line="240" w:lineRule="auto"/>
        <w:jc w:val="both"/>
        <w:rPr>
          <w:rFonts w:ascii="Palatino Linotype" w:eastAsia="Palatino Linotype" w:hAnsi="Palatino Linotype" w:cs="Palatino Linotype"/>
          <w:sz w:val="12"/>
          <w:szCs w:val="12"/>
        </w:rPr>
      </w:pP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b/>
          <w:color w:val="000000"/>
          <w:sz w:val="20"/>
          <w:szCs w:val="20"/>
        </w:rPr>
      </w:pPr>
      <w:r>
        <w:rPr>
          <w:rFonts w:ascii="Palatino Linotype" w:hAnsi="Palatino Linotype"/>
          <w:b/>
          <w:sz w:val="20"/>
        </w:rPr>
        <w:t>History</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Received: 01-03-2025;</w:t>
        <w:tab/>
        <w:tab/>
        <w:t>Revised: 15-05-2025;</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Accepted: 30-05-2025</w:t>
        <w:tab/>
        <w:tab/>
      </w:r>
    </w:p>
    <w:p w:rsidR="000573BB" w:rsidRPr="00B6748F" w:rsidRDefault="000573BB" w:rsidP="000573BB">
      <w:pPr>
        <w:pBdr>
          <w:top w:val="single" w:sz="4" w:space="1" w:color="000000"/>
        </w:pBdr>
        <w:shd w:val="clear" w:color="auto" w:fill="F2F2F2"/>
        <w:spacing w:before="240" w:after="0" w:line="240" w:lineRule="auto"/>
        <w:jc w:val="both"/>
        <w:rPr>
          <w:rFonts w:ascii="Times New Roman" w:hAnsi="Times New Roman" w:cs="Times New Roman"/>
          <w:sz w:val="20"/>
          <w:szCs w:val="24"/>
        </w:rPr>
      </w:pPr>
      <w:r>
        <w:rPr>
          <w:rFonts w:ascii="Palatino Linotype" w:hAnsi="Palatino Linotype"/>
          <w:b/>
          <w:noProof/>
          <w:sz w:val="20"/>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20"/>
        </w:rPr>
        <w:tab/>
      </w:r>
      <w:r w:rsidRPr="00BD3816">
        <w:rPr>
          <w:rFonts w:ascii="Palatino Linotype" w:hAnsi="Palatino Linotype" w:cs="Times New Roman"/>
          <w:b/>
          <w:sz w:val="20"/>
          <w:szCs w:val="24"/>
        </w:rPr>
        <w:t xml:space="preserve">Harini </w:t>
      </w:r>
      <w:proofErr w:type="spellStart"/>
      <w:r w:rsidRPr="00BD3816">
        <w:rPr>
          <w:rFonts w:ascii="Palatino Linotype" w:hAnsi="Palatino Linotype" w:cs="Times New Roman"/>
          <w:b/>
          <w:sz w:val="20"/>
          <w:szCs w:val="24"/>
        </w:rPr>
        <w:t>Panigrahi</w:t>
      </w:r>
      <w:proofErr w:type="spellEnd"/>
    </w:p>
    <w:p w:rsidR="000573BB" w:rsidRPr="00496567" w:rsidRDefault="001D1909" w:rsidP="00496567">
      <w:pPr>
        <w:pBdr>
          <w:top w:val="single" w:sz="4" w:space="1" w:color="000000"/>
        </w:pBdr>
        <w:shd w:val="clear" w:color="auto" w:fill="F2F2F2"/>
        <w:spacing w:after="0" w:line="240" w:lineRule="auto"/>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20"/>
        </w:rPr>
        <w:t>harinipanigrahi15@gmail.com</w:t>
      </w:r>
    </w:p>
    <w:p w:rsidR="000573BB" w:rsidRPr="00B6748F" w:rsidRDefault="000573BB" w:rsidP="000573BB">
      <w:pPr>
        <w:pBdr>
          <w:top w:val="single" w:sz="4" w:space="1" w:color="000000"/>
        </w:pBdr>
        <w:shd w:val="clear" w:color="auto" w:fill="F2F2F2"/>
        <w:spacing w:before="240" w:after="0" w:line="240" w:lineRule="auto"/>
        <w:jc w:val="both"/>
        <w:rPr>
          <w:rFonts w:ascii="Palatino Linotype" w:hAnsi="Palatino Linotype" w:cs="Times New Roman"/>
          <w:sz w:val="20"/>
          <w:szCs w:val="24"/>
        </w:rPr>
      </w:pPr>
      <w:r>
        <w:rPr>
          <w:rFonts w:ascii="Palatino Linotype" w:hAnsi="Palatino Linotype"/>
          <w:sz w:val="20"/>
        </w:rPr>
        <w:t>¹Department of Information Technology, Vidyalankar Institute of Technology, Mumbai – 400037, India</w:t>
      </w:r>
    </w:p>
    <w:p w:rsidR="000573BB" w:rsidRPr="00B6748F" w:rsidRDefault="000573BB" w:rsidP="000573BB">
      <w:pPr>
        <w:pBdr>
          <w:top w:val="single" w:sz="4" w:space="1" w:color="000000"/>
        </w:pBdr>
        <w:shd w:val="clear" w:color="auto" w:fill="F2F2F2"/>
        <w:spacing w:after="0" w:line="240" w:lineRule="auto"/>
        <w:jc w:val="both"/>
        <w:rPr>
          <w:rFonts w:ascii="Palatino Linotype" w:eastAsia="Palatino Linotype" w:hAnsi="Palatino Linotype" w:cs="Palatino Linotype"/>
          <w:color w:val="000000"/>
          <w:sz w:val="20"/>
          <w:szCs w:val="20"/>
        </w:rPr>
      </w:pP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5A474D" w:rsidRPr="009D24DC" w:rsidRDefault="00B313DF" w:rsidP="00703F2A">
      <w:pPr>
        <w:pBdr>
          <w:top w:val="nil"/>
          <w:left w:val="nil"/>
          <w:bottom w:val="nil"/>
          <w:right w:val="nil"/>
          <w:between w:val="nil"/>
        </w:pBdr>
        <w:spacing w:before="240" w:line="240" w:lineRule="auto"/>
        <w:ind w:firstLine="360"/>
        <w:jc w:val="both"/>
        <w:rPr>
          <w:rFonts w:ascii="Palatino Linotype" w:hAnsi="Palatino Linotype" w:cs="Times New Roman"/>
          <w:sz w:val="20"/>
          <w:szCs w:val="20"/>
        </w:rPr>
      </w:pPr>
      <w:r>
        <w:rPr>
          <w:rFonts w:ascii="Palatino Linotype" w:hAnsi="Palatino Linotype"/>
          <w:sz w:val="20"/>
        </w:rPr>
        <w:t>Although international standards such as IEEE Std C57.149-2012 and IEC 60076-18 specify test protocols, the interpretation of SFRA curves remains largely qualitative. Traditional numerical indicators—including Cross-Correlation (CC) and Absolute Sum of Logarithmic Error (ASLE)—yield scalar scores across sub-bands but cannot localize fault modes or distinguish between mechanical and dielectric degradation [4].</w:t>
        <w:br/>
        <w:br/>
        <w:t>Machine learning approaches have been proposed, yet existing studies suffer from: (1) over-reliance on biased synthetic generators where normal curves are artificially forced to be monotonic; (2) lack of comparative baselines (SVM, Random Forest, MLP) evaluated on identical splits; (3) unvalidated heuristic shape-override layers; (4) single-seed evaluation without confidence intervals; and (5) lack of validation on physical transformer test sweeps [5-7].</w:t>
        <w:br/>
        <w:br/>
        <w:t>This paper introduces IntelliFRA, an open and reproducible deep learning platform that resolves these scientific shortcomings. The major contributions are:</w:t>
        <w:br/>
        <w:t>1. Formulation of an unconstrained physics-inspired ladder winding model simulating six physical fault archetypes without artificial circular monotonicity.</w:t>
        <w:br/>
        <w:t>2. Comprehensive 5-fold stratified cross-validation comparing our 1D-CNN against SVM, Random Forest, and MLP baselines.</w:t>
        <w:br/>
        <w:t>3. An empirical ablation study proving that learned convolutional representations outperform manual heuristic shape rules by 18.37%.</w:t>
        <w:br/>
        <w:t>4. Quantitative validation on real industrial power transformer frequency sweeps from Bharat Heavy Electricals Limited (BHEL) conforming to IEEE Std C57.149.</w:t>
        <w:br/>
        <w:t>5. Sub-millisecond inference latency benchmarking (0.247 ms) and multi-user database isolation.</w:t>
      </w:r>
    </w:p>
    <w:p w:rsidR="00E257B1" w:rsidRPr="009D24DC" w:rsidRDefault="00E257B1"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Materials and Methods</w:t>
      </w:r>
    </w:p>
    <w:p w:rsidR="00E257B1" w:rsidRPr="009D24DC" w:rsidRDefault="00E257B1" w:rsidP="00703F2A">
      <w:pPr>
        <w:pBdr>
          <w:top w:val="nil"/>
          <w:left w:val="nil"/>
          <w:bottom w:val="nil"/>
          <w:right w:val="nil"/>
          <w:between w:val="nil"/>
        </w:pBdr>
        <w:spacing w:before="240" w:line="240" w:lineRule="auto"/>
        <w:jc w:val="both"/>
        <w:rPr>
          <w:rFonts w:ascii="Palatino Linotype" w:hAnsi="Palatino Linotype" w:cs="Times New Roman"/>
          <w:b/>
          <w:i/>
          <w:sz w:val="20"/>
          <w:szCs w:val="20"/>
        </w:rPr>
      </w:pPr>
      <w:r>
        <w:rPr>
          <w:rFonts w:ascii="Palatino Linotype" w:hAnsi="Palatino Linotype"/>
          <w:b/>
          <w:sz w:val="20"/>
        </w:rPr>
        <w:t xml:space="preserve"> 2.1 Physics-Inspired Distributed Ladder Winding Model</w:t>
      </w:r>
    </w:p>
    <w:p w:rsidR="00F8270A" w:rsidRDefault="00F8270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A transformer winding behaves as an active distributed multi-resonant R-L-C network. Following lumped-parameter ladder circuit theory, the winding is modeled as a cascade of N interconnected disk sections (N = 8 to 12). Each disk section k is characterized by series disk inductance Ls, series inter-turn capacitance Cs, shunt ground capacitance Cg to core and tank, and dielectric conductance G = ω Cs tan δ [5]. The overall magnitude transfer function |H(f)| across normalized frequency fn ∈ [0, 1] is represented as a superposition of Lorentzian modal resonance peaks.</w:t>
      </w:r>
    </w:p>
    <w:p w:rsidR="005048DC" w:rsidRPr="005048DC" w:rsidRDefault="005048DC" w:rsidP="005048DC">
      <w:pPr>
        <w:pBdr>
          <w:top w:val="nil"/>
          <w:left w:val="nil"/>
          <w:bottom w:val="nil"/>
          <w:right w:val="nil"/>
          <w:between w:val="nil"/>
        </w:pBdr>
        <w:spacing w:line="240" w:lineRule="auto"/>
        <w:jc w:val="both"/>
        <w:rPr>
          <w:rFonts w:ascii="Palatino Linotype" w:hAnsi="Palatino Linotype" w:cs="Times New Roman"/>
          <w:b/>
          <w:i/>
          <w:sz w:val="20"/>
          <w:szCs w:val="20"/>
        </w:rPr>
      </w:pPr>
      <w:r>
        <w:rPr>
          <w:rFonts w:ascii="Palatino Linotype" w:hAnsi="Palatino Linotype"/>
          <w:b/>
          <w:sz w:val="20"/>
        </w:rPr>
        <w:t>2.2 Mathematical Fault Archetype Formulation</w:t>
      </w:r>
    </w:p>
    <w:p w:rsidR="005048DC" w:rsidRPr="005048DC" w:rsidRDefault="005048DC" w:rsidP="005048DC">
      <w:pPr>
        <w:pBdr>
          <w:top w:val="nil"/>
          <w:left w:val="nil"/>
          <w:bottom w:val="nil"/>
          <w:right w:val="nil"/>
          <w:between w:val="nil"/>
        </w:pBdr>
        <w:spacing w:line="240" w:lineRule="auto"/>
        <w:ind w:firstLine="360"/>
        <w:jc w:val="both"/>
        <w:rPr>
          <w:rFonts w:ascii="Palatino Linotype" w:hAnsi="Palatino Linotype"/>
          <w:sz w:val="20"/>
          <w:szCs w:val="24"/>
          <w:lang w:val="en-GB"/>
        </w:rPr>
      </w:pPr>
      <w:r>
        <w:rPr>
          <w:rFonts w:ascii="Palatino Linotype" w:hAnsi="Palatino Linotype"/>
          <w:sz w:val="20"/>
        </w:rPr>
        <w:t>Six distinct physical failure mechanisms are mathematically parameterized:</w:t>
        <w:br/>
        <w:t>1. Normal Baseline (NF): Healthy winding structure exhibiting natural resonance peaks with instrument noise σ ∈ [0.005, 0.025].</w:t>
        <w:br/>
        <w:t>2. Dielectric Loss Factor (DLF): Moisture contamination and thermal degradation elevate tan δ ∈ [0.08, 0.50], reducing peak quality factors: Q_new = max(1.2, Q · (1 - 0.60 tan δ)).</w:t>
        <w:br/>
        <w:t>3. Clamping Looseness Fault (CLF): Mechanical loosening of tie-plates shifts low-frequency core/clamping modes (fn &lt; 0.35) downward by 4% to 12% and degrades clamping damping.</w:t>
        <w:br/>
        <w:t>4. Radial Deformation Fault (RDF): Radial buckling under hoop stress alters radial spacing, shifting resonant centers across all disks: f_new = f_0k · (1 ± 0.10).</w:t>
        <w:br/>
        <w:t>5. Inter-Disk Fault (IDF): Axial displacement splits single resonant peaks into paired double peaks separated by gap Δ ∈ [0.015, 0.045].</w:t>
        <w:br/>
        <w:t>6. Short-Circuit Fault (SCF): Inter-turn breakdown generates severe localized impedance notches, mid-band attenuation (-40% to -65%), and complete collapse of high-frequency resonances.</w:t>
      </w:r>
    </w:p>
    <w:p w:rsidR="00F8270A" w:rsidRPr="009D24DC" w:rsidRDefault="00F8270A" w:rsidP="00213274">
      <w:pPr>
        <w:pStyle w:val="ListParagraph"/>
        <w:numPr>
          <w:ilvl w:val="1"/>
          <w:numId w:val="1"/>
        </w:numPr>
        <w:pBdr>
          <w:top w:val="nil"/>
          <w:left w:val="nil"/>
          <w:bottom w:val="nil"/>
          <w:right w:val="nil"/>
          <w:between w:val="nil"/>
        </w:pBdr>
        <w:spacing w:before="240" w:line="240" w:lineRule="auto"/>
        <w:ind w:left="360"/>
        <w:rPr>
          <w:rFonts w:ascii="Palatino Linotype" w:hAnsi="Palatino Linotype" w:cs="Times New Roman"/>
          <w:b/>
          <w:i/>
          <w:sz w:val="20"/>
          <w:szCs w:val="20"/>
        </w:rPr>
      </w:pPr>
      <w:r/>
      <w:r>
        <w:rPr>
          <w:rFonts w:ascii="Palatino Linotype" w:hAnsi="Palatino Linotype"/>
          <w:b/>
          <w:sz w:val="20"/>
        </w:rPr>
        <w:t>Equations</w:t>
      </w:r>
    </w:p>
    <w:p w:rsidR="00F8270A" w:rsidRPr="009D24DC" w:rsidRDefault="00F8270A" w:rsidP="00703F2A">
      <w:pPr>
        <w:pBdr>
          <w:top w:val="nil"/>
          <w:left w:val="nil"/>
          <w:bottom w:val="nil"/>
          <w:right w:val="nil"/>
          <w:between w:val="nil"/>
        </w:pBdr>
        <w:spacing w:line="240" w:lineRule="auto"/>
        <w:ind w:firstLine="360"/>
        <w:jc w:val="both"/>
        <w:rPr>
          <w:rFonts w:ascii="Palatino Linotype" w:hAnsi="Palatino Linotype"/>
          <w:sz w:val="20"/>
          <w:szCs w:val="20"/>
          <w:lang w:val="en-GB"/>
        </w:rPr>
      </w:pPr>
      <w:r>
        <w:rPr>
          <w:rFonts w:ascii="Palatino Linotype" w:hAnsi="Palatino Linotype"/>
          <w:sz w:val="20"/>
        </w:rPr>
        <w:t>The magnitude response is computed via Eq. (1), which sums Lorentzian modal resonances weighted by capacitive damping:</w:t>
      </w:r>
    </w:p>
    <w:p w:rsidR="00066999" w:rsidRPr="009D24DC" w:rsidRDefault="00066999" w:rsidP="00703F2A">
      <w:pPr>
        <w:spacing w:line="240" w:lineRule="auto"/>
        <w:jc w:val="center"/>
        <w:rPr>
          <w:rFonts w:ascii="Palatino Linotype" w:hAnsi="Palatino Linotype"/>
        </w:rPr>
      </w:pPr>
      <w:r/>
      <w:r>
        <w:rPr>
          <w:rFonts w:ascii="Palatino Linotype" w:hAnsi="Palatino Linotype"/>
          <w:i/>
          <w:sz w:val="19"/>
        </w:rPr>
        <w:t>|H(fn)| = [ ∑_{k=1}^N ( Ak / (1 + ((fn - f_0k) / Wk)^2) ) ] · exp(-α fn) + ε    (1)</w:t>
      </w:r>
    </w:p>
    <w:p w:rsidR="00066999" w:rsidRPr="009D24DC" w:rsidRDefault="00066999" w:rsidP="00703F2A">
      <w:pPr>
        <w:pStyle w:val="ListParagraph"/>
        <w:numPr>
          <w:ilvl w:val="1"/>
          <w:numId w:val="1"/>
        </w:numPr>
        <w:pBdr>
          <w:top w:val="nil"/>
          <w:left w:val="nil"/>
          <w:bottom w:val="nil"/>
          <w:right w:val="nil"/>
          <w:between w:val="nil"/>
        </w:pBdr>
        <w:spacing w:line="240" w:lineRule="auto"/>
        <w:ind w:left="360"/>
        <w:jc w:val="both"/>
        <w:rPr>
          <w:rFonts w:ascii="Palatino Linotype" w:hAnsi="Palatino Linotype" w:cs="Times New Roman"/>
          <w:b/>
          <w:i/>
          <w:sz w:val="20"/>
          <w:szCs w:val="20"/>
        </w:rPr>
      </w:pPr>
      <w:r/>
      <w:r>
        <w:rPr>
          <w:rFonts w:ascii="Palatino Linotype" w:hAnsi="Palatino Linotype"/>
          <w:b/>
          <w:sz w:val="20"/>
        </w:rPr>
        <w:t>Tables</w:t>
      </w:r>
    </w:p>
    <w:p w:rsidR="00066999" w:rsidRPr="009D24DC" w:rsidRDefault="00066999" w:rsidP="00703F2A">
      <w:pPr>
        <w:pBdr>
          <w:top w:val="nil"/>
          <w:left w:val="nil"/>
          <w:bottom w:val="nil"/>
          <w:right w:val="nil"/>
          <w:between w:val="nil"/>
        </w:pBdr>
        <w:spacing w:before="240" w:line="240" w:lineRule="auto"/>
        <w:ind w:firstLine="360"/>
        <w:jc w:val="both"/>
        <w:rPr>
          <w:rFonts w:ascii="Palatino Linotype" w:hAnsi="Palatino Linotype" w:cs="Times New Roman"/>
          <w:sz w:val="20"/>
          <w:szCs w:val="20"/>
        </w:rPr>
      </w:pPr>
      <w:r>
        <w:rPr>
          <w:rFonts w:ascii="Palatino Linotype" w:hAnsi="Palatino Linotype"/>
          <w:sz w:val="20"/>
        </w:rPr>
        <w:t>Captions to the tables are mentioned above the Table with 10 font size Palatino Linotype. All the tables are cited in the text and centered. The data in the tables is 8 in font size as shown in Table 1.</w:t>
      </w:r>
    </w:p>
    <w:p w:rsidR="0037501A" w:rsidRPr="009D24DC" w:rsidRDefault="0037501A" w:rsidP="00703F2A">
      <w:pPr>
        <w:spacing w:after="0" w:line="240" w:lineRule="auto"/>
        <w:jc w:val="center"/>
        <w:rPr>
          <w:rFonts w:ascii="Palatino Linotype" w:hAnsi="Palatino Linotype" w:cs="Times New Roman"/>
          <w:sz w:val="20"/>
          <w:szCs w:val="20"/>
        </w:rPr>
      </w:pPr>
      <w:r/>
      <w:r>
        <w:rPr>
          <w:rFonts w:ascii="Palatino Linotype" w:hAnsi="Palatino Linotype"/>
          <w:b/>
          <w:sz w:val="19"/>
        </w:rPr>
        <w:t xml:space="preserve">Table. 1: </w:t>
      </w:r>
      <w:r>
        <w:rPr>
          <w:rFonts w:ascii="Palatino Linotype" w:hAnsi="Palatino Linotype"/>
          <w:sz w:val="19"/>
        </w:rPr>
        <w:t>1D-CNN Layer-by-Layer Architectural Specification</w:t>
      </w:r>
    </w:p>
    <w:tbl>
      <w:tblPr>
        <w:tblW w:w="0" w:type="auto"/>
        <w:jc w:val="center"/>
        <w:tblBorders>
          <w:bottom w:val="single" w:sz="4" w:space="0" w:color="auto"/>
        </w:tblBorders>
        <w:tblLayout w:type="fixed"/>
        <w:tblLook w:val="01E0" w:firstRow="1" w:lastRow="1" w:firstColumn="1" w:lastColumn="1" w:noHBand="0" w:noVBand="0"/>
      </w:tblPr>
      <w:tblGrid>
        <w:gridCol w:w="1124"/>
        <w:gridCol w:w="1358"/>
        <w:gridCol w:w="1350"/>
        <w:gridCol w:w="1152"/>
      </w:tblGrid>
      <w:tr w:rsidR="0037501A" w:rsidRPr="009D24DC" w:rsidTr="00B36C06">
        <w:trPr>
          <w:jc w:val="center"/>
        </w:trPr>
        <w:tc>
          <w:tcPr>
            <w:tcW w:w="1440" w:type="dxa"/>
            <w:tcBorders>
              <w:top w:val="single" w:sz="4" w:space="0" w:color="auto"/>
              <w:bottom w:val="single" w:sz="4" w:space="0" w:color="auto"/>
            </w:tcBorders>
            <w:shd w:val="clear" w:color="auto" w:fill="D6E3BC" w:themeFill="accent3" w:themeFillTint="6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Layer Type</w:t>
            </w:r>
          </w:p>
        </w:tc>
        <w:tc>
          <w:tcPr>
            <w:tcW w:w="1296" w:type="dxa"/>
            <w:tcBorders>
              <w:top w:val="single" w:sz="4" w:space="0" w:color="auto"/>
              <w:bottom w:val="single" w:sz="4" w:space="0" w:color="auto"/>
            </w:tcBorders>
            <w:shd w:val="clear" w:color="auto" w:fill="D6E3BC" w:themeFill="accent3" w:themeFillTint="6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Kernel / Stride</w:t>
            </w:r>
          </w:p>
        </w:tc>
        <w:tc>
          <w:tcPr>
            <w:tcW w:w="1152" w:type="dxa"/>
            <w:tcBorders>
              <w:top w:val="single" w:sz="4" w:space="0" w:color="auto"/>
              <w:bottom w:val="single" w:sz="4" w:space="0" w:color="auto"/>
            </w:tcBorders>
            <w:shd w:val="clear" w:color="auto" w:fill="D6E3BC" w:themeFill="accent3" w:themeFillTint="6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Output Shape</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Parameters</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Input Tensor</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1, 500]</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1)</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k=7, s=1, p=3</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16, 500]</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128</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16, 250]</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2)</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k=5, s=1, p=2</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32, 250]</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2,592</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32, 125]</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3)</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k=3, s=1, p=1</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64, 125]</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6,208</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AdaptivePool1d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Target size=16</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64, 16]</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Dense Layer</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Dropout p=0.2</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128]</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131,200</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Output Layer</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Softmax (4)</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4]</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516</w:t>
            </w:r>
          </w:p>
        </w:tc>
      </w:tr>
      <w:tr>
        <w:tc>
          <w:tcPr>
            <w:tcW w:type="dxa" w:w="1440"/>
            <w:shd w:fill="F2F2F2"/>
            <w:tcBorders>
              <w:top w:val="single" w:sz="4" w:space="0" w:color="auto"/>
              <w:bottom w:val="single" w:sz="4" w:space="0" w:color="auto"/>
            </w:tcBorders>
          </w:tcPr>
          <w:p>
            <w:pPr>
              <w:spacing w:before="30" w:after="30" w:line="240" w:lineRule="auto"/>
              <w:jc w:val="left"/>
            </w:pPr>
            <w:r>
              <w:rPr>
                <w:rFonts w:ascii="Palatino Linotype" w:hAnsi="Palatino Linotype"/>
                <w:b/>
                <w:sz w:val="16"/>
              </w:rPr>
              <w:t>Total Parameters</w:t>
            </w:r>
          </w:p>
        </w:tc>
        <w:tc>
          <w:tcPr>
            <w:tcW w:type="dxa" w:w="129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Model size: ~0.98 MB</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140,644</w:t>
            </w:r>
          </w:p>
        </w:tc>
      </w:tr>
    </w:tbl>
    <w:p w:rsidR="0037501A" w:rsidRPr="009D24DC" w:rsidRDefault="0037501A" w:rsidP="00703F2A">
      <w:pPr>
        <w:pBdr>
          <w:top w:val="nil"/>
          <w:left w:val="nil"/>
          <w:bottom w:val="nil"/>
          <w:right w:val="nil"/>
          <w:between w:val="nil"/>
        </w:pBdr>
        <w:spacing w:after="0" w:line="240" w:lineRule="auto"/>
        <w:ind w:firstLine="360"/>
        <w:jc w:val="both"/>
        <w:rPr>
          <w:rFonts w:ascii="Palatino Linotype" w:hAnsi="Palatino Linotype" w:cs="Times New Roman"/>
          <w:sz w:val="20"/>
          <w:szCs w:val="20"/>
        </w:rPr>
      </w:pPr>
    </w:p>
    <w:p w:rsidR="005048DC" w:rsidRDefault="005048DC" w:rsidP="005048DC">
      <w:pPr>
        <w:pStyle w:val="ListParagraph"/>
        <w:pBdr>
          <w:top w:val="nil"/>
          <w:left w:val="nil"/>
          <w:bottom w:val="nil"/>
          <w:right w:val="nil"/>
          <w:between w:val="nil"/>
        </w:pBdr>
        <w:spacing w:line="240" w:lineRule="auto"/>
        <w:ind w:left="360"/>
        <w:jc w:val="both"/>
        <w:rPr>
          <w:rFonts w:ascii="Palatino Linotype" w:hAnsi="Palatino Linotype" w:cs="Times New Roman"/>
          <w:b/>
          <w:i/>
          <w:sz w:val="20"/>
          <w:szCs w:val="20"/>
        </w:rPr>
      </w:pPr>
    </w:p>
    <w:p w:rsidR="005048DC" w:rsidRDefault="005048DC" w:rsidP="005048DC">
      <w:pPr>
        <w:pStyle w:val="ListParagraph"/>
        <w:pBdr>
          <w:top w:val="nil"/>
          <w:left w:val="nil"/>
          <w:bottom w:val="nil"/>
          <w:right w:val="nil"/>
          <w:between w:val="nil"/>
        </w:pBdr>
        <w:spacing w:line="240" w:lineRule="auto"/>
        <w:ind w:left="360"/>
        <w:jc w:val="both"/>
        <w:rPr>
          <w:rFonts w:ascii="Palatino Linotype" w:hAnsi="Palatino Linotype" w:cs="Times New Roman"/>
          <w:b/>
          <w:i/>
          <w:sz w:val="20"/>
          <w:szCs w:val="20"/>
        </w:rPr>
      </w:pPr>
    </w:p>
    <w:p w:rsidR="00AD7C6A" w:rsidRPr="009D24DC" w:rsidRDefault="00AD7C6A" w:rsidP="00703F2A">
      <w:pPr>
        <w:pStyle w:val="ListParagraph"/>
        <w:numPr>
          <w:ilvl w:val="1"/>
          <w:numId w:val="1"/>
        </w:numPr>
        <w:pBdr>
          <w:top w:val="nil"/>
          <w:left w:val="nil"/>
          <w:bottom w:val="nil"/>
          <w:right w:val="nil"/>
          <w:between w:val="nil"/>
        </w:pBdr>
        <w:spacing w:line="240" w:lineRule="auto"/>
        <w:ind w:left="360"/>
        <w:jc w:val="both"/>
        <w:rPr>
          <w:rFonts w:ascii="Palatino Linotype" w:hAnsi="Palatino Linotype" w:cs="Times New Roman"/>
          <w:b/>
          <w:i/>
          <w:sz w:val="20"/>
          <w:szCs w:val="20"/>
        </w:rPr>
      </w:pPr>
      <w:r/>
      <w:r>
        <w:rPr>
          <w:rFonts w:ascii="Palatino Linotype" w:hAnsi="Palatino Linotype"/>
          <w:b/>
          <w:sz w:val="20"/>
        </w:rPr>
        <w:t>Figures</w:t>
      </w:r>
    </w:p>
    <w:p w:rsidR="00AD7C6A" w:rsidRPr="009D24DC" w:rsidRDefault="00AD7C6A" w:rsidP="00703F2A">
      <w:pPr>
        <w:pBdr>
          <w:top w:val="nil"/>
          <w:left w:val="nil"/>
          <w:bottom w:val="nil"/>
          <w:right w:val="nil"/>
          <w:between w:val="nil"/>
        </w:pBdr>
        <w:spacing w:line="240" w:lineRule="auto"/>
        <w:ind w:firstLine="360"/>
        <w:jc w:val="both"/>
        <w:rPr>
          <w:rFonts w:ascii="Palatino Linotype" w:eastAsia="Century Schoolbook" w:hAnsi="Palatino Linotype" w:cs="Times New Roman"/>
          <w:color w:val="000000"/>
          <w:sz w:val="20"/>
          <w:szCs w:val="20"/>
        </w:rPr>
      </w:pPr>
      <w:r>
        <w:rPr>
          <w:rFonts w:ascii="Palatino Linotype" w:hAnsi="Palatino Linotype"/>
          <w:sz w:val="20"/>
        </w:rPr>
        <w:t>All figures are cited in the text as Fig.1 and so on sequentially. For all figures and equations, the paragraph spaces are added above and below. Captions to illustrations are aligned center and 10 pt Palatino Linotype. Fig. 1 illustrates the synthesized modal frequency responses across all six physical fault archetypes in contrast with a physical industrial sweep from BHEL.</w:t>
      </w:r>
    </w:p>
    <w:p w:rsidR="009D24DC" w:rsidRPr="009D24DC" w:rsidRDefault="00A50725" w:rsidP="00703F2A">
      <w:pPr>
        <w:pBdr>
          <w:top w:val="nil"/>
          <w:left w:val="nil"/>
          <w:bottom w:val="nil"/>
          <w:right w:val="nil"/>
          <w:between w:val="nil"/>
        </w:pBdr>
        <w:spacing w:before="240" w:after="0" w:line="240" w:lineRule="auto"/>
        <w:jc w:val="center"/>
        <w:rPr>
          <w:rFonts w:ascii="Palatino Linotype" w:hAnsi="Palatino Linotype"/>
          <w:sz w:val="24"/>
          <w:szCs w:val="24"/>
        </w:rPr>
      </w:pPr>
      <w:r/>
      <w:r>
        <w:drawing>
          <wp:inline xmlns:a="http://schemas.openxmlformats.org/drawingml/2006/main" xmlns:pic="http://schemas.openxmlformats.org/drawingml/2006/picture">
            <wp:extent cx="3017520" cy="1849448"/>
            <wp:docPr id="398200266" name="Picture 398200266"/>
            <wp:cNvGraphicFramePr>
              <a:graphicFrameLocks noChangeAspect="1"/>
            </wp:cNvGraphicFramePr>
            <a:graphic>
              <a:graphicData uri="http://schemas.openxmlformats.org/drawingml/2006/picture">
                <pic:pic>
                  <pic:nvPicPr>
                    <pic:cNvPr id="0" name="sfra_fault_archetypes_fig1.png"/>
                    <pic:cNvPicPr/>
                  </pic:nvPicPr>
                  <pic:blipFill>
                    <a:blip r:embed="rId27"/>
                    <a:stretch>
                      <a:fillRect/>
                    </a:stretch>
                  </pic:blipFill>
                  <pic:spPr>
                    <a:xfrm>
                      <a:off x="0" y="0"/>
                      <a:ext cx="3017520" cy="1849448"/>
                    </a:xfrm>
                    <a:prstGeom prst="rect"/>
                  </pic:spPr>
                </pic:pic>
              </a:graphicData>
            </a:graphic>
          </wp:inline>
        </w:drawing>
      </w:r>
    </w:p>
    <w:p w:rsidR="009D24DC" w:rsidRDefault="009D24DC" w:rsidP="00B313DF">
      <w:pPr>
        <w:pBdr>
          <w:top w:val="nil"/>
          <w:left w:val="nil"/>
          <w:bottom w:val="nil"/>
          <w:right w:val="nil"/>
          <w:between w:val="nil"/>
        </w:pBdr>
        <w:spacing w:line="240" w:lineRule="auto"/>
        <w:jc w:val="center"/>
        <w:rPr>
          <w:rFonts w:ascii="Palatino Linotype" w:hAnsi="Palatino Linotype" w:cs="Times New Roman"/>
          <w:sz w:val="20"/>
          <w:szCs w:val="20"/>
        </w:rPr>
      </w:pPr>
      <w:r/>
      <w:r>
        <w:rPr>
          <w:rFonts w:ascii="Palatino Linotype" w:hAnsi="Palatino Linotype"/>
          <w:b/>
          <w:sz w:val="19"/>
        </w:rPr>
        <w:t xml:space="preserve">Fig. 1: </w:t>
      </w:r>
      <w:r>
        <w:rPr>
          <w:rFonts w:ascii="Palatino Linotype" w:hAnsi="Palatino Linotype"/>
          <w:sz w:val="19"/>
        </w:rPr>
        <w:t>Multi-resonant SFRA magnitude response across six physical fault archetypes alongside real BHEL industrial transformer measurement.</w:t>
      </w:r>
    </w:p>
    <w:p w:rsidR="005E6AE8" w:rsidRPr="009D24DC" w:rsidRDefault="000D5028" w:rsidP="005E6AE8">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1D-CNN backbone takes a resampled 500-point logarithmic frequency vector and extracts spatial features across low, medium, and high frequency sub-bands. An undercomplete Autoencoder (500 → 64 → 16 → 64 → 500) operates in parallel to quantify reconstruction error. Frequency sweeps exceeding the calibrated 98th percentile threshold (0.205) are flagged for anomalous deviation, reducing false alarm rate from 6.10% down to 2.00%.</w:t>
      </w:r>
    </w:p>
    <w:p w:rsidR="00224C1F" w:rsidRPr="009D24DC" w:rsidRDefault="00224C1F"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Results and Discussion</w:t>
      </w:r>
    </w:p>
    <w:p w:rsidR="008B3A5F" w:rsidRDefault="008B3A5F"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3.1  5-Fold Stratified Cross-Validation &amp; Baseline Comparison</w:t>
        <w:br/>
        <w:t>To eliminate single-seed bias, all models were evaluated via 5-fold stratified cross-validation on 12,000 synthesized frequency responses. As summarized in Table 2, the proposed 1D-CNN achieves 81.03% ± 1.60% accuracy (Macro F1 = 0.8234 ± 0.0149), substantially outperforming Random Forest (72.57%), SVM (66.12%), and Plain MLP (64.95%). The high stability across folds demonstrates that the CNN learns genuine invariant spectral features rather than memorizing generator artifacts.</w:t>
      </w:r>
    </w:p>
    <w:p>
      <w:pPr>
        <w:jc w:val="center"/>
      </w:pPr>
      <w:r>
        <w:rPr>
          <w:rFonts w:ascii="Palatino Linotype" w:hAnsi="Palatino Linotype"/>
          <w:b/>
          <w:sz w:val="19"/>
        </w:rPr>
        <w:t xml:space="preserve">Table. 2: </w:t>
      </w:r>
      <w:r>
        <w:rPr>
          <w:rFonts w:ascii="Palatino Linotype" w:hAnsi="Palatino Linotype"/>
          <w:sz w:val="19"/>
        </w:rPr>
        <w:t>5-Fold Stratified Cross-Validation Baseline Comparison</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65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Algorithm</w:t>
            </w:r>
          </w:p>
        </w:tc>
        <w:tc>
          <w:tcPr>
            <w:tcW w:type="dxa" w:w="129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Accuracy (Mean ± Std)</w:t>
            </w:r>
          </w:p>
        </w:tc>
        <w:tc>
          <w:tcPr>
            <w:tcW w:type="dxa" w:w="108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Macro F1 (Mean ± Std)</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p95 Latency</w:t>
            </w:r>
          </w:p>
        </w:tc>
      </w:tr>
      <w:tr>
        <w:tc>
          <w:tcPr>
            <w:tcW w:type="dxa" w:w="1656"/>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1D-CNN (Proposed)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81.03% ± 1.60%</w:t>
            </w:r>
          </w:p>
        </w:tc>
        <w:tc>
          <w:tcPr>
            <w:tcW w:type="dxa" w:w="1080"/>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0.8234 ± 0.0149</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0.247 ms</w:t>
            </w:r>
          </w:p>
        </w:tc>
      </w:tr>
      <w:tr>
        <w:tc>
          <w:tcPr>
            <w:tcW w:type="dxa" w:w="1656"/>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Random Forest (100 Trees)</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72.57% ± 1.28%</w:t>
            </w:r>
          </w:p>
        </w:tc>
        <w:tc>
          <w:tcPr>
            <w:tcW w:type="dxa" w:w="1080"/>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0.7235 ± 0.0132</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1.842 ms</w:t>
            </w:r>
          </w:p>
        </w:tc>
      </w:tr>
      <w:tr>
        <w:tc>
          <w:tcPr>
            <w:tcW w:type="dxa" w:w="1656"/>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SVM (RBF Kernel)</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66.12% ± 1.14%</w:t>
            </w:r>
          </w:p>
        </w:tc>
        <w:tc>
          <w:tcPr>
            <w:tcW w:type="dxa" w:w="1080"/>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0.6219 ± 0.0121</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3.120 ms</w:t>
            </w:r>
          </w:p>
        </w:tc>
      </w:tr>
      <w:tr>
        <w:tc>
          <w:tcPr>
            <w:tcW w:type="dxa" w:w="1656"/>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Plain MLP (2 Hidden)</w:t>
            </w:r>
          </w:p>
        </w:tc>
        <w:tc>
          <w:tcPr>
            <w:tcW w:type="dxa" w:w="129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64.95% ± 1.00%</w:t>
            </w:r>
          </w:p>
        </w:tc>
        <w:tc>
          <w:tcPr>
            <w:tcW w:type="dxa" w:w="1080"/>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0.6429 ± 0.0105</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0.185 ms</w:t>
            </w:r>
          </w:p>
        </w:tc>
      </w:tr>
    </w:tbl>
    <w:p>
      <w:pPr>
        <w:jc w:val="both"/>
      </w:pPr>
      <w:r>
        <w:rPr>
          <w:rFonts w:ascii="Palatino Linotype" w:hAnsi="Palatino Linotype"/>
          <w:sz w:val="20"/>
        </w:rPr>
        <w:t>3.2  Fault Archetype Breakdown</w:t>
        <w:br/>
        <w:t>Table 3 presents classification recall across the six physical fault archetypes. Short-Circuit Faults (SCF) and Inter-Disk Faults (IDF) achieve superior recall (94.65% and 92.03% respectively) due to prominent modal displacement. Radial deformation (RDF) exhibits 60.32% recall as subtle radial shifts partially overlap with dielectric damping variations.</w:t>
      </w:r>
    </w:p>
    <w:p>
      <w:pPr>
        <w:jc w:val="center"/>
      </w:pPr>
      <w:r>
        <w:rPr>
          <w:rFonts w:ascii="Palatino Linotype" w:hAnsi="Palatino Linotype"/>
          <w:b/>
          <w:sz w:val="19"/>
        </w:rPr>
        <w:t xml:space="preserve">Table. 3: </w:t>
      </w:r>
      <w:r>
        <w:rPr>
          <w:rFonts w:ascii="Palatino Linotype" w:hAnsi="Palatino Linotype"/>
          <w:sz w:val="19"/>
        </w:rPr>
        <w:t>Performance Across Six Physical Fault Archetypes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2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Fault Code</w:t>
            </w:r>
          </w:p>
        </w:tc>
        <w:tc>
          <w:tcPr>
            <w:tcW w:type="dxa" w:w="172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Physical Mechanism</w:t>
            </w:r>
          </w:p>
        </w:tc>
        <w:tc>
          <w:tcPr>
            <w:tcW w:type="dxa" w:w="136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Severity Class</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Recall</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NF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Normal Healthy Baseline</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Normal</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80.70%</w:t>
            </w:r>
          </w:p>
        </w:tc>
      </w:tr>
      <w:tr>
        <w:tc>
          <w:tcPr>
            <w:tcW w:type="dxa" w:w="72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DLF</w:t>
            </w:r>
          </w:p>
        </w:tc>
        <w:tc>
          <w:tcPr>
            <w:tcW w:type="dxa" w:w="172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Dielectric Loss (tan δ)</w:t>
            </w:r>
          </w:p>
        </w:tc>
        <w:tc>
          <w:tcPr>
            <w:tcW w:type="dxa" w:w="136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76.02%</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CLF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Clamping Looseness Fault</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82.48%</w:t>
            </w:r>
          </w:p>
        </w:tc>
      </w:tr>
      <w:tr>
        <w:tc>
          <w:tcPr>
            <w:tcW w:type="dxa" w:w="72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RDF</w:t>
            </w:r>
          </w:p>
        </w:tc>
        <w:tc>
          <w:tcPr>
            <w:tcW w:type="dxa" w:w="172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Radial Deformation (Buckling)</w:t>
            </w:r>
          </w:p>
        </w:tc>
        <w:tc>
          <w:tcPr>
            <w:tcW w:type="dxa" w:w="136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60.32%</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IDF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Inter-Disk Fault (Axial Tilt)</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92.03%</w:t>
            </w:r>
          </w:p>
        </w:tc>
      </w:tr>
      <w:tr>
        <w:tc>
          <w:tcPr>
            <w:tcW w:type="dxa" w:w="720"/>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SCF</w:t>
            </w:r>
          </w:p>
        </w:tc>
        <w:tc>
          <w:tcPr>
            <w:tcW w:type="dxa" w:w="1728"/>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Short-Circuit (Turn-to-Turn)</w:t>
            </w:r>
          </w:p>
        </w:tc>
        <w:tc>
          <w:tcPr>
            <w:tcW w:type="dxa" w:w="1368"/>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High Fault Risk</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94.65%</w:t>
            </w:r>
          </w:p>
        </w:tc>
      </w:tr>
    </w:tbl>
    <w:p>
      <w:pPr>
        <w:jc w:val="both"/>
      </w:pPr>
      <w:r>
        <w:rPr>
          <w:rFonts w:ascii="Palatino Linotype" w:hAnsi="Palatino Linotype"/>
          <w:sz w:val="20"/>
        </w:rPr>
        <w:t>3.3  Empirical Ablation Study</w:t>
        <w:br/>
        <w:t>To quantify the contribution of each pipeline component, four configurations were evaluated (Table 4). Crucially, combining the 1D-CNN with hand-tuned heuristic shape override rules degrades accuracy by -18.37% (falling from 82.04% to 63.67%). This provides strong empirical justification that learned deep convolutional representations are significantly more reliable than rigid manual thresholds.</w:t>
      </w:r>
    </w:p>
    <w:p>
      <w:pPr>
        <w:jc w:val="center"/>
      </w:pPr>
      <w:r>
        <w:rPr>
          <w:rFonts w:ascii="Palatino Linotype" w:hAnsi="Palatino Linotype"/>
          <w:b/>
          <w:sz w:val="19"/>
        </w:rPr>
        <w:t xml:space="preserve">Table. 4: </w:t>
      </w:r>
      <w:r>
        <w:rPr>
          <w:rFonts w:ascii="Palatino Linotype" w:hAnsi="Palatino Linotype"/>
          <w:sz w:val="19"/>
        </w:rPr>
        <w:t>Ablation Study of Diagnostic Pipeline Configurations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36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Configuration</w:t>
            </w:r>
          </w:p>
        </w:tc>
        <w:tc>
          <w:tcPr>
            <w:tcW w:type="dxa" w:w="187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Pipeline Description</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Accuracy</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Macro F1</w:t>
            </w:r>
          </w:p>
        </w:tc>
      </w:tr>
      <w:tr>
        <w:tc>
          <w:tcPr>
            <w:tcW w:type="dxa" w:w="1368"/>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(A) 1D-CNN Only</w:t>
            </w:r>
          </w:p>
        </w:tc>
        <w:tc>
          <w:tcPr>
            <w:tcW w:type="dxa" w:w="187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Convolutional feature extraction</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82.04%</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0.8288</w:t>
            </w:r>
          </w:p>
        </w:tc>
      </w:tr>
      <w:tr>
        <w:tc>
          <w:tcPr>
            <w:tcW w:type="dxa" w:w="1368"/>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(B) CNN + Shape Override</w:t>
            </w:r>
          </w:p>
        </w:tc>
        <w:tc>
          <w:tcPr>
            <w:tcW w:type="dxa" w:w="187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CNN with manual rule post-filtering</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63.67%</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0.6373</w:t>
            </w:r>
          </w:p>
        </w:tc>
      </w:tr>
      <w:tr>
        <w:tc>
          <w:tcPr>
            <w:tcW w:type="dxa" w:w="1368"/>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(C) CNN + Autoencoder</w:t>
            </w:r>
          </w:p>
        </w:tc>
        <w:tc>
          <w:tcPr>
            <w:tcW w:type="dxa" w:w="187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CNN with anomaly gating</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81.92%</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0.8271</w:t>
            </w:r>
          </w:p>
        </w:tc>
      </w:tr>
      <w:tr>
        <w:tc>
          <w:tcPr>
            <w:tcW w:type="dxa" w:w="1368"/>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(D) Full Pipeline</w:t>
            </w:r>
          </w:p>
        </w:tc>
        <w:tc>
          <w:tcPr>
            <w:tcW w:type="dxa" w:w="187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CNN + Calibrated Override + AE</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63.62%</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0.6367</w:t>
            </w:r>
          </w:p>
        </w:tc>
      </w:tr>
    </w:tbl>
    <w:p>
      <w:pPr>
        <w:jc w:val="both"/>
      </w:pPr>
      <w:r>
        <w:rPr>
          <w:rFonts w:ascii="Palatino Linotype" w:hAnsi="Palatino Linotype"/>
          <w:sz w:val="20"/>
        </w:rPr>
        <w:t>3.4  Out-of-Distribution Generalization on Shifted Held-Out Test Set</w:t>
        <w:br/>
        <w:t>To test domain transferability, models were evaluated on an independent held-out dataset (N = 2,400) generated with distinct random seeds, ±15% modal center drift, perturbed Q factors, and elevated instrument noise (σ ∈ [0.03, 0.08]). As shown in Table 5, the 1D-CNN maintains 56.88% accuracy under severe shift, retaining 70.2% of its performance and outperforming all baselines.</w:t>
      </w:r>
    </w:p>
    <w:p>
      <w:pPr>
        <w:jc w:val="center"/>
      </w:pPr>
      <w:r>
        <w:rPr>
          <w:rFonts w:ascii="Palatino Linotype" w:hAnsi="Palatino Linotype"/>
          <w:b/>
          <w:sz w:val="19"/>
        </w:rPr>
        <w:t xml:space="preserve">Table. 5: </w:t>
      </w:r>
      <w:r>
        <w:rPr>
          <w:rFonts w:ascii="Palatino Linotype" w:hAnsi="Palatino Linotype"/>
          <w:sz w:val="19"/>
        </w:rPr>
        <w:t>Out-of-Distribution Generalization on Shifted Held-Out Test Set</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51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Model</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In-Distribution Acc</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Held-Out OOD Acc</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Retention</w:t>
            </w:r>
          </w:p>
        </w:tc>
      </w:tr>
      <w:tr>
        <w:tc>
          <w:tcPr>
            <w:tcW w:type="dxa" w:w="1512"/>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1D-CNN (Proposed)</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81.03%</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56.88%</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70.2%</w:t>
            </w:r>
          </w:p>
        </w:tc>
      </w:tr>
      <w:tr>
        <w:tc>
          <w:tcPr>
            <w:tcW w:type="dxa" w:w="1512"/>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Random Forest</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72.57%</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51.21%</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70.6%</w:t>
            </w:r>
          </w:p>
        </w:tc>
      </w:tr>
      <w:tr>
        <w:tc>
          <w:tcPr>
            <w:tcW w:type="dxa" w:w="1512"/>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SVM (RBF Kernel)</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66.12%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50.83%</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76.9%</w:t>
            </w:r>
          </w:p>
        </w:tc>
      </w:tr>
      <w:tr>
        <w:tc>
          <w:tcPr>
            <w:tcW w:type="dxa" w:w="1512"/>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Plain MLP</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64.95%</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49.33%</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75.9%</w:t>
            </w:r>
          </w:p>
        </w:tc>
      </w:tr>
    </w:tbl>
    <w:p>
      <w:pPr>
        <w:jc w:val="both"/>
      </w:pPr>
      <w:r>
        <w:rPr>
          <w:rFonts w:ascii="Palatino Linotype" w:hAnsi="Palatino Linotype"/>
          <w:sz w:val="20"/>
        </w:rPr>
        <w:t>3.5  Real Industrial Transformer Validation (BHEL Data)</w:t>
        <w:br/>
        <w:t>The framework was evaluated on physical SFRA test sweeps recorded on an industrial power transformer by Bharat Heavy Electricals Limited (BHEL) spanning 20 Hz to 2.0 MHz. Under IEEE Std C57.149-2012 guidelines, symmetrical phase comparison between healthy phases serves as the primary health benchmark (CC &gt; 0.98 indicating healthy status). The cross-correlation between measured phases yielded CC(H1, H2) = 0.9844, CC(H2, H3) = 0.9780, and CC(H1, H3) = 0.9917 (mean CC = 0.9847). When passed through our trained pipeline, all open-circuit phase sweeps were correctly classified as Normal with low anomaly scores (AE score &lt; 0.25).</w:t>
        <w:br/>
        <w:br/>
        <w:t>3.6  Latency &amp; Computational Complexity</w:t>
        <w:br/>
        <w:t>Inference latency was benchmarked over 1,000 independent executions on CPU. The 1D-CNN requires only 0.218 ms mean (0.247 ms p95), while the complete pipeline executes in 0.274 ms mean (0.305 ms p95). This sub-millisecond execution confirms readiness for real-time edge deployment.</w:t>
      </w:r>
    </w:p>
    <w:p w:rsidR="008B3A5F" w:rsidRPr="009D24DC" w:rsidRDefault="008B3A5F"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This paper established IntelliFRA, a scientifically validated deep learning diagnostic framework for automated power transformer SFRA interpretation. By eliminating legacy circular generator biases, modeling six distinct physical failure archetypes, and executing 5-fold stratified cross-validation alongside classical ML baselines, we demonstrate that a 1D-CNN achieves 81.03% ± 1.60% accuracy with sub-millisecond execution (0.247 ms). Our ablation study quantitatively proves that learned convolutional representations substantially outperform legacy manual shape heuristics by 18.37%. Validation on physical industrial measurements from BHEL confirms the framework's practical applicability for real-time substation asset management.</w:t>
      </w:r>
    </w:p>
    <w:p w:rsidR="00A62D38" w:rsidRDefault="00A62D38" w:rsidP="00703F2A">
      <w:pPr>
        <w:pBdr>
          <w:top w:val="nil"/>
          <w:left w:val="nil"/>
          <w:bottom w:val="nil"/>
          <w:right w:val="nil"/>
          <w:between w:val="nil"/>
        </w:pBdr>
        <w:spacing w:line="240" w:lineRule="auto"/>
        <w:jc w:val="both"/>
        <w:rPr>
          <w:b/>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Supplementary Materials</w:t>
      </w:r>
    </w:p>
    <w:p w:rsidR="00A62D38" w:rsidRPr="00A62D38" w:rsidRDefault="00A62D38" w:rsidP="00AC3118">
      <w:pPr>
        <w:pBdr>
          <w:top w:val="nil"/>
          <w:left w:val="nil"/>
          <w:bottom w:val="nil"/>
          <w:right w:val="nil"/>
          <w:between w:val="nil"/>
        </w:pBdr>
        <w:spacing w:line="240" w:lineRule="auto"/>
        <w:ind w:firstLine="426"/>
        <w:jc w:val="both"/>
        <w:rPr>
          <w:rFonts w:ascii="Palatino Linotype" w:hAnsi="Palatino Linotype" w:cs="Times New Roman"/>
          <w:sz w:val="20"/>
          <w:szCs w:val="20"/>
        </w:rPr>
      </w:pPr>
      <w:r>
        <w:rPr>
          <w:rFonts w:ascii="Palatino Linotype" w:hAnsi="Palatino Linotype"/>
          <w:sz w:val="20"/>
        </w:rPr>
        <w:t>The synthetic ladder synthesis scripts, trained models, and benchmark evaluation code are available on GitHub: https://github.com/harinip1509/IntelliFRA.</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D7C6A" w:rsidRPr="009D24DC"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Acknowledgment</w:t>
      </w:r>
    </w:p>
    <w:p w:rsidR="00AD7C6A"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express sincere gratitude to Dr. Vidya Chitre, Head of the Department of Information Technology, Vidyalankar Institute of Technology, Mumbai, for providing the necessary academic infrastructure and computational resources.</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Funding</w:t>
      </w:r>
    </w:p>
    <w:p w:rsidR="00A62D38" w:rsidRPr="00A62D38" w:rsidRDefault="00AC3118" w:rsidP="00DA6643">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This research received no external funding.</w:t>
      </w:r>
    </w:p>
    <w:p w:rsidR="00412B3F" w:rsidRDefault="00412B3F" w:rsidP="00412B3F">
      <w:pPr>
        <w:pBdr>
          <w:top w:val="nil"/>
          <w:left w:val="nil"/>
          <w:bottom w:val="nil"/>
          <w:right w:val="nil"/>
          <w:between w:val="nil"/>
        </w:pBdr>
        <w:spacing w:before="240" w:line="240" w:lineRule="auto"/>
        <w:jc w:val="both"/>
        <w:rPr>
          <w:rFonts w:ascii="Palatino Linotype" w:hAnsi="Palatino Linotype"/>
          <w:b/>
          <w:sz w:val="20"/>
          <w:szCs w:val="20"/>
        </w:rPr>
      </w:pPr>
    </w:p>
    <w:p w:rsidR="00412B3F" w:rsidRDefault="00412B3F" w:rsidP="00412B3F">
      <w:pPr>
        <w:pBdr>
          <w:top w:val="nil"/>
          <w:left w:val="nil"/>
          <w:bottom w:val="nil"/>
          <w:right w:val="nil"/>
          <w:between w:val="nil"/>
        </w:pBdr>
        <w:spacing w:before="240" w:line="240" w:lineRule="auto"/>
        <w:jc w:val="both"/>
        <w:rPr>
          <w:rFonts w:ascii="Palatino Linotype" w:hAnsi="Palatino Linotype"/>
          <w:sz w:val="20"/>
          <w:szCs w:val="20"/>
        </w:rPr>
      </w:pPr>
      <w:r>
        <w:rPr>
          <w:rFonts w:ascii="Palatino Linotype" w:hAnsi="Palatino Linotype"/>
          <w:b/>
          <w:sz w:val="20"/>
        </w:rPr>
        <w:t>Data Availability Statement</w:t>
      </w:r>
    </w:p>
    <w:p w:rsidR="00A62D38" w:rsidRPr="00412B3F" w:rsidRDefault="00412B3F" w:rsidP="00AC3118">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The datasets generated and/or analyzed during the current study are openly available in the GitHub repository at: https://github.com/harinip1509/IntelliFRA.</w:t>
      </w:r>
    </w:p>
    <w:p w:rsidR="00412B3F" w:rsidRDefault="00412B3F"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9D24DC" w:rsidRDefault="009D24DC"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Conflict of Interest</w:t>
      </w:r>
    </w:p>
    <w:p w:rsidR="009D24DC" w:rsidRDefault="009D24DC"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declare that they have no known competing financial interests or personal relationships that could have appeared to influence the work reported in this paper.</w:t>
      </w:r>
    </w:p>
    <w:p w:rsidR="00A50725" w:rsidRPr="00A50725" w:rsidRDefault="00A50725" w:rsidP="00A50725">
      <w:pPr>
        <w:pStyle w:val="MDPI62backmatter"/>
        <w:ind w:left="0"/>
        <w:rPr>
          <w:b/>
        </w:rPr>
      </w:pPr>
      <w:r>
        <w:rPr>
          <w:rFonts w:ascii="Palatino Linotype" w:hAnsi="Palatino Linotype"/>
          <w:b/>
          <w:sz w:val="20"/>
        </w:rPr>
        <w:t>CRediT authorship contribution statement</w:t>
      </w:r>
    </w:p>
    <w:p w:rsidR="0004785D" w:rsidRPr="0004785D" w:rsidRDefault="0004785D" w:rsidP="00AC3118">
      <w:pPr>
        <w:pStyle w:val="MDPI62backmatter"/>
        <w:ind w:left="0" w:firstLine="426"/>
        <w:jc w:val="both"/>
        <w:rPr>
          <w:sz w:val="20"/>
        </w:rPr>
      </w:pPr>
      <w:r>
        <w:rPr>
          <w:rFonts w:ascii="Palatino Linotype" w:hAnsi="Palatino Linotype"/>
          <w:sz w:val="20"/>
        </w:rPr>
        <w:t>Conceptualization, H.P. and Y.G.; methodology, H.P., Y.G. and P.B.; software, H.P. and Y.G.; validation, P.B., N.V. and B.T.; formal analysis, H.P. and N.V.; investigation, P.B.; data curation, H.P. and Y.G.; writing—original draft preparation, H.P.; writing—review and editing, B.T., N.V. and P.B.; supervision, B.T.; project administration, H.P. All authors have read and agreed to the published version of the manuscript.</w:t>
      </w:r>
    </w:p>
    <w:p w:rsidR="00B3239D" w:rsidRPr="00B3239D" w:rsidRDefault="00B3239D" w:rsidP="00C0602E">
      <w:pPr>
        <w:pBdr>
          <w:top w:val="nil"/>
          <w:left w:val="nil"/>
          <w:bottom w:val="nil"/>
          <w:right w:val="nil"/>
          <w:between w:val="nil"/>
        </w:pBdr>
        <w:spacing w:after="0" w:line="240" w:lineRule="auto"/>
        <w:jc w:val="both"/>
        <w:rPr>
          <w:rFonts w:ascii="Palatino Linotype" w:hAnsi="Palatino Linotype" w:cs="Times New Roman"/>
          <w:b/>
          <w:sz w:val="20"/>
          <w:szCs w:val="20"/>
        </w:rPr>
      </w:pPr>
    </w:p>
    <w:p w:rsidR="00AD7C6A"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References</w:t>
      </w:r>
    </w:p>
    <w:p w:rsidR="005E6AE8" w:rsidRDefault="005E6AE8" w:rsidP="005E6AE8">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b/>
        </w:rPr>
        <w:t>Standards and Reports</w:t>
      </w:r>
    </w:p>
    <w:p w:rsidR="00AC3118" w:rsidRPr="00AC3118" w:rsidRDefault="00AC3118" w:rsidP="00AC3118">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rPr>
        <w:t>Journal Articles &amp; Conference Proceedings</w:t>
      </w:r>
    </w:p>
    <w:p w:rsidR="00AC3118" w:rsidRDefault="00AC3118" w:rsidP="00AC3118">
      <w:pPr>
        <w:pStyle w:val="ListParagraph"/>
        <w:numPr>
          <w:ilvl w:val="0"/>
          <w:numId w:val="2"/>
        </w:numPr>
        <w:pBdr>
          <w:top w:val="nil"/>
          <w:left w:val="nil"/>
          <w:bottom w:val="nil"/>
          <w:right w:val="nil"/>
          <w:between w:val="nil"/>
        </w:pBdr>
        <w:tabs>
          <w:tab w:val="left" w:pos="360"/>
        </w:tabs>
        <w:spacing w:line="240" w:lineRule="auto"/>
        <w:ind w:left="360"/>
        <w:jc w:val="both"/>
        <w:rPr>
          <w:rFonts w:ascii="Palatino Linotype" w:hAnsi="Palatino Linotype" w:cs="Times New Roman"/>
          <w:sz w:val="20"/>
          <w:szCs w:val="20"/>
        </w:rPr>
      </w:pPr>
      <w:r>
        <w:rPr>
          <w:rFonts w:ascii="Palatino Linotype" w:hAnsi="Palatino Linotype"/>
          <w:sz w:val="19"/>
        </w:rPr>
        <w:t>IEEE Std C57.149-2012, “IEEE Guide for the Application and Interpretation of Frequency Response Analysis for Oil-Immersed Transformers,” IEEE Power and Energy Society, pp. 1-72, Mar. 2013.</w:t>
      </w:r>
    </w:p>
    <w:p w:rsidR="00AC3118" w:rsidRDefault="001D1909" w:rsidP="00AC3118">
      <w:pPr>
        <w:pStyle w:val="ListParagraph"/>
        <w:pBdr>
          <w:top w:val="nil"/>
          <w:left w:val="nil"/>
          <w:bottom w:val="nil"/>
          <w:right w:val="nil"/>
          <w:between w:val="nil"/>
        </w:pBdr>
        <w:tabs>
          <w:tab w:val="left" w:pos="360"/>
        </w:tabs>
        <w:spacing w:line="240" w:lineRule="auto"/>
        <w:ind w:left="360"/>
        <w:jc w:val="both"/>
        <w:rPr>
          <w:rFonts w:ascii="Palatino Linotype" w:hAnsi="Palatino Linotype" w:cs="Times New Roman"/>
          <w:sz w:val="20"/>
          <w:szCs w:val="20"/>
        </w:rPr>
      </w:pPr>
      <w:r>
        <w:rPr>
          <w:rFonts w:ascii="Palatino Linotype" w:hAnsi="Palatino Linotype"/>
          <w:sz w:val="17"/>
        </w:rPr>
        <w:t>https://doi.org/10.1109/IEEESTD.2013.6475950</w:t>
      </w:r>
    </w:p>
    <w:p w:rsidR="00AC3118" w:rsidRDefault="00AC3118" w:rsidP="00AC3118">
      <w:pPr>
        <w:pStyle w:val="ListParagraph"/>
        <w:numPr>
          <w:ilvl w:val="0"/>
          <w:numId w:val="2"/>
        </w:numPr>
        <w:pBdr>
          <w:top w:val="nil"/>
          <w:left w:val="nil"/>
          <w:bottom w:val="nil"/>
          <w:right w:val="nil"/>
          <w:between w:val="nil"/>
        </w:pBdr>
        <w:tabs>
          <w:tab w:val="left" w:pos="360"/>
        </w:tabs>
        <w:spacing w:line="240" w:lineRule="auto"/>
        <w:ind w:left="360"/>
        <w:jc w:val="both"/>
        <w:rPr>
          <w:rFonts w:ascii="Palatino Linotype" w:hAnsi="Palatino Linotype" w:cs="Times New Roman"/>
          <w:sz w:val="20"/>
          <w:szCs w:val="20"/>
        </w:rPr>
      </w:pPr>
      <w:r>
        <w:rPr>
          <w:rFonts w:ascii="Palatino Linotype" w:hAnsi="Palatino Linotype"/>
          <w:sz w:val="19"/>
        </w:rPr>
        <w:t>IEC 60076-18:2012, “Power Transformers - Part 18: Measurement of Frequency Response,” International Electrotechnical Commission, Geneva, Switzerland, 2012.</w:t>
      </w:r>
    </w:p>
    <w:p w:rsidR="00AC3118" w:rsidRPr="00AC3118" w:rsidRDefault="001D1909" w:rsidP="00AC3118">
      <w:pPr>
        <w:pStyle w:val="ListParagraph"/>
        <w:pBdr>
          <w:top w:val="nil"/>
          <w:left w:val="nil"/>
          <w:bottom w:val="nil"/>
          <w:right w:val="nil"/>
          <w:between w:val="nil"/>
        </w:pBdr>
        <w:tabs>
          <w:tab w:val="left" w:pos="360"/>
        </w:tabs>
        <w:spacing w:line="240" w:lineRule="auto"/>
        <w:ind w:left="360"/>
        <w:jc w:val="both"/>
        <w:rPr>
          <w:rFonts w:ascii="Palatino Linotype" w:hAnsi="Palatino Linotype" w:cs="Times New Roman"/>
          <w:sz w:val="20"/>
          <w:szCs w:val="20"/>
        </w:rPr>
      </w:pPr>
      <w:r>
        <w:rPr>
          <w:rFonts w:ascii="Palatino Linotype" w:hAnsi="Palatino Linotype"/>
          <w:sz w:val="17"/>
        </w:rPr>
        <w:t>https://doi.org/10.1109/TIA.2024.3360372</w:t>
      </w:r>
    </w:p>
    <w:p w:rsidR="00AC3118" w:rsidRDefault="00AC3118" w:rsidP="00AC3118">
      <w:pPr>
        <w:pStyle w:val="ListParagraph"/>
        <w:pBdr>
          <w:top w:val="nil"/>
          <w:left w:val="nil"/>
          <w:bottom w:val="nil"/>
          <w:right w:val="nil"/>
          <w:between w:val="nil"/>
        </w:pBdr>
        <w:tabs>
          <w:tab w:val="left" w:pos="360"/>
        </w:tabs>
        <w:spacing w:line="240" w:lineRule="auto"/>
        <w:ind w:left="360"/>
        <w:jc w:val="both"/>
        <w:rPr>
          <w:rFonts w:ascii="Palatino Linotype" w:hAnsi="Palatino Linotype" w:cs="Times New Roman"/>
          <w:sz w:val="20"/>
          <w:szCs w:val="20"/>
        </w:rPr>
      </w:pPr>
    </w:p>
    <w:p w:rsidR="00C0602E" w:rsidRPr="00AC3118" w:rsidRDefault="00C0602E" w:rsidP="00C0602E">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rPr>
        <w:t>Conference proceedings</w:t>
      </w:r>
    </w:p>
    <w:p w:rsidR="009E0D69" w:rsidRPr="00C0602E" w:rsidRDefault="002A5870" w:rsidP="00703F2A">
      <w:pPr>
        <w:pStyle w:val="ListParagraph"/>
        <w:numPr>
          <w:ilvl w:val="0"/>
          <w:numId w:val="2"/>
        </w:numPr>
        <w:pBdr>
          <w:top w:val="nil"/>
          <w:left w:val="nil"/>
          <w:bottom w:val="nil"/>
          <w:right w:val="nil"/>
          <w:between w:val="nil"/>
        </w:pBdr>
        <w:tabs>
          <w:tab w:val="left" w:pos="360"/>
        </w:tabs>
        <w:spacing w:line="240" w:lineRule="auto"/>
        <w:ind w:left="360"/>
        <w:jc w:val="both"/>
        <w:rPr>
          <w:rFonts w:ascii="Palatino Linotype" w:hAnsi="Palatino Linotype" w:cs="Times New Roman"/>
          <w:b/>
          <w:sz w:val="20"/>
          <w:szCs w:val="20"/>
        </w:rPr>
      </w:pPr>
      <w:r>
        <w:rPr>
          <w:rFonts w:ascii="Palatino Linotype" w:hAnsi="Palatino Linotype"/>
          <w:sz w:val="19"/>
        </w:rPr>
        <w:t>S. A. Ryder, “Diagnosing transformer faults using frequency response analysis,” IEEE Electrical Insulation Magazine, vol. 19, no. 2, pp. 16-22, 2003.</w:t>
      </w:r>
    </w:p>
    <w:p w:rsidR="00C0602E" w:rsidRDefault="001D1909" w:rsidP="00C0602E">
      <w:pPr>
        <w:pStyle w:val="ListParagraph"/>
        <w:pBdr>
          <w:top w:val="nil"/>
          <w:left w:val="nil"/>
          <w:bottom w:val="nil"/>
          <w:right w:val="nil"/>
          <w:between w:val="nil"/>
        </w:pBdr>
        <w:tabs>
          <w:tab w:val="left" w:pos="360"/>
        </w:tabs>
        <w:spacing w:line="240" w:lineRule="auto"/>
        <w:ind w:left="360"/>
        <w:jc w:val="both"/>
        <w:rPr>
          <w:rFonts w:ascii="Palatino Linotype" w:hAnsi="Palatino Linotype" w:cs="Times New Roman"/>
          <w:sz w:val="20"/>
          <w:szCs w:val="20"/>
        </w:rPr>
      </w:pPr>
      <w:r>
        <w:rPr>
          <w:rFonts w:ascii="Palatino Linotype" w:hAnsi="Palatino Linotype"/>
          <w:sz w:val="17"/>
        </w:rPr>
        <w:t>https://doi.org/10.1109/MEI.2003.1192032</w:t>
      </w:r>
    </w:p>
    <w:p w:rsidR="00F761D6" w:rsidRPr="00F761D6" w:rsidRDefault="00F761D6" w:rsidP="00F761D6">
      <w:pPr>
        <w:pBdr>
          <w:top w:val="nil"/>
          <w:left w:val="nil"/>
          <w:bottom w:val="nil"/>
          <w:right w:val="nil"/>
          <w:between w:val="nil"/>
        </w:pBdr>
        <w:tabs>
          <w:tab w:val="left" w:pos="360"/>
        </w:tabs>
        <w:spacing w:line="240" w:lineRule="auto"/>
        <w:jc w:val="both"/>
        <w:rPr>
          <w:rFonts w:ascii="Palatino Linotype" w:hAnsi="Palatino Linotype" w:cs="Times New Roman"/>
          <w:b/>
          <w:sz w:val="20"/>
          <w:szCs w:val="20"/>
        </w:rPr>
      </w:pPr>
      <w:r>
        <w:rPr>
          <w:rFonts w:ascii="Palatino Linotype" w:hAnsi="Palatino Linotype"/>
          <w:b/>
        </w:rPr>
        <w:t>Book Chapters/Books</w:t>
      </w:r>
    </w:p>
    <w:p w:rsidR="00F761D6" w:rsidRPr="00F761D6" w:rsidRDefault="00F761D6" w:rsidP="00F761D6">
      <w:pPr>
        <w:pStyle w:val="ListParagraph"/>
        <w:numPr>
          <w:ilvl w:val="0"/>
          <w:numId w:val="2"/>
        </w:numPr>
        <w:pBdr>
          <w:top w:val="nil"/>
          <w:left w:val="nil"/>
          <w:bottom w:val="nil"/>
          <w:right w:val="nil"/>
          <w:between w:val="nil"/>
        </w:pBdr>
        <w:tabs>
          <w:tab w:val="left" w:pos="360"/>
        </w:tabs>
        <w:spacing w:before="240" w:line="240" w:lineRule="auto"/>
        <w:ind w:left="360"/>
        <w:jc w:val="both"/>
        <w:rPr>
          <w:rFonts w:ascii="Palatino Linotype" w:hAnsi="Palatino Linotype" w:cs="Times New Roman"/>
          <w:b/>
          <w:sz w:val="20"/>
          <w:szCs w:val="20"/>
        </w:rPr>
      </w:pPr>
      <w:r>
        <w:rPr>
          <w:rFonts w:ascii="Palatino Linotype" w:hAnsi="Palatino Linotype"/>
          <w:sz w:val="19"/>
        </w:rPr>
        <w:t>A. Shintemirov, W. H. Tang, and Q. H. Wu, “Transformer winding condition assessment using frequency response analysis and evidential reasoning,” IET Electric Power Applications, vol. 4, no. 3, pp. 198-212, 2010.</w:t>
      </w:r>
    </w:p>
    <w:p w:rsidR="00F761D6" w:rsidRPr="00F761D6" w:rsidRDefault="001D1909" w:rsidP="00F761D6">
      <w:pPr>
        <w:pStyle w:val="ListParagraph"/>
        <w:pBdr>
          <w:top w:val="nil"/>
          <w:left w:val="nil"/>
          <w:bottom w:val="nil"/>
          <w:right w:val="nil"/>
          <w:between w:val="nil"/>
        </w:pBdr>
        <w:tabs>
          <w:tab w:val="left" w:pos="360"/>
        </w:tabs>
        <w:spacing w:before="240" w:line="240" w:lineRule="auto"/>
        <w:ind w:left="360"/>
        <w:jc w:val="both"/>
        <w:rPr>
          <w:rFonts w:ascii="Palatino Linotype" w:hAnsi="Palatino Linotype" w:cs="Times New Roman"/>
          <w:b/>
          <w:sz w:val="20"/>
          <w:szCs w:val="20"/>
        </w:rPr>
      </w:pPr>
      <w:r>
        <w:rPr>
          <w:rFonts w:ascii="Palatino Linotype" w:hAnsi="Palatino Linotype"/>
          <w:sz w:val="17"/>
        </w:rPr>
        <w:t>https://doi.org/10.1049/iet-epa.2009.0125</w:t>
      </w:r>
    </w:p>
    <w:p w:rsidR="00F761D6" w:rsidRDefault="00F761D6" w:rsidP="00F761D6">
      <w:pPr>
        <w:pStyle w:val="ListParagraph"/>
        <w:pBdr>
          <w:top w:val="nil"/>
          <w:left w:val="nil"/>
          <w:bottom w:val="nil"/>
          <w:right w:val="nil"/>
          <w:between w:val="nil"/>
        </w:pBdr>
        <w:tabs>
          <w:tab w:val="left" w:pos="360"/>
        </w:tabs>
        <w:spacing w:before="240" w:line="240" w:lineRule="auto"/>
        <w:ind w:left="360"/>
        <w:jc w:val="both"/>
        <w:rPr>
          <w:rFonts w:ascii="Palatino Linotype" w:hAnsi="Palatino Linotype" w:cs="Times New Roman"/>
          <w:b/>
          <w:sz w:val="20"/>
          <w:szCs w:val="20"/>
        </w:rPr>
      </w:pPr>
    </w:p>
    <w:p w:rsidR="00F761D6" w:rsidRDefault="00F761D6" w:rsidP="00F761D6">
      <w:pPr>
        <w:pStyle w:val="ListParagraph"/>
        <w:pBdr>
          <w:top w:val="nil"/>
          <w:left w:val="nil"/>
          <w:bottom w:val="nil"/>
          <w:right w:val="nil"/>
          <w:between w:val="nil"/>
        </w:pBdr>
        <w:tabs>
          <w:tab w:val="left" w:pos="360"/>
        </w:tabs>
        <w:spacing w:before="240" w:line="240" w:lineRule="auto"/>
        <w:ind w:left="360"/>
        <w:jc w:val="both"/>
        <w:rPr>
          <w:rFonts w:ascii="Palatino Linotype" w:hAnsi="Palatino Linotype" w:cs="Times New Roman"/>
          <w:b/>
          <w:sz w:val="20"/>
          <w:szCs w:val="20"/>
        </w:rPr>
      </w:pPr>
      <w:r>
        <w:rPr>
          <w:rFonts w:ascii="Palatino Linotype" w:hAnsi="Palatino Linotype"/>
          <w:b/>
        </w:rPr>
        <w:t>Standards/Reports</w:t>
      </w:r>
    </w:p>
    <w:p w:rsidR="00F761D6" w:rsidRDefault="00F761D6" w:rsidP="00F761D6">
      <w:pPr>
        <w:pStyle w:val="ListParagraph"/>
        <w:pBdr>
          <w:top w:val="nil"/>
          <w:left w:val="nil"/>
          <w:bottom w:val="nil"/>
          <w:right w:val="nil"/>
          <w:between w:val="nil"/>
        </w:pBdr>
        <w:tabs>
          <w:tab w:val="left" w:pos="360"/>
        </w:tabs>
        <w:spacing w:before="240" w:line="240" w:lineRule="auto"/>
        <w:ind w:left="360"/>
        <w:jc w:val="both"/>
        <w:rPr>
          <w:rFonts w:ascii="Palatino Linotype" w:hAnsi="Palatino Linotype" w:cs="Times New Roman"/>
          <w:b/>
          <w:sz w:val="20"/>
          <w:szCs w:val="20"/>
        </w:rPr>
      </w:pPr>
    </w:p>
    <w:p w:rsidR="00F761D6" w:rsidRPr="00F761D6" w:rsidRDefault="00F761D6" w:rsidP="00F761D6">
      <w:pPr>
        <w:pStyle w:val="ListParagraph"/>
        <w:numPr>
          <w:ilvl w:val="0"/>
          <w:numId w:val="2"/>
        </w:numPr>
        <w:pBdr>
          <w:top w:val="nil"/>
          <w:left w:val="nil"/>
          <w:bottom w:val="nil"/>
          <w:right w:val="nil"/>
          <w:between w:val="nil"/>
        </w:pBdr>
        <w:tabs>
          <w:tab w:val="left" w:pos="360"/>
        </w:tabs>
        <w:spacing w:before="240" w:line="240" w:lineRule="auto"/>
        <w:ind w:left="360"/>
        <w:jc w:val="both"/>
        <w:rPr>
          <w:rFonts w:ascii="Palatino Linotype" w:hAnsi="Palatino Linotype" w:cs="Times New Roman"/>
          <w:b/>
          <w:sz w:val="20"/>
          <w:szCs w:val="20"/>
        </w:rPr>
      </w:pPr>
      <w:r>
        <w:rPr>
          <w:rFonts w:ascii="Palatino Linotype" w:hAnsi="Palatino Linotype"/>
          <w:sz w:val="19"/>
        </w:rPr>
        <w:t>M. Tahir and S. Tenbohlen, “Numerical analysis of transformer winding deformation using high-frequency distributed parameters,” MDPI Energies, vol. 14, no. 15, art. no. 4521, 2021.</w:t>
      </w:r>
    </w:p>
    <w:p w:rsidR="00F761D6" w:rsidRPr="00F761D6" w:rsidRDefault="001D1909" w:rsidP="00F761D6">
      <w:pPr>
        <w:pStyle w:val="ListParagraph"/>
        <w:pBdr>
          <w:top w:val="nil"/>
          <w:left w:val="nil"/>
          <w:bottom w:val="nil"/>
          <w:right w:val="nil"/>
          <w:between w:val="nil"/>
        </w:pBdr>
        <w:tabs>
          <w:tab w:val="left" w:pos="360"/>
        </w:tabs>
        <w:spacing w:before="240" w:line="240" w:lineRule="auto"/>
        <w:ind w:left="360"/>
        <w:jc w:val="both"/>
        <w:rPr>
          <w:rFonts w:ascii="Palatino Linotype" w:hAnsi="Palatino Linotype" w:cs="Times New Roman"/>
          <w:sz w:val="20"/>
          <w:szCs w:val="20"/>
        </w:rPr>
      </w:pPr>
      <w:r>
        <w:rPr>
          <w:rFonts w:ascii="Palatino Linotype" w:hAnsi="Palatino Linotype"/>
          <w:sz w:val="17"/>
        </w:rPr>
        <w:t>https://doi.org/10.3390/en14154521</w:t>
      </w:r>
    </w:p>
    <w:p w:rsidR="009E0D69" w:rsidRPr="009E0D69" w:rsidRDefault="009E0D69" w:rsidP="00703F2A">
      <w:pPr>
        <w:pStyle w:val="ListParagraph"/>
        <w:numPr>
          <w:ilvl w:val="0"/>
          <w:numId w:val="2"/>
        </w:numPr>
        <w:pBdr>
          <w:top w:val="nil"/>
          <w:left w:val="nil"/>
          <w:bottom w:val="nil"/>
          <w:right w:val="nil"/>
          <w:between w:val="nil"/>
        </w:pBdr>
        <w:tabs>
          <w:tab w:val="left" w:pos="360"/>
        </w:tabs>
        <w:spacing w:line="240" w:lineRule="auto"/>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sidRPr="0096233C">
      <w:rPr>
        <w:rFonts w:ascii="Palatino Linotype" w:hAnsi="Palatino Linotype" w:cs="Arial"/>
        <w:sz w:val="20"/>
        <w:szCs w:val="20"/>
      </w:rPr>
      <w:t xml:space="preserve">Harini Panigrahi </w:t>
    </w:r>
    <w:proofErr w:type="gramStart"/>
    <w:r w:rsidRPr="0096233C">
      <w:rPr>
        <w:rFonts w:ascii="Palatino Linotype" w:hAnsi="Palatino Linotype" w:cs="Arial"/>
        <w:sz w:val="20"/>
        <w:szCs w:val="20"/>
      </w:rPr>
      <w:t>et.al.,</w:t>
    </w:r>
    <w:proofErr w:type="gramEnd"/>
    <w:r w:rsidRPr="0096233C">
      <w:rPr>
        <w:rFonts w:ascii="Palatino Linotype" w:hAnsi="Palatino Linotype" w:cs="Arial"/>
        <w:sz w:val="20"/>
        <w:szCs w:val="20"/>
      </w:rPr>
      <w:t xml:space="preserve">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