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80"/>
        <w:jc w:val="center"/>
        <w:rPr>
          <w:rFonts w:ascii="Times New Roman" w:hAnsi="Times New Roman" w:cs="Times New Roman"/>
          <w:b/>
          <w:sz w:val="48"/>
          <w:szCs w:val="48"/>
        </w:rPr>
      </w:pPr>
      <w:r/>
      <w:r>
        <w:rPr>
          <w:rFonts w:ascii="Times New Roman" w:hAnsi="Times New Roman"/>
          <w:b/>
          <w:color w:val="000000"/>
          <w:sz w:val="40"/>
        </w:rPr>
        <w:t>IntelliFRA: An AI-Based Platform for Automated Transformer Fault Analysis</w:t>
      </w:r>
    </w:p>
    <w:p w:rsidR="0060487A" w:rsidRPr="0060487A" w:rsidRDefault="0060487A" w:rsidP="0060487A">
      <w:pPr>
        <w:spacing w:before="0" w:after="0" w:line="240" w:lineRule="auto"/>
        <w:jc w:val="center"/>
        <w:rPr>
          <w:rFonts w:ascii="Times New Roman" w:hAnsi="Times New Roman" w:cs="Times New Roman"/>
          <w:sz w:val="24"/>
          <w:szCs w:val="24"/>
        </w:rPr>
      </w:pPr>
    </w:p>
    <w:p w:rsidR="0060487A" w:rsidRPr="007000AE" w:rsidRDefault="003F2D59" w:rsidP="005A474D">
      <w:pPr>
        <w:spacing w:after="40" w:line="600" w:lineRule="auto" w:before="40"/>
        <w:jc w:val="center"/>
        <w:rPr>
          <w:rFonts w:ascii="Times New Roman" w:hAnsi="Times New Roman"/>
          <w:sz w:val="24"/>
          <w:szCs w:val="24"/>
          <w:lang w:val="en-GB"/>
        </w:rPr>
      </w:pPr>
      <w:r>
        <w:rPr>
          <w:rFonts w:ascii="Times New Roman" w:hAnsi="Times New Roman"/>
          <w:sz w:val="23"/>
          <w:szCs w:val="24"/>
          <w:lang w:val="en-GB"/>
        </w:rPr>
        <w:t>Harini Panigrahi</w:t>
      </w:r>
      <w:r w:rsidR="009D194E">
        <w:rPr>
          <w:rFonts w:ascii="Times New Roman" w:hAnsi="Times New Roman"/>
          <w:sz w:val="23"/>
          <w:szCs w:val="24"/>
          <w:lang w:val="en-GB"/>
        </w:rPr>
        <w:t>¹</w:t>
      </w:r>
      <w:r>
        <w:rPr>
          <w:rFonts w:ascii="Times New Roman" w:hAnsi="Times New Roman"/>
          <w:sz w:val="23"/>
          <w:szCs w:val="24"/>
          <w:lang w:val="en-GB"/>
        </w:rPr>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3"/>
          <w:szCs w:val="24"/>
          <w:lang w:val="en-GB"/>
        </w:rPr>
        <w:t xml:space="preserve">, </w:t>
      </w:r>
      <w:r>
        <w:rPr>
          <w:rFonts w:ascii="Times New Roman" w:hAnsi="Times New Roman"/>
          <w:sz w:val="23"/>
          <w:szCs w:val="24"/>
          <w:lang w:val="en-GB"/>
        </w:rPr>
        <w:t>Neha Verma¹</w:t>
      </w:r>
      <w:r w:rsidR="004B20D4">
        <w:rPr>
          <w:rFonts w:ascii="Times New Roman" w:hAnsi="Times New Roman"/>
          <w:sz w:val="23"/>
          <w:szCs w:val="24"/>
          <w:lang w:val="en-GB"/>
        </w:rPr>
        <w:t xml:space="preserve">, </w:t>
      </w:r>
      <w:r w:rsidR="009D194E">
        <w:rPr>
          <w:rFonts w:ascii="Times New Roman" w:hAnsi="Times New Roman"/>
          <w:sz w:val="23"/>
          <w:szCs w:val="24"/>
          <w:lang w:val="en-GB"/>
        </w:rPr>
        <w:t>Prapti Bhayde</w:t>
      </w:r>
      <w:r>
        <w:rPr>
          <w:rFonts w:ascii="Times New Roman" w:hAnsi="Times New Roman"/>
          <w:sz w:val="23"/>
          <w:szCs w:val="24"/>
          <w:lang w:val="en-GB"/>
        </w:rPr>
        <w:t>¹</w:t>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9"/>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3"/>
          <w:szCs w:val="24"/>
          <w:lang w:val="en-GB"/>
        </w:rPr>
        <w:t xml:space="preserve">, </w:t>
      </w:r>
      <w:proofErr w:type="spellStart"/>
      <w:r w:rsidR="007000AE">
        <w:rPr>
          <w:rFonts w:ascii="Times New Roman" w:hAnsi="Times New Roman"/>
          <w:sz w:val="23"/>
          <w:szCs w:val="24"/>
          <w:lang w:val="en-GB"/>
        </w:rPr>
        <w:t>Yooraj Gole¹</w:t>
      </w:r>
      <w:proofErr w:type="spellEnd"/>
      <w:r w:rsidR="007000AE">
        <w:rPr>
          <w:rFonts w:ascii="Times New Roman" w:hAnsi="Times New Roman"/>
          <w:sz w:val="23"/>
          <w:szCs w:val="24"/>
          <w:lang w:val="en-GB"/>
        </w:rPr>
        <w:t xml:space="preserve">, </w:t>
      </w:r>
      <w:r w:rsidR="00FF1092">
        <w:rPr>
          <w:rFonts w:ascii="Times New Roman" w:hAnsi="Times New Roman"/>
          <w:sz w:val="23"/>
          <w:szCs w:val="24"/>
          <w:lang w:val="en-GB"/>
        </w:rPr>
        <w:t>Bhanu Tekwani¹*</w:t>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35" w:lineRule="auto" w:before="40" w:after="40"/>
              <w:jc w:val="both"/>
              <w:rPr>
                <w:rFonts w:ascii="Palatino Linotype" w:hAnsi="Palatino Linotype"/>
                <w:sz w:val="20"/>
                <w:szCs w:val="24"/>
                <w:lang w:val="en-GB"/>
              </w:rPr>
            </w:pPr>
            <w:r/>
            <w:r>
              <w:rPr>
                <w:rFonts w:ascii="Palatino Linotype" w:hAnsi="Palatino Linotype"/>
                <w:b/>
                <w:sz w:val="19"/>
              </w:rPr>
              <w:t xml:space="preserve">Abstract: </w:t>
            </w:r>
            <w:r>
              <w:rPr>
                <w:rFonts w:ascii="Palatino Linotype" w:hAnsi="Palatino Linotype"/>
                <w:sz w:val="19"/>
              </w:rPr>
              <w:t>Detecting internal mechanical movement inside high-voltage transformers before insulation breakdown occurs remains a critical challenge for power utilities. Sweep Frequency Response Analysis (SFRA) captures winding and core geometry through transfer-function magnitudes, yet maintenance engineers still rely heavily on manual trace overlays. We present IntelliFRA, an open-source web platform that automates SFRA triage from raw magnitude sweeps. Uploaded CSV or TXT sweeps (≥50 points) are standardized to 500 samples and evaluated by a four-stage diagnostic engine. A 140,644-parameter 1D Convolutional Neural Network (1D-CNN) classifies traces into Normal, Minor Deviation, Moderate Fault, or High Fault Risk categories. Concurrently, a 312,532-parameter dense Autoencoder fitted exclusively on healthy responses measures out-of-distribution departure via reconstruction error. Borderline classifications undergo morphological sanity checks (smoothness, monotonicity, peak counts) alongside a deterministic Fast Fourier Transform (FFT) fallback. Trained on 50,000 synthetic sweeps spanning six physical fault archetypes, the 1D-CNN achieves 94.41% validation accuracy (weighted F1 = 0.9443), while the Autoencoder detects 98.47% of abnormal curves with 100% fault recall. CPU inference executes in 0.274 ms, delivering real-time automated triage for electrical grid operations.</w:t>
            </w:r>
          </w:p>
          <w:p>
            <w:pPr>
              <w:spacing w:line="235" w:lineRule="auto" w:before="40" w:after="40"/>
              <w:jc w:val="both"/>
            </w:pPr>
            <w:r>
              <w:rPr>
                <w:rFonts w:ascii="Palatino Linotype" w:hAnsi="Palatino Linotype"/>
                <w:b/>
                <w:sz w:val="19"/>
              </w:rPr>
              <w:t xml:space="preserve">Keywords: </w:t>
            </w:r>
            <w:r>
              <w:rPr>
                <w:rFonts w:ascii="Palatino Linotype" w:hAnsi="Palatino Linotype"/>
                <w:sz w:val="19"/>
              </w:rPr>
              <w:t>Sweep frequency response analysis, Transformer fault detection, 1D-CNN, Autoencoder, Anomaly detection, Power asset health.</w:t>
            </w:r>
          </w:p>
        </w:tc>
      </w:tr>
    </w:tbl>
    <w:p w:rsidR="00FB0A6D" w:rsidRDefault="00FB0A6D" w:rsidP="00FB0A6D">
      <w:pPr>
        <w:pStyle w:val="ListParagraph"/>
        <w:spacing w:before="20" w:after="40"/>
        <w:ind w:left="0"/>
        <w:jc w:val="center"/>
        <w:rPr>
          <w:rFonts w:ascii="Times New Roman" w:hAnsi="Times New Roman" w:cs="Times New Roman"/>
          <w:b/>
          <w:sz w:val="20"/>
          <w:szCs w:val="20"/>
        </w:rPr>
      </w:pPr>
      <w:r/>
      <w:r>
        <w:rPr>
          <w:rFonts w:ascii="Palatino Linotype" w:hAnsi="Palatino Linotype"/>
          <w:sz w:val="18"/>
        </w:rPr>
        <w:t>¹Department of Information Technology, Vidyalankar Institute of Technology, Mumbai 400037, Maharashtra, India</w:t>
        <w:br/>
      </w:r>
      <w:r>
        <w:rPr>
          <w:rFonts w:ascii="Palatino Linotype" w:hAnsi="Palatino Linotype"/>
          <w:sz w:val="17"/>
        </w:rPr>
        <w:t>E-mails: harinipanigrahi15@gmail.com, neha.nandkumar.verma@gmail.com, prapti.bhayde66@gmail.com, Yooraj20gole@gmail.com, bhanu.tekwani@vit.edu.in*</w:t>
        <w:br/>
      </w:r>
      <w:r>
        <w:rPr>
          <w:rFonts w:ascii="Palatino Linotype" w:hAnsi="Palatino Linotype"/>
          <w:sz w:val="17"/>
        </w:rPr>
        <w:t>ORCID: Harini Panigrahi (https://orcid.org/0009-0006-6723-2991), Prapti Bhayde (https://orcid.org/0009-0002-8027-1523)  |  * Corresponding Author</w:t>
      </w:r>
    </w:p>
    <w:p w:rsidR="00FB0A6D" w:rsidRDefault="00FB0A6D" w:rsidP="00FB0A6D">
      <w:pPr>
        <w:pStyle w:val="ListParagraph"/>
        <w:spacing w:before="0" w:after="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p>
    <w:p w:rsidR="005467C7" w:rsidRPr="009D24DC" w:rsidRDefault="00FA2399" w:rsidP="002A5870">
      <w:pPr>
        <w:pStyle w:val="ListParagraph"/>
        <w:numPr>
          <w:ilvl w:val="0"/>
          <w:numId w:val="1"/>
        </w:numPr>
        <w:spacing w:before="80" w:after="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26" w:lineRule="auto" w:before="0" w:after="20"/>
        <w:ind w:firstLine="360"/>
        <w:jc w:val="both"/>
        <w:rPr>
          <w:rFonts w:ascii="Palatino Linotype" w:hAnsi="Palatino Linotype" w:cs="Times New Roman"/>
          <w:sz w:val="20"/>
          <w:szCs w:val="20"/>
        </w:rPr>
      </w:pPr>
      <w:r/>
      <w:r>
        <w:rPr>
          <w:rFonts w:ascii="Palatino Linotype" w:hAnsi="Palatino Linotype"/>
          <w:sz w:val="19"/>
        </w:rPr>
        <w:t>Power transformers form critical nodes in electrical transmission grids, where unexpected catastrophic breakdowns cause prolonged outages and multimillion-dollar replacement expenditures. Among non-intrusive diagnostic techniques, Sweep Frequency Response Analysis (SFRA) provides unmatched sensitivity to internal mechanical deformations, including axial winding shifts, radial buckling, core displacement, and loosened clamping structures long before chemical gas-in-oil alarms indicate insulation failure [1, 11]. Standardized under IEC 60076-18 [2], SFRA applies a sinusoidal low-voltage excitation across frequency decades (typically 1 kHz to 2 MHz) and records transfer function magnitude profiles. However, interpreting SFRA curves remains largely subjective and manual. Field engineers calculate scalar indices such as Correlation Coefficients (CC) or Absolute Sum of Logarithmic Error (ASLE) [1], but fixed numerical thresholds often fail to distinguish operational noise and residual core magnetization [5] from genuine structural damage.</w:t>
      </w:r>
    </w:p>
    <w:p w:rsidR="000573BB" w:rsidRPr="00B6748F" w:rsidRDefault="000573BB" w:rsidP="000573BB">
      <w:pPr>
        <w:pBdr>
          <w:top w:val="single" w:sz="4" w:space="1" w:color="000000"/>
        </w:pBdr>
        <w:shd w:val="clear" w:color="auto" w:fill="D9D9D9"/>
        <w:spacing w:after="10" w:line="221" w:lineRule="auto" w:before="10"/>
        <w:jc w:val="both"/>
        <w:rPr>
          <w:rFonts w:ascii="Palatino Linotype" w:eastAsia="Palatino Linotype" w:hAnsi="Palatino Linotype" w:cs="Palatino Linotype"/>
          <w:b/>
          <w:color w:val="000000"/>
          <w:sz w:val="20"/>
          <w:szCs w:val="20"/>
        </w:rPr>
      </w:pPr>
      <w:r>
        <w:rPr>
          <w:rFonts w:ascii="Palatino Linotype" w:hAnsi="Palatino Linotype"/>
          <w:b/>
          <w:sz w:val="17"/>
        </w:rPr>
        <w:t>History</w:t>
      </w:r>
    </w:p>
    <w:p w:rsidR="000573BB" w:rsidRPr="00B6748F" w:rsidRDefault="000573BB" w:rsidP="000573BB">
      <w:pPr>
        <w:pBdr>
          <w:top w:val="single" w:sz="4" w:space="1" w:color="000000"/>
        </w:pBdr>
        <w:shd w:val="clear" w:color="auto" w:fill="D9D9D9"/>
        <w:spacing w:after="10" w:line="221" w:lineRule="auto" w:before="10"/>
        <w:jc w:val="both"/>
        <w:rPr>
          <w:rFonts w:ascii="Palatino Linotype" w:eastAsia="Palatino Linotype" w:hAnsi="Palatino Linotype" w:cs="Palatino Linotype"/>
          <w:color w:val="000000"/>
          <w:sz w:val="20"/>
          <w:szCs w:val="20"/>
        </w:rPr>
      </w:pPr>
      <w:r>
        <w:rPr>
          <w:rFonts w:ascii="Palatino Linotype" w:hAnsi="Palatino Linotype"/>
          <w:sz w:val="17"/>
        </w:rPr>
        <w:t>Received: 01-03-2025;</w:t>
        <w:tab/>
        <w:tab/>
        <w:t>Revised: 15-05-2025;</w:t>
      </w:r>
    </w:p>
    <w:p w:rsidR="000573BB" w:rsidRPr="00B6748F" w:rsidRDefault="000573BB" w:rsidP="000573BB">
      <w:pPr>
        <w:pBdr>
          <w:top w:val="single" w:sz="4" w:space="1" w:color="000000"/>
        </w:pBdr>
        <w:shd w:val="clear" w:color="auto" w:fill="D9D9D9"/>
        <w:spacing w:after="10" w:line="221" w:lineRule="auto" w:before="10"/>
        <w:jc w:val="both"/>
        <w:rPr>
          <w:rFonts w:ascii="Palatino Linotype" w:eastAsia="Palatino Linotype" w:hAnsi="Palatino Linotype" w:cs="Palatino Linotype"/>
          <w:color w:val="000000"/>
          <w:sz w:val="20"/>
          <w:szCs w:val="20"/>
        </w:rPr>
      </w:pPr>
      <w:r>
        <w:rPr>
          <w:rFonts w:ascii="Palatino Linotype" w:hAnsi="Palatino Linotype"/>
          <w:sz w:val="17"/>
        </w:rPr>
        <w:t>Accepted: 30-05-2025</w:t>
        <w:tab/>
        <w:tab/>
      </w:r>
    </w:p>
    <w:p w:rsidR="000573BB" w:rsidRPr="00B6748F" w:rsidRDefault="000573BB" w:rsidP="000573BB">
      <w:pPr>
        <w:pBdr>
          <w:top w:val="single" w:sz="4" w:space="1" w:color="000000"/>
        </w:pBdr>
        <w:shd w:val="clear" w:color="auto" w:fill="F2F2F2"/>
        <w:spacing w:before="10" w:after="10" w:line="221" w:lineRule="auto"/>
        <w:jc w:val="both"/>
        <w:rPr>
          <w:rFonts w:ascii="Times New Roman" w:hAnsi="Times New Roman" w:cs="Times New Roman"/>
          <w:sz w:val="20"/>
          <w:szCs w:val="24"/>
        </w:rPr>
      </w:pPr>
      <w:r>
        <w:rPr>
          <w:rFonts w:ascii="Palatino Linotype" w:hAnsi="Palatino Linotype"/>
          <w:b/>
          <w:noProof/>
          <w:sz w:val="17"/>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17"/>
        </w:rPr>
        <w:tab/>
      </w:r>
      <w:r w:rsidRPr="00BD3816">
        <w:rPr>
          <w:rFonts w:ascii="Palatino Linotype" w:hAnsi="Palatino Linotype" w:cs="Times New Roman"/>
          <w:b/>
          <w:sz w:val="17"/>
          <w:szCs w:val="24"/>
        </w:rPr>
        <w:t xml:space="preserve">Bhanu </w:t>
      </w:r>
      <w:proofErr w:type="spellStart"/>
      <w:r w:rsidRPr="00BD3816">
        <w:rPr>
          <w:rFonts w:ascii="Palatino Linotype" w:hAnsi="Palatino Linotype" w:cs="Times New Roman"/>
          <w:b/>
          <w:sz w:val="17"/>
          <w:szCs w:val="24"/>
        </w:rPr>
        <w:t>Tekwani</w:t>
      </w:r>
      <w:proofErr w:type="spellEnd"/>
    </w:p>
    <w:p w:rsidR="000573BB" w:rsidRPr="00496567" w:rsidRDefault="001D1909" w:rsidP="00496567">
      <w:pPr>
        <w:pBdr>
          <w:top w:val="single" w:sz="4" w:space="1" w:color="000000"/>
        </w:pBdr>
        <w:shd w:val="clear" w:color="auto" w:fill="F2F2F2"/>
        <w:spacing w:after="10" w:line="221" w:lineRule="auto" w:before="10"/>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17"/>
        </w:rPr>
        <w:t>bhanu.tekwani@vit.edu.in</w:t>
      </w:r>
    </w:p>
    <w:p w:rsidR="000573BB" w:rsidRPr="00B6748F" w:rsidRDefault="000573BB" w:rsidP="000573BB">
      <w:pPr>
        <w:pBdr>
          <w:top w:val="single" w:sz="4" w:space="1" w:color="000000"/>
        </w:pBdr>
        <w:shd w:val="clear" w:color="auto" w:fill="F2F2F2"/>
        <w:spacing w:before="10" w:after="10" w:line="221" w:lineRule="auto"/>
        <w:jc w:val="both"/>
        <w:rPr>
          <w:rFonts w:ascii="Palatino Linotype" w:hAnsi="Palatino Linotype" w:cs="Times New Roman"/>
          <w:sz w:val="20"/>
          <w:szCs w:val="24"/>
        </w:rPr>
      </w:pPr>
      <w:r>
        <w:rPr>
          <w:rFonts w:ascii="Palatino Linotype" w:hAnsi="Palatino Linotype"/>
          <w:sz w:val="17"/>
        </w:rPr>
        <w:t>¹Department of Information Technology, Vidyalankar Institute of Technology, Mumbai – 400037, India</w:t>
      </w:r>
    </w:p>
    <w:p w:rsidR="005A474D" w:rsidRPr="009D24DC" w:rsidRDefault="00B313DF" w:rsidP="00703F2A">
      <w:pPr>
        <w:pBdr>
          <w:top w:val="nil"/>
          <w:left w:val="nil"/>
          <w:bottom w:val="nil"/>
          <w:right w:val="nil"/>
          <w:between w:val="nil"/>
        </w:pBdr>
        <w:spacing w:before="0" w:line="226" w:lineRule="auto" w:after="20"/>
        <w:ind w:firstLine="360"/>
        <w:jc w:val="both"/>
        <w:rPr>
          <w:rFonts w:ascii="Palatino Linotype" w:hAnsi="Palatino Linotype" w:cs="Times New Roman"/>
          <w:sz w:val="20"/>
          <w:szCs w:val="20"/>
        </w:rPr>
      </w:pPr>
      <w:r/>
      <w:r>
        <w:rPr>
          <w:rFonts w:ascii="Palatino Linotype" w:hAnsi="Palatino Linotype"/>
          <w:sz w:val="19"/>
        </w:rPr>
        <w:t>Because manufacturing lead times for large transmission transformers routinely exceed twelve months, utility maintenance schedules demand rapid, objective triage [12]. Conductor displacements of merely a few millimeters alter distributed capacitances sufficiently to shift high-frequency resonance poles [13]. To eliminate reliance on scarce interpretive experts, we present IntelliFRA, an open-source, full-stack diagnostic system. Engineers upload raw CSV or TXT sweep files via an intuitive web interface, receiving an immediate four-grade severity classification, softmax probabilities, an unsupervised anomaly ratio, and plain-language maintenance recommendations. This paper formalizes the underlying architecture, states all mathematical formulations (Eq. (1)–(15)), details the 50,000-curve physics-based dataset, and presents comprehensive cross-validation, ablation, and CPU timing benchmarks.</w:t>
      </w:r>
    </w:p>
    <w:p>
      <w:pPr>
        <w:pStyle w:val="ListParagraph"/>
        <w:numPr>
          <w:ilvl w:val="0"/>
          <w:numId w:val="1"/>
        </w:numPr>
        <w:spacing w:before="70" w:after="20" w:line="240" w:lineRule="auto"/>
      </w:pPr>
      <w:r>
        <w:rPr>
          <w:rFonts w:ascii="Palatino Linotype" w:hAnsi="Palatino Linotype"/>
          <w:b/>
          <w:sz w:val="20"/>
        </w:rPr>
        <w:t>Related Work</w:t>
      </w:r>
    </w:p>
    <w:p>
      <w:pPr>
        <w:spacing w:line="226" w:lineRule="auto" w:before="0" w:after="20"/>
        <w:jc w:val="both"/>
      </w:pPr>
      <w:r>
        <w:rPr>
          <w:rFonts w:ascii="Palatino Linotype" w:hAnsi="Palatino Linotype"/>
          <w:sz w:val="19"/>
        </w:rPr>
        <w:t>Early research focused on statistical and sub-band indicators to standardize SFRA interpretation. Shintemirov et al. [3] combined sub-band correlation coefficients with evidential reasoning to grade winding health, while Secue and Mombello [11] characterized axial and radial displacements by mapping resonance shift patterns across distinct frequency windows. Tahir and Tenbohlen [4] developed high-frequency lumped-circuit models to investigate winding deformation dynamics under transient excitation, complementing experimental short-circuit impedance studies by Bagheri et al. [12] and Behjat et al. [13]. While these scalar indices capture gross spectral changes, they struggle to discriminate complex multi-fault conditions without customized baseline calibrations.</w:t>
      </w:r>
    </w:p>
    <w:p>
      <w:pPr>
        <w:spacing w:line="226" w:lineRule="auto" w:before="0" w:after="20"/>
        <w:jc w:val="both"/>
      </w:pPr>
      <w:r>
        <w:rPr>
          <w:rFonts w:ascii="Palatino Linotype" w:hAnsi="Palatino Linotype"/>
          <w:sz w:val="19"/>
        </w:rPr>
        <w:t>Machine learning classifiers emerged to automate pattern recognition from extracted feature vectors. However, manual sub-band feature engineering often discards subtle shape variations. Ince, Kiranyaz et al. [15] demonstrated that 1D Convolutional Neural Networks (1D-CNN) operating directly on raw time-series and spectral signals outperform hand-crafted descriptors because convolutional filters adaptively learn localized resonance signatures without manual feature extraction. Recent work by Phillip et al. [6, 10] verified that deep learning models can accurately categorize transformer FRA curves into distinct severity groups. Nevertheless, pure supervised classifiers enforce closed-set decisions, assigning every curve to a known training category even when presented with unmodeled topologies, measurement artifacts, or novel fault modes.</w:t>
      </w:r>
    </w:p>
    <w:p>
      <w:pPr>
        <w:spacing w:line="226" w:lineRule="auto" w:before="0" w:after="20"/>
        <w:jc w:val="both"/>
      </w:pPr>
      <w:r>
        <w:rPr>
          <w:rFonts w:ascii="Palatino Linotype" w:hAnsi="Palatino Linotype"/>
          <w:sz w:val="19"/>
        </w:rPr>
        <w:t>To mitigate closed-set brittleness, unsupervised reconstruction models provide a principled novelty gate. Chandola et al. [7] and Sakurada and Yairi [16] demonstrated that autoencoders trained strictly on normal operational records effectively detect novel anomalies via elevated reconstruction error. In the transformer domain, where utility fault records are scarce, Zhang et al. [14] demonstrated that distributed ladder networks reproduce high-frequency coupling behavior accurately. IntelliFRA bridges prior gaps by integrating a physics-based synthetic generation engine, dual supervised 1D-CNN and unsupervised autoencoder inference, morphological sanity filters, and an authenticated production web application.</w:t>
      </w:r>
    </w:p>
    <w:p>
      <w:pPr>
        <w:pStyle w:val="ListParagraph"/>
        <w:numPr>
          <w:ilvl w:val="0"/>
          <w:numId w:val="1"/>
        </w:numPr>
        <w:spacing w:before="70" w:after="20" w:line="240" w:lineRule="auto"/>
      </w:pPr>
      <w:r>
        <w:rPr>
          <w:rFonts w:ascii="Palatino Linotype" w:hAnsi="Palatino Linotype"/>
          <w:b/>
          <w:sz w:val="20"/>
        </w:rPr>
        <w:t>System Architecture</w:t>
      </w:r>
    </w:p>
    <w:p>
      <w:pPr>
        <w:spacing w:line="226" w:lineRule="auto" w:before="0" w:after="20"/>
        <w:jc w:val="both"/>
      </w:pPr>
      <w:r>
        <w:rPr>
          <w:rFonts w:ascii="Palatino Linotype" w:hAnsi="Palatino Linotype"/>
          <w:sz w:val="19"/>
        </w:rPr>
        <w:t>IntelliFRA executes automated triage through a five-stage modular pipeline: (1) ingestion and validation, (2) length standardization and per-curve z-score normalization, (3) dual neural and morphological inference, (4) relational storage with per-user partitioning, and (5) interactive browser visualization. The overall software architecture is depicted in Fig. 1. FastAPI orchestrates data flow across REST endpoints, ensuring complete decoupling between client ingestion and backend inference.</w:t>
      </w:r>
    </w:p>
    <w:p>
      <w:pPr>
        <w:spacing w:before="20" w:after="20"/>
        <w:jc w:val="center"/>
      </w:pPr>
      <w:r>
        <w:drawing>
          <wp:inline xmlns:a="http://schemas.openxmlformats.org/drawingml/2006/main" xmlns:pic="http://schemas.openxmlformats.org/drawingml/2006/picture">
            <wp:extent cx="1691640" cy="1633419"/>
            <wp:docPr id="398200266" name="Picture 398200266"/>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1691640" cy="1633419"/>
                    </a:xfrm>
                    <a:prstGeom prst="rect"/>
                  </pic:spPr>
                </pic:pic>
              </a:graphicData>
            </a:graphic>
          </wp:inline>
        </w:drawing>
      </w:r>
    </w:p>
    <w:p>
      <w:pPr>
        <w:spacing w:line="240" w:lineRule="auto" w:before="20" w:after="30"/>
        <w:jc w:val="center"/>
      </w:pPr>
      <w:r>
        <w:rPr>
          <w:rFonts w:ascii="Palatino Linotype" w:hAnsi="Palatino Linotype"/>
          <w:b/>
          <w:sz w:val="17"/>
        </w:rPr>
        <w:t xml:space="preserve">Fig. 1: </w:t>
      </w:r>
      <w:r>
        <w:rPr>
          <w:rFonts w:ascii="Palatino Linotype" w:hAnsi="Palatino Linotype"/>
          <w:sz w:val="17"/>
        </w:rPr>
        <w:t>IntelliFRA end-to-end software and diagnostic architecture</w:t>
      </w:r>
    </w:p>
    <w:p>
      <w:pPr>
        <w:spacing w:line="240" w:lineRule="auto" w:before="44" w:after="10"/>
        <w:jc w:val="left"/>
      </w:pPr>
      <w:r>
        <w:rPr>
          <w:rFonts w:ascii="Palatino Linotype" w:hAnsi="Palatino Linotype"/>
          <w:b/>
          <w:sz w:val="19"/>
        </w:rPr>
        <w:t>3.1  Data Ingestion and Validation</w:t>
      </w:r>
    </w:p>
    <w:p>
      <w:pPr>
        <w:spacing w:line="226" w:lineRule="auto" w:before="0" w:after="20"/>
        <w:jc w:val="both"/>
      </w:pPr>
      <w:r>
        <w:rPr>
          <w:rFonts w:ascii="Palatino Linotype" w:hAnsi="Palatino Linotype"/>
          <w:sz w:val="19"/>
        </w:rPr>
        <w:t>The upload endpoint (POST /fra/upload) accepts raw .csv and .txt sweep files. The parser automatically detects delimiter formats, verifies numerical integrity, and extracts magnitude readings. In CSV files, csv.DictReader identifies frequency and dB columns automatically regardless of column order, whereas TXT files are parsed token-wise for floating-point values. To prevent memory overflow, uploads are bounded to 2,000 tokens. Sweeps containing fewer than 50 valid float points trigger an immediate HTTP 400 rejection, preventing corrupt or truncated arrays from propagating to downstream inference models.</w:t>
      </w:r>
    </w:p>
    <w:p>
      <w:pPr>
        <w:spacing w:line="240" w:lineRule="auto" w:before="44" w:after="10"/>
        <w:jc w:val="left"/>
      </w:pPr>
      <w:r>
        <w:rPr>
          <w:rFonts w:ascii="Palatino Linotype" w:hAnsi="Palatino Linotype"/>
          <w:b/>
          <w:sz w:val="19"/>
        </w:rPr>
        <w:t>3.2  Preprocessing and Normalization</w:t>
      </w:r>
    </w:p>
    <w:p>
      <w:pPr>
        <w:spacing w:line="226" w:lineRule="auto" w:before="0" w:after="20"/>
        <w:jc w:val="both"/>
      </w:pPr>
      <w:r>
        <w:rPr>
          <w:rFonts w:ascii="Palatino Linotype" w:hAnsi="Palatino Linotype"/>
          <w:sz w:val="19"/>
        </w:rPr>
        <w:t>Sweeps with 50 to 499 points are interpolated to a standard 500-sample grid using boundary edge-value replication (mode='edge'), avoiding artificial step discontinuities associated with zero-padding. Each 500-point vector is then independently normalized to zero mean and unit variance. Per-curve z-score scaling eliminates absolute gain and impedance offsets caused by differing transformer MVA ratings and test-lead arrangements, preserving relative peak heights and resonant notch depths across all voltage classes.</w:t>
      </w:r>
    </w:p>
    <w:p>
      <w:pPr>
        <w:spacing w:line="240" w:lineRule="auto" w:before="44" w:after="10"/>
        <w:jc w:val="left"/>
      </w:pPr>
      <w:r>
        <w:rPr>
          <w:rFonts w:ascii="Palatino Linotype" w:hAnsi="Palatino Linotype"/>
          <w:b/>
          <w:sz w:val="19"/>
        </w:rPr>
        <w:t>3.3  Hybrid AI Inference Engine</w:t>
      </w:r>
    </w:p>
    <w:p>
      <w:pPr>
        <w:spacing w:line="226" w:lineRule="auto" w:before="0" w:after="20"/>
        <w:jc w:val="both"/>
      </w:pPr>
      <w:r>
        <w:rPr>
          <w:rFonts w:ascii="Palatino Linotype" w:hAnsi="Palatino Linotype"/>
          <w:sz w:val="19"/>
        </w:rPr>
        <w:t>Our diagnostic engine couples supervised classification with unsupervised anomaly detection, backed by morphological checks and a deterministic FFT rule engine:</w:t>
      </w:r>
    </w:p>
    <w:p>
      <w:pPr>
        <w:spacing w:line="226" w:lineRule="auto" w:before="0" w:after="20"/>
        <w:jc w:val="both"/>
      </w:pPr>
      <w:r>
        <w:rPr>
          <w:rFonts w:ascii="Palatino Linotype" w:hAnsi="Palatino Linotype"/>
          <w:b/>
          <w:sz w:val="19"/>
        </w:rPr>
        <w:t xml:space="preserve">1D-CNN Classifier: </w:t>
      </w:r>
      <w:r>
        <w:rPr>
          <w:rFonts w:ascii="Palatino Linotype" w:hAnsi="Palatino Linotype"/>
          <w:sz w:val="19"/>
        </w:rPr>
        <w:t>three sequential convolutional blocks (Conv1D with kernel sizes 7, 5, 3 and filter counts 32, 64, 128, each followed by ReLU and MaxPool1D) [8] feed a two-layer dense classification head regularized with dropout (p = 0.2) [18]. Totaling 140,644 trainable parameters (~0.98 MB memory footprint), it maps the 500-point curve to Normal, Minor Deviation, Moderate Fault, or High Fault Risk categories [15].</w:t>
      </w:r>
    </w:p>
    <w:p>
      <w:pPr>
        <w:spacing w:line="226" w:lineRule="auto" w:before="0" w:after="20"/>
        <w:jc w:val="both"/>
      </w:pPr>
      <w:r>
        <w:rPr>
          <w:rFonts w:ascii="Palatino Linotype" w:hAnsi="Palatino Linotype"/>
          <w:b/>
          <w:sz w:val="19"/>
        </w:rPr>
        <w:t xml:space="preserve">Autoencoder Anomaly Gate: </w:t>
      </w:r>
      <w:r>
        <w:rPr>
          <w:rFonts w:ascii="Palatino Linotype" w:hAnsi="Palatino Linotype"/>
          <w:sz w:val="19"/>
        </w:rPr>
        <w:t>a symmetric dense bottleneck architecture (500→256→96→32→96→256→500; 312,532 parameters) trained exclusively on healthy sweeps under Mean Squared Error (MSE) loss [16]. Reconstruction error is scaled against the 95th-percentile normal threshold τ to generate a continuous anomaly ratio.</w:t>
      </w:r>
    </w:p>
    <w:p>
      <w:pPr>
        <w:spacing w:line="226" w:lineRule="auto" w:before="0" w:after="20"/>
        <w:jc w:val="both"/>
      </w:pPr>
      <w:r>
        <w:rPr>
          <w:rFonts w:ascii="Palatino Linotype" w:hAnsi="Palatino Linotype"/>
          <w:b/>
          <w:sz w:val="19"/>
        </w:rPr>
        <w:t xml:space="preserve">Morphological Sanity Filter: </w:t>
      </w:r>
      <w:r>
        <w:rPr>
          <w:rFonts w:ascii="Palatino Linotype" w:hAnsi="Palatino Linotype"/>
          <w:sz w:val="19"/>
        </w:rPr>
        <w:t>a post-processing rule filter examines first-difference variance, monotonic step ratio, and prominent peak counts, overriding over-cautious neural misclassifications on exceptionally smooth sweeps.</w:t>
      </w:r>
    </w:p>
    <w:p>
      <w:pPr>
        <w:spacing w:line="226" w:lineRule="auto" w:before="0" w:after="20"/>
        <w:jc w:val="both"/>
      </w:pPr>
      <w:r>
        <w:rPr>
          <w:rFonts w:ascii="Palatino Linotype" w:hAnsi="Palatino Linotype"/>
          <w:b/>
          <w:sz w:val="19"/>
        </w:rPr>
        <w:t xml:space="preserve">Deterministic FFT Fallback: </w:t>
      </w:r>
      <w:r>
        <w:rPr>
          <w:rFonts w:ascii="Palatino Linotype" w:hAnsi="Palatino Linotype"/>
          <w:sz w:val="19"/>
        </w:rPr>
        <w:t>if PyTorch weights cannot be loaded, the system automatically falls back to deterministic spectral energy and zero-crossing heuristics, ensuring high operational availability in isolated substation environments.</w:t>
      </w:r>
    </w:p>
    <w:p>
      <w:pPr>
        <w:spacing w:line="240" w:lineRule="auto" w:before="44" w:after="10"/>
        <w:jc w:val="left"/>
      </w:pPr>
      <w:r>
        <w:rPr>
          <w:rFonts w:ascii="Palatino Linotype" w:hAnsi="Palatino Linotype"/>
          <w:b/>
          <w:sz w:val="19"/>
        </w:rPr>
        <w:t>3.4  Persistence and Secure API</w:t>
      </w:r>
    </w:p>
    <w:p>
      <w:pPr>
        <w:spacing w:line="226" w:lineRule="auto" w:before="0" w:after="20"/>
        <w:jc w:val="both"/>
      </w:pPr>
      <w:r>
        <w:rPr>
          <w:rFonts w:ascii="Palatino Linotype" w:hAnsi="Palatino Linotype"/>
          <w:sz w:val="19"/>
        </w:rPr>
        <w:t>FastAPI coordinates backend operations over asynchronous REST endpoints: POST /fra/upload ingests sweeps, GET /fra/results/{id} retrieves individual test records, and GET /fra/history returns paginated historical sweeps filterable by severity and date range. Authenticated user sessions are verified using JWT bearer tokens. Analysis records, predicted labels, confidence values, anomaly scores, and 500-point arrays are persisted in SQLAlchemy relational tables with strict foreign-key account isolation.</w:t>
      </w:r>
    </w:p>
    <w:p>
      <w:pPr>
        <w:spacing w:line="240" w:lineRule="auto" w:before="44" w:after="10"/>
        <w:jc w:val="left"/>
      </w:pPr>
      <w:r>
        <w:rPr>
          <w:rFonts w:ascii="Palatino Linotype" w:hAnsi="Palatino Linotype"/>
          <w:b/>
          <w:sz w:val="19"/>
        </w:rPr>
        <w:t>3.5  Frontend Architecture</w:t>
      </w:r>
    </w:p>
    <w:p>
      <w:pPr>
        <w:spacing w:line="226" w:lineRule="auto" w:before="0" w:after="20"/>
        <w:jc w:val="both"/>
      </w:pPr>
      <w:r>
        <w:rPr>
          <w:rFonts w:ascii="Palatino Linotype" w:hAnsi="Palatino Linotype"/>
          <w:sz w:val="19"/>
        </w:rPr>
        <w:t>The web interface is engineered with React 19, Tailwind CSS, Framer Motion, and Recharts. Upon upload, the dashboard renders an interactive 500-point magnitude plot alongside severity badges, softmax probabilities, and Central Electricity Authority (CEA)-aligned technical recommendations (Fig. 2), enabling maintenance crews to interpret results at a glance.</w:t>
      </w:r>
    </w:p>
    <w:p>
      <w:pPr>
        <w:spacing w:before="20" w:after="20"/>
        <w:jc w:val="center"/>
      </w:pPr>
      <w:r>
        <w:drawing>
          <wp:inline xmlns:a="http://schemas.openxmlformats.org/drawingml/2006/main" xmlns:pic="http://schemas.openxmlformats.org/drawingml/2006/picture">
            <wp:extent cx="1920240" cy="1104654"/>
            <wp:docPr id="398200267" name="Picture 398200267"/>
            <wp:cNvGraphicFramePr>
              <a:graphicFrameLocks noChangeAspect="1"/>
            </wp:cNvGraphicFramePr>
            <a:graphic>
              <a:graphicData uri="http://schemas.openxmlformats.org/drawingml/2006/picture">
                <pic:pic>
                  <pic:nvPicPr>
                    <pic:cNvPr id="0" name="image4.png"/>
                    <pic:cNvPicPr/>
                  </pic:nvPicPr>
                  <pic:blipFill>
                    <a:blip r:embed="rId28"/>
                    <a:stretch>
                      <a:fillRect/>
                    </a:stretch>
                  </pic:blipFill>
                  <pic:spPr>
                    <a:xfrm>
                      <a:off x="0" y="0"/>
                      <a:ext cx="1920240" cy="1104654"/>
                    </a:xfrm>
                    <a:prstGeom prst="rect"/>
                  </pic:spPr>
                </pic:pic>
              </a:graphicData>
            </a:graphic>
          </wp:inline>
        </w:drawing>
      </w:r>
    </w:p>
    <w:p>
      <w:pPr>
        <w:spacing w:line="240" w:lineRule="auto" w:before="20" w:after="30"/>
        <w:jc w:val="center"/>
      </w:pPr>
      <w:r>
        <w:rPr>
          <w:rFonts w:ascii="Palatino Linotype" w:hAnsi="Palatino Linotype"/>
          <w:b/>
          <w:sz w:val="17"/>
        </w:rPr>
        <w:t xml:space="preserve">Fig. 2: </w:t>
      </w:r>
      <w:r>
        <w:rPr>
          <w:rFonts w:ascii="Palatino Linotype" w:hAnsi="Palatino Linotype"/>
          <w:sz w:val="17"/>
        </w:rPr>
        <w:t>Comprehensive FRA diagnostic result view showing severity triage, confidence percentage, anomaly ratio, interactive 500-point Recharts curve, and maintenance recommendations</w:t>
      </w:r>
    </w:p>
    <w:p>
      <w:pPr>
        <w:pStyle w:val="ListParagraph"/>
        <w:numPr>
          <w:ilvl w:val="0"/>
          <w:numId w:val="1"/>
        </w:numPr>
        <w:spacing w:before="70" w:after="20" w:line="240" w:lineRule="auto"/>
      </w:pPr>
      <w:r>
        <w:rPr>
          <w:rFonts w:ascii="Palatino Linotype" w:hAnsi="Palatino Linotype"/>
          <w:b/>
          <w:sz w:val="20"/>
        </w:rPr>
        <w:t>Mathematical Formulation</w:t>
      </w:r>
    </w:p>
    <w:p>
      <w:pPr>
        <w:spacing w:line="226" w:lineRule="auto" w:before="0" w:after="20"/>
        <w:jc w:val="both"/>
      </w:pPr>
      <w:r>
        <w:rPr>
          <w:rFonts w:ascii="Palatino Linotype" w:hAnsi="Palatino Linotype"/>
          <w:sz w:val="19"/>
        </w:rPr>
        <w:t>This section formalizes the mathematical transformations executed across each stage of the diagnostic pipeline.</w:t>
      </w:r>
    </w:p>
    <w:p>
      <w:pPr>
        <w:spacing w:line="240" w:lineRule="auto" w:before="44" w:after="10"/>
        <w:jc w:val="left"/>
      </w:pPr>
      <w:r>
        <w:rPr>
          <w:rFonts w:ascii="Palatino Linotype" w:hAnsi="Palatino Linotype"/>
          <w:b/>
          <w:sz w:val="19"/>
        </w:rPr>
        <w:t>4.1  Per-Sample Z-Score Normalization</w:t>
      </w:r>
    </w:p>
    <w:p>
      <w:pPr>
        <w:spacing w:line="226" w:lineRule="auto" w:before="0" w:after="20"/>
        <w:jc w:val="both"/>
      </w:pPr>
      <w:r>
        <w:rPr>
          <w:rFonts w:ascii="Palatino Linotype" w:hAnsi="Palatino Linotype"/>
          <w:sz w:val="19"/>
        </w:rPr>
        <w:t>Each 500-point sweep x = [x₁, ..., x_N] (where N = 500) is standardized against its own sample mean μ and standard deviation σ with a numerical stability constant ε = 1 × 10⁻⁶:</w:t>
      </w:r>
    </w:p>
    <w:p>
      <w:pPr>
        <w:spacing w:line="240" w:lineRule="auto" w:before="10" w:after="10"/>
        <w:jc w:val="center"/>
      </w:pPr>
      <m:oMathPara>
        <m:oMath>
          <m:r>
            <m:t>μ=</m:t>
          </m:r>
          <m:f>
            <m:num>
              <m:r>
                <m:t>1</m:t>
              </m:r>
            </m:num>
            <m:den>
              <m:r>
                <m:t>N</m:t>
              </m:r>
            </m:den>
          </m:f>
          <m:nary>
            <m:naryPr>
              <m:chr m:val="∑"/>
              <m:limLoc m:val="subSup"/>
            </m:naryPr>
            <m:sub>
              <m:r>
                <m:t>i=1</m:t>
              </m:r>
            </m:sub>
            <m:sup>
              <m:r>
                <m:t>N</m:t>
              </m:r>
            </m:sup>
            <m:e>
              <m:sSub>
                <m:e>
                  <m:r>
                    <m:t>x</m:t>
                  </m:r>
                </m:e>
                <m:sub>
                  <m:r>
                    <m:t>i</m:t>
                  </m:r>
                </m:sub>
              </m:sSub>
            </m:e>
          </m:nary>
          <m:r>
            <m:t>, σ=</m:t>
          </m:r>
          <m:rad>
            <m:radPr>
              <m:degHide m:val="1"/>
            </m:radPr>
            <m:deg>
              <m:r>
                <m:t> </m:t>
              </m:r>
            </m:deg>
            <m:e>
              <m:f>
                <m:num>
                  <m:r>
                    <m:t>1</m:t>
                  </m:r>
                </m:num>
                <m:den>
                  <m:r>
                    <m:t>N</m:t>
                  </m:r>
                </m:den>
              </m:f>
              <m:nary>
                <m:naryPr>
                  <m:chr m:val="∑"/>
                  <m:limLoc m:val="subSup"/>
                </m:naryPr>
                <m:sub>
                  <m:r>
                    <m:t>i=1</m:t>
                  </m:r>
                </m:sub>
                <m:sup>
                  <m:r>
                    <m:t>N</m:t>
                  </m:r>
                </m:sup>
                <m:e>
                  <m:sSup>
                    <m:e>
                      <m:r>
                        <m:t>(</m:t>
                      </m:r>
                      <m:sSub>
                        <m:e>
                          <m:r>
                            <m:t>x</m:t>
                          </m:r>
                        </m:e>
                        <m:sub>
                          <m:r>
                            <m:t>i</m:t>
                          </m:r>
                        </m:sub>
                      </m:sSub>
                      <m:r>
                        <m:t>−μ)</m:t>
                      </m:r>
                    </m:e>
                    <m:sup>
                      <m:r>
                        <m:t>2</m:t>
                      </m:r>
                    </m:sup>
                  </m:sSup>
                </m:e>
              </m:nary>
            </m:e>
          </m:rad>
          <m:r>
            <m:t>, </m:t>
          </m:r>
          <m:sSubSup>
            <m:e>
              <m:r>
                <m:t>x</m:t>
              </m:r>
            </m:e>
            <m:sub>
              <m:r>
                <m:t>i</m:t>
              </m:r>
            </m:sub>
            <m:sup>
              <m:r>
                <m:t>′</m:t>
              </m:r>
            </m:sup>
          </m:sSubSup>
          <m:r>
            <m:t>=</m:t>
          </m:r>
          <m:f>
            <m:num>
              <m:sSub>
                <m:e>
                  <m:r>
                    <m:t>x</m:t>
                  </m:r>
                </m:e>
                <m:sub>
                  <m:r>
                    <m:t>i</m:t>
                  </m:r>
                </m:sub>
              </m:sSub>
              <m:r>
                <m:t>−μ</m:t>
              </m:r>
            </m:num>
            <m:den>
              <m:r>
                <m:t>σ+ε</m:t>
              </m:r>
            </m:den>
          </m:f>
          <m:r>
            <m:t xml:space="preserve">   (1)</m:t>
          </m:r>
        </m:oMath>
      </m:oMathPara>
    </w:p>
    <w:p>
      <w:pPr>
        <w:spacing w:line="240" w:lineRule="auto" w:before="44" w:after="10"/>
        <w:jc w:val="left"/>
      </w:pPr>
      <w:r>
        <w:rPr>
          <w:rFonts w:ascii="Palatino Linotype" w:hAnsi="Palatino Linotype"/>
          <w:b/>
          <w:sz w:val="19"/>
        </w:rPr>
        <w:t>4.2  1D-CNN Multi-Class Classification</w:t>
      </w:r>
    </w:p>
    <w:p>
      <w:pPr>
        <w:spacing w:line="226" w:lineRule="auto" w:before="0" w:after="20"/>
        <w:jc w:val="both"/>
      </w:pPr>
      <w:r>
        <w:rPr>
          <w:rFonts w:ascii="Palatino Linotype" w:hAnsi="Palatino Linotype"/>
          <w:sz w:val="19"/>
        </w:rPr>
        <w:t>The 1D-CNN maps x′ through 1D convolutional layers, producing logits z = [z₁, ..., z₄] converted to softmax probabilities:</w:t>
      </w:r>
    </w:p>
    <w:p>
      <w:pPr>
        <w:spacing w:line="240" w:lineRule="auto" w:before="10" w:after="10"/>
        <w:jc w:val="center"/>
      </w:pPr>
      <m:oMathPara>
        <m:oMath>
          <m:sSub>
            <m:e>
              <m:acc>
                <m:accPr>
                  <m:chr m:val="ˆ"/>
                </m:accPr>
                <m:e>
                  <m:r>
                    <m:t>p</m:t>
                  </m:r>
                </m:e>
              </m:acc>
            </m:e>
            <m:sub>
              <m:r>
                <m:t>k</m:t>
              </m:r>
            </m:sub>
          </m:sSub>
          <m:r>
            <m:t>=</m:t>
          </m:r>
          <m:f>
            <m:num>
              <m:sSup>
                <m:e>
                  <m:r>
                    <m:t>e</m:t>
                  </m:r>
                </m:e>
                <m:sup>
                  <m:sSub>
                    <m:e>
                      <m:r>
                        <m:t>z</m:t>
                      </m:r>
                    </m:e>
                    <m:sub>
                      <m:r>
                        <m:t>k</m:t>
                      </m:r>
                    </m:sub>
                  </m:sSub>
                </m:sup>
              </m:sSup>
            </m:num>
            <m:den>
              <m:nary>
                <m:naryPr>
                  <m:chr m:val="∑"/>
                  <m:limLoc m:val="subSup"/>
                </m:naryPr>
                <m:sub>
                  <m:r>
                    <m:t>j=1</m:t>
                  </m:r>
                </m:sub>
                <m:sup>
                  <m:r>
                    <m:t>4</m:t>
                  </m:r>
                </m:sup>
                <m:e>
                  <m:sSup>
                    <m:e>
                      <m:r>
                        <m:t>e</m:t>
                      </m:r>
                    </m:e>
                    <m:sup>
                      <m:sSub>
                        <m:e>
                          <m:r>
                            <m:t>z</m:t>
                          </m:r>
                        </m:e>
                        <m:sub>
                          <m:r>
                            <m:t>j</m:t>
                          </m:r>
                        </m:sub>
                      </m:sSub>
                    </m:sup>
                  </m:sSup>
                </m:e>
              </m:nary>
            </m:den>
          </m:f>
          <m:r>
            <m:t>,  </m:t>
          </m:r>
          <m:acc>
            <m:accPr>
              <m:chr m:val="ˆ"/>
            </m:accPr>
            <m:e>
              <m:r>
                <m:t>y</m:t>
              </m:r>
            </m:e>
          </m:acc>
          <m:r>
            <m:t>=</m:t>
          </m:r>
          <m:sSub>
            <m:e>
              <m:r>
                <m:t>arg max</m:t>
              </m:r>
            </m:e>
            <m:sub>
              <m:r>
                <m:t>k</m:t>
              </m:r>
            </m:sub>
          </m:sSub>
          <m:sSub>
            <m:e>
              <m:acc>
                <m:accPr>
                  <m:chr m:val="ˆ"/>
                </m:accPr>
                <m:e>
                  <m:r>
                    <m:t>p</m:t>
                  </m:r>
                </m:e>
              </m:acc>
            </m:e>
            <m:sub>
              <m:r>
                <m:t>k</m:t>
              </m:r>
            </m:sub>
          </m:sSub>
          <m:r>
            <m:t xml:space="preserve">   (2)</m:t>
          </m:r>
        </m:oMath>
      </m:oMathPara>
    </w:p>
    <w:p>
      <w:pPr>
        <w:spacing w:line="226" w:lineRule="auto" w:before="0" w:after="20"/>
        <w:jc w:val="both"/>
      </w:pPr>
      <w:r>
        <w:rPr>
          <w:rFonts w:ascii="Palatino Linotype" w:hAnsi="Palatino Linotype"/>
          <w:sz w:val="19"/>
        </w:rPr>
        <w:t>Optimization minimizes multiclass cross-entropy loss over one-hot target vectors y:</w:t>
      </w:r>
    </w:p>
    <w:p>
      <w:pPr>
        <w:spacing w:line="240" w:lineRule="auto" w:before="10" w:after="10"/>
        <w:jc w:val="center"/>
      </w:pPr>
      <m:oMathPara>
        <m:oMath>
          <m:sSub>
            <m:e>
              <m:r>
                <m:t>L</m:t>
              </m:r>
            </m:e>
            <m:sub>
              <m:r>
                <m:t>CE</m:t>
              </m:r>
            </m:sub>
          </m:sSub>
          <m:r>
            <m:t>=−</m:t>
          </m:r>
          <m:nary>
            <m:naryPr>
              <m:chr m:val="∑"/>
              <m:limLoc m:val="subSup"/>
            </m:naryPr>
            <m:sub>
              <m:r>
                <m:t>k=1</m:t>
              </m:r>
            </m:sub>
            <m:sup>
              <m:r>
                <m:t>4</m:t>
              </m:r>
            </m:sup>
            <m:e>
              <m:sSub>
                <m:e>
                  <m:r>
                    <m:t>y</m:t>
                  </m:r>
                </m:e>
                <m:sub>
                  <m:r>
                    <m:t>k</m:t>
                  </m:r>
                </m:sub>
              </m:sSub>
              <m:r>
                <m:t> log </m:t>
              </m:r>
              <m:sSub>
                <m:e>
                  <m:acc>
                    <m:accPr>
                      <m:chr m:val="ˆ"/>
                    </m:accPr>
                    <m:e>
                      <m:r>
                        <m:t>p</m:t>
                      </m:r>
                    </m:e>
                  </m:acc>
                </m:e>
                <m:sub>
                  <m:r>
                    <m:t>k</m:t>
                  </m:r>
                </m:sub>
              </m:sSub>
            </m:e>
          </m:nary>
          <m:r>
            <m:t xml:space="preserve">   (3)</m:t>
          </m:r>
        </m:oMath>
      </m:oMathPara>
    </w:p>
    <w:p>
      <w:pPr>
        <w:spacing w:line="240" w:lineRule="auto" w:before="44" w:after="10"/>
        <w:jc w:val="left"/>
      </w:pPr>
      <w:r>
        <w:rPr>
          <w:rFonts w:ascii="Palatino Linotype" w:hAnsi="Palatino Linotype"/>
          <w:b/>
          <w:sz w:val="19"/>
        </w:rPr>
        <w:t>4.3  Autoencoder and Anomaly Scoring</w:t>
      </w:r>
    </w:p>
    <w:p>
      <w:pPr>
        <w:spacing w:line="226" w:lineRule="auto" w:before="0" w:after="20"/>
        <w:jc w:val="both"/>
      </w:pPr>
      <w:r>
        <w:rPr>
          <w:rFonts w:ascii="Palatino Linotype" w:hAnsi="Palatino Linotype"/>
          <w:sz w:val="19"/>
        </w:rPr>
        <w:t>The autoencoder reconstructs x̂′ = f_AE(x′) through its 32-node latent bottleneck. Mean squared reconstruction error e and normalized anomaly ratio s_anom are defined as:</w:t>
      </w:r>
    </w:p>
    <w:p>
      <w:pPr>
        <w:spacing w:line="240" w:lineRule="auto" w:before="10" w:after="10"/>
        <w:jc w:val="center"/>
      </w:pPr>
      <m:oMathPara>
        <m:oMath>
          <m:sSup>
            <m:e>
              <m:acc>
                <m:accPr>
                  <m:chr m:val="ˆ"/>
                </m:accPr>
                <m:e>
                  <m:r>
                    <m:t>x</m:t>
                  </m:r>
                </m:e>
              </m:acc>
            </m:e>
            <m:sup>
              <m:r>
                <m:t>′</m:t>
              </m:r>
            </m:sup>
          </m:sSup>
          <m:r>
            <m:t>=</m:t>
          </m:r>
          <m:sSub>
            <m:e>
              <m:r>
                <m:t>f</m:t>
              </m:r>
            </m:e>
            <m:sub>
              <m:r>
                <m:t>AE</m:t>
              </m:r>
            </m:sub>
          </m:sSub>
          <m:r>
            <m:t>(x′),  e=</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(4)</m:t>
          </m:r>
        </m:oMath>
      </m:oMathPara>
    </w:p>
    <w:p>
      <w:pPr>
        <w:spacing w:line="240" w:lineRule="auto" w:before="10" w:after="10"/>
        <w:jc w:val="center"/>
      </w:pPr>
      <m:oMathPara>
        <m:oMath>
          <m:sSub>
            <m:e>
              <m:r>
                <m:t>s</m:t>
              </m:r>
            </m:e>
            <m:sub>
              <m:r>
                <m:t>anom</m:t>
              </m:r>
            </m:sub>
          </m:sSub>
          <m:r>
            <m:t>=</m:t>
          </m:r>
          <m:f>
            <m:num>
              <m:r>
                <m:t>e</m:t>
              </m:r>
            </m:num>
            <m:den>
              <m:r>
                <m:t>τ+ε</m:t>
              </m:r>
            </m:den>
          </m:f>
          <m:r>
            <m:t xml:space="preserve">   (5)</m:t>
          </m:r>
        </m:oMath>
      </m:oMathPara>
    </w:p>
    <w:p>
      <w:pPr>
        <w:spacing w:line="226" w:lineRule="auto" w:before="0" w:after="20"/>
        <w:jc w:val="both"/>
      </w:pPr>
      <w:r>
        <w:rPr>
          <w:rFonts w:ascii="Palatino Linotype" w:hAnsi="Palatino Linotype"/>
          <w:sz w:val="19"/>
        </w:rPr>
        <w:t>where τ = 0.022530 represents the 95th-percentile healthy threshold. Autoencoder training minimizes MSE loss over healthy samples:</w:t>
      </w:r>
    </w:p>
    <w:p>
      <w:pPr>
        <w:spacing w:line="240" w:lineRule="auto" w:before="10" w:after="10"/>
        <w:jc w:val="center"/>
      </w:pPr>
      <m:oMathPara>
        <m:oMath>
          <m:sSub>
            <m:e>
              <m:r>
                <m:t>L</m:t>
              </m:r>
            </m:e>
            <m:sub>
              <m:r>
                <m:t>AE</m:t>
              </m:r>
            </m:sub>
          </m:sSub>
          <m:r>
            <m:t>=</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(6)</m:t>
          </m:r>
        </m:oMath>
      </m:oMathPara>
    </w:p>
    <w:p>
      <w:pPr>
        <w:spacing w:line="240" w:lineRule="auto" w:before="44" w:after="10"/>
        <w:jc w:val="left"/>
      </w:pPr>
      <w:r>
        <w:rPr>
          <w:rFonts w:ascii="Palatino Linotype" w:hAnsi="Palatino Linotype"/>
          <w:b/>
          <w:sz w:val="19"/>
        </w:rPr>
        <w:t>4.4  Spectral and FFT Fallback Features</w:t>
      </w:r>
    </w:p>
    <w:p>
      <w:pPr>
        <w:spacing w:line="226" w:lineRule="auto" w:before="0" w:after="20"/>
        <w:jc w:val="both"/>
      </w:pPr>
      <w:r>
        <w:rPr>
          <w:rFonts w:ascii="Palatino Linotype" w:hAnsi="Palatino Linotype"/>
          <w:sz w:val="19"/>
        </w:rPr>
        <w:t>In rule-fallback mode, signal energy E and high-frequency spectral energy E_spec are evaluated directly:</w:t>
      </w:r>
    </w:p>
    <w:p>
      <w:pPr>
        <w:spacing w:line="240" w:lineRule="auto" w:before="10" w:after="10"/>
        <w:jc w:val="center"/>
      </w:pPr>
      <m:oMathPara>
        <m:oMath>
          <m:r>
            <m:t>E=</m:t>
          </m:r>
          <m:nary>
            <m:naryPr>
              <m:chr m:val="∑"/>
              <m:limLoc m:val="subSup"/>
            </m:naryPr>
            <m:sub>
              <m:r>
                <m:t>i=1</m:t>
              </m:r>
            </m:sub>
            <m:sup>
              <m:r>
                <m:t>N</m:t>
              </m:r>
            </m:sup>
            <m:e>
              <m:sSubSup>
                <m:e>
                  <m:r>
                    <m:t>x</m:t>
                  </m:r>
                </m:e>
                <m:sub>
                  <m:r>
                    <m:t>i</m:t>
                  </m:r>
                </m:sub>
                <m:sup>
                  <m:r>
                    <m:t>2</m:t>
                  </m:r>
                </m:sup>
              </m:sSubSup>
            </m:e>
          </m:nary>
          <m:r>
            <m:t>,  </m:t>
          </m:r>
          <m:sSub>
            <m:e>
              <m:r>
                <m:t>E</m:t>
              </m:r>
            </m:e>
            <m:sub>
              <m:r>
                <m:t>spec</m:t>
              </m:r>
            </m:sub>
          </m:sSub>
          <m:r>
            <m:t>=</m:t>
          </m:r>
          <m:nary>
            <m:naryPr>
              <m:chr m:val="∑"/>
              <m:limLoc m:val="subSup"/>
            </m:naryPr>
            <m:sub>
              <m:r>
                <m:t>k=N/2</m:t>
              </m:r>
            </m:sub>
            <m:sup>
              <m:r>
                <m:t>N</m:t>
              </m:r>
            </m:sup>
            <m:e>
              <m:r>
                <m:t>|</m:t>
              </m:r>
              <m:sSub>
                <m:e>
                  <m:r>
                    <m:t>F(x)</m:t>
                  </m:r>
                </m:e>
                <m:sub>
                  <m:r>
                    <m:t>k</m:t>
                  </m:r>
                </m:sub>
              </m:sSub>
              <m:r>
                <m:t>|</m:t>
              </m:r>
            </m:e>
          </m:nary>
          <m:r>
            <m:t xml:space="preserve">   (7)</m:t>
          </m:r>
        </m:oMath>
      </m:oMathPara>
    </w:p>
    <w:p>
      <w:pPr>
        <w:spacing w:line="240" w:lineRule="auto" w:before="44" w:after="10"/>
        <w:jc w:val="left"/>
      </w:pPr>
      <w:r>
        <w:rPr>
          <w:rFonts w:ascii="Palatino Linotype" w:hAnsi="Palatino Linotype"/>
          <w:b/>
          <w:sz w:val="19"/>
        </w:rPr>
        <w:t>4.5  Morphological Post-Processing Filters</w:t>
      </w:r>
    </w:p>
    <w:p>
      <w:pPr>
        <w:spacing w:line="226" w:lineRule="auto" w:before="0" w:after="20"/>
        <w:jc w:val="both"/>
      </w:pPr>
      <w:r>
        <w:rPr>
          <w:rFonts w:ascii="Palatino Linotype" w:hAnsi="Palatino Linotype"/>
          <w:sz w:val="19"/>
        </w:rPr>
        <w:t>Morphological sanity checks compute first-order discrete differences Δx_i = x_{i+1} − x_i:</w:t>
      </w:r>
    </w:p>
    <w:p>
      <w:pPr>
        <w:spacing w:line="240" w:lineRule="auto" w:before="10" w:after="10"/>
        <w:jc w:val="center"/>
      </w:pPr>
      <m:oMathPara>
        <m:oMath>
          <m:r>
            <m:t>Δ</m:t>
          </m:r>
          <m:sSub>
            <m:e>
              <m:r>
                <m:t>x</m:t>
              </m:r>
            </m:e>
            <m:sub>
              <m:r>
                <m:t>i</m:t>
              </m:r>
            </m:sub>
          </m:sSub>
          <m:r>
            <m:t>=</m:t>
          </m:r>
          <m:sSub>
            <m:e>
              <m:r>
                <m:t>x</m:t>
              </m:r>
            </m:e>
            <m:sub>
              <m:r>
                <m:t>i+1</m:t>
              </m:r>
            </m:sub>
          </m:sSub>
          <m:r>
            <m:t>−</m:t>
          </m:r>
          <m:sSub>
            <m:e>
              <m:r>
                <m:t>x</m:t>
              </m:r>
            </m:e>
            <m:sub>
              <m:r>
                <m:t>i</m:t>
              </m:r>
            </m:sub>
          </m:sSub>
          <m:r>
            <m:t xml:space="preserve">   (8)</m:t>
          </m:r>
        </m:oMath>
      </m:oMathPara>
    </w:p>
    <w:p>
      <w:pPr>
        <w:spacing w:line="226" w:lineRule="auto" w:before="0" w:after="20"/>
        <w:jc w:val="both"/>
      </w:pPr>
      <w:r>
        <w:rPr>
          <w:rFonts w:ascii="Palatino Linotype" w:hAnsi="Palatino Linotype"/>
          <w:sz w:val="19"/>
        </w:rPr>
        <w:t>Descriptor metrics include smoothness std(Δx), monotonic step fraction mean(Δx ≤ 0), and local prominence peak counts. A sweep exhibiting std(Δx) &lt; 0.22, monotonic ratio &gt; 0.88, and at most 1 peak is downgraded to Normal, whereas traces with ≥ 5 sharp peaks and high variance are escalated to High Fault Risk.</w:t>
      </w:r>
    </w:p>
    <w:p>
      <w:pPr>
        <w:spacing w:line="240" w:lineRule="auto" w:before="44" w:after="10"/>
        <w:jc w:val="left"/>
      </w:pPr>
      <w:r>
        <w:rPr>
          <w:rFonts w:ascii="Palatino Linotype" w:hAnsi="Palatino Linotype"/>
          <w:b/>
          <w:sz w:val="19"/>
        </w:rPr>
        <w:t>4.6  Evaluation Metrics</w:t>
      </w:r>
    </w:p>
    <w:p>
      <w:pPr>
        <w:spacing w:line="226" w:lineRule="auto" w:before="0" w:after="20"/>
        <w:jc w:val="both"/>
      </w:pPr>
      <w:r>
        <w:rPr>
          <w:rFonts w:ascii="Palatino Linotype" w:hAnsi="Palatino Linotype"/>
          <w:sz w:val="19"/>
        </w:rPr>
        <w:t>Diagnostic performance is quantified using Accuracy, Precision, Recall, and F1-Score [9, 19]:</w:t>
      </w:r>
    </w:p>
    <w:p>
      <w:pPr>
        <w:spacing w:line="240" w:lineRule="auto" w:before="10" w:after="10"/>
        <w:jc w:val="center"/>
      </w:pPr>
      <m:oMathPara>
        <m:oMath>
          <m:r>
            <m:t>Accuracy=</m:t>
          </m:r>
          <m:f>
            <m:num>
              <m:r>
                <m:t>TP+TN</m:t>
              </m:r>
            </m:num>
            <m:den>
              <m:r>
                <m:t>TP+TN+FP+FN</m:t>
              </m:r>
            </m:den>
          </m:f>
          <m:r>
            <m:t xml:space="preserve">   (9)</m:t>
          </m:r>
        </m:oMath>
      </m:oMathPara>
    </w:p>
    <w:p>
      <w:pPr>
        <w:spacing w:line="240" w:lineRule="auto" w:before="10" w:after="10"/>
        <w:jc w:val="center"/>
      </w:pPr>
      <m:oMathPara>
        <m:oMath>
          <m:r>
            <m:t>Precision=</m:t>
          </m:r>
          <m:f>
            <m:num>
              <m:r>
                <m:t>TP</m:t>
              </m:r>
            </m:num>
            <m:den>
              <m:r>
                <m:t>TP+FP</m:t>
              </m:r>
            </m:den>
          </m:f>
          <m:r>
            <m:t>,  Recall=</m:t>
          </m:r>
          <m:f>
            <m:num>
              <m:r>
                <m:t>TP</m:t>
              </m:r>
            </m:num>
            <m:den>
              <m:r>
                <m:t>TP+FN</m:t>
              </m:r>
            </m:den>
          </m:f>
          <m:r>
            <m:t xml:space="preserve">   (10)</m:t>
          </m:r>
        </m:oMath>
      </m:oMathPara>
    </w:p>
    <w:p>
      <w:pPr>
        <w:spacing w:line="240" w:lineRule="auto" w:before="10" w:after="10"/>
        <w:jc w:val="center"/>
      </w:pPr>
      <m:oMathPara>
        <m:oMath>
          <m:sSub>
            <m:e>
              <m:r>
                <m:t>F</m:t>
              </m:r>
            </m:e>
            <m:sub>
              <m:r>
                <m:t>1</m:t>
              </m:r>
            </m:sub>
          </m:sSub>
          <m:r>
            <m:t>=</m:t>
          </m:r>
          <m:f>
            <m:num>
              <m:r>
                <m:t>2·(Precision·Recall)</m:t>
              </m:r>
            </m:num>
            <m:den>
              <m:r>
                <m:t>Precision+Recall</m:t>
              </m:r>
            </m:den>
          </m:f>
          <m:r>
            <m:t xml:space="preserve">   (11)</m:t>
          </m:r>
        </m:oMath>
      </m:oMathPara>
    </w:p>
    <w:p>
      <w:pPr>
        <w:pStyle w:val="ListParagraph"/>
        <w:numPr>
          <w:ilvl w:val="0"/>
          <w:numId w:val="1"/>
        </w:numPr>
        <w:spacing w:before="70" w:after="20" w:line="240" w:lineRule="auto"/>
      </w:pPr>
      <w:r>
        <w:rPr>
          <w:rFonts w:ascii="Palatino Linotype" w:hAnsi="Palatino Linotype"/>
          <w:b/>
          <w:sz w:val="20"/>
        </w:rPr>
        <w:t>Synthetic Data Generation</w:t>
      </w:r>
    </w:p>
    <w:p>
      <w:pPr>
        <w:spacing w:line="226" w:lineRule="auto" w:before="0" w:after="20"/>
        <w:jc w:val="both"/>
      </w:pPr>
      <w:r>
        <w:rPr>
          <w:rFonts w:ascii="Palatino Linotype" w:hAnsi="Palatino Linotype"/>
          <w:sz w:val="19"/>
        </w:rPr>
        <w:t>Due to utility data protection and the scarcity of destructive physical failures, we synthesize a 50,000-curve corpus using a physics-informed stochastic lumped-mode generator spanning 1 kHz to 2 MHz [14]. The generator simulates distributed winding resonances through multi-peak superposition rather than computationally prohibitive 3D finite-element meshes.</w:t>
      </w:r>
    </w:p>
    <w:p>
      <w:pPr>
        <w:spacing w:line="240" w:lineRule="auto" w:before="44" w:after="10"/>
        <w:jc w:val="left"/>
      </w:pPr>
      <w:r>
        <w:rPr>
          <w:rFonts w:ascii="Palatino Linotype" w:hAnsi="Palatino Linotype"/>
          <w:b/>
          <w:sz w:val="19"/>
        </w:rPr>
        <w:t>5.1  Frequency Grid and Mode Synthesis</w:t>
      </w:r>
    </w:p>
    <w:p>
      <w:pPr>
        <w:spacing w:line="226" w:lineRule="auto" w:before="0" w:after="20"/>
        <w:jc w:val="both"/>
      </w:pPr>
      <w:r>
        <w:rPr>
          <w:rFonts w:ascii="Palatino Linotype" w:hAnsi="Palatino Linotype"/>
          <w:sz w:val="19"/>
        </w:rPr>
        <w:t>Five hundred logarithmic frequency points f ∈ [10³, 2 × 10⁶] Hz are mapped onto normalized coordinates f̃ ∈ [0, 1]:</w:t>
      </w:r>
    </w:p>
    <w:p>
      <w:pPr>
        <w:spacing w:line="240" w:lineRule="auto" w:before="10" w:after="10"/>
        <w:jc w:val="center"/>
      </w:pPr>
      <m:oMathPara>
        <m:oMath>
          <m:acc>
            <m:accPr>
              <m:chr m:val="˜"/>
            </m:accPr>
            <m:e>
              <m:r>
                <m:t>f</m:t>
              </m:r>
            </m:e>
          </m:acc>
          <m:r>
            <m:t>=</m:t>
          </m:r>
          <m:f>
            <m:num>
              <m:sSub>
                <m:e>
                  <m:r>
                    <m:t>log</m:t>
                  </m:r>
                </m:e>
                <m:sub>
                  <m:r>
                    <m:t>10</m:t>
                  </m:r>
                </m:sub>
              </m:sSub>
              <m:r>
                <m:t>(f)−</m:t>
              </m:r>
              <m:sSub>
                <m:e>
                  <m:r>
                    <m:t>log</m:t>
                  </m:r>
                </m:e>
                <m:sub>
                  <m:r>
                    <m:t>10</m:t>
                  </m:r>
                </m:sub>
              </m:sSub>
              <m:r>
                <m:t>(</m:t>
              </m:r>
              <m:sSub>
                <m:e>
                  <m:r>
                    <m:t>f</m:t>
                  </m:r>
                </m:e>
                <m:sub>
                  <m:r>
                    <m:t>min</m:t>
                  </m:r>
                </m:sub>
              </m:sSub>
              <m:r>
                <m:t>)</m:t>
              </m:r>
            </m:num>
            <m:den>
              <m:sSub>
                <m:e>
                  <m:r>
                    <m:t>log</m:t>
                  </m:r>
                </m:e>
                <m:sub>
                  <m:r>
                    <m:t>10</m:t>
                  </m:r>
                </m:sub>
              </m:sSub>
              <m:r>
                <m:t>(</m:t>
              </m:r>
              <m:sSub>
                <m:e>
                  <m:r>
                    <m:t>f</m:t>
                  </m:r>
                </m:e>
                <m:sub>
                  <m:r>
                    <m:t>max</m:t>
                  </m:r>
                </m:sub>
              </m:sSub>
              <m:r>
                <m:t>)−</m:t>
              </m:r>
              <m:sSub>
                <m:e>
                  <m:r>
                    <m:t>log</m:t>
                  </m:r>
                </m:e>
                <m:sub>
                  <m:r>
                    <m:t>10</m:t>
                  </m:r>
                </m:sub>
              </m:sSub>
              <m:r>
                <m:t>(</m:t>
              </m:r>
              <m:sSub>
                <m:e>
                  <m:r>
                    <m:t>f</m:t>
                  </m:r>
                </m:e>
                <m:sub>
                  <m:r>
                    <m:t>min</m:t>
                  </m:r>
                </m:sub>
              </m:sSub>
              <m:r>
                <m:t>)</m:t>
              </m:r>
            </m:den>
          </m:f>
          <m:r>
            <m:t>,  0≤</m:t>
          </m:r>
          <m:acc>
            <m:accPr>
              <m:chr m:val="˜"/>
            </m:accPr>
            <m:e>
              <m:r>
                <m:t>f</m:t>
              </m:r>
            </m:e>
          </m:acc>
          <m:r>
            <m:t>≤1</m:t>
          </m:r>
          <m:r>
            <m:t xml:space="preserve">   (12)</m:t>
          </m:r>
        </m:oMath>
      </m:oMathPara>
    </w:p>
    <w:p>
      <w:pPr>
        <w:spacing w:line="226" w:lineRule="auto" w:before="0" w:after="20"/>
        <w:jc w:val="both"/>
      </w:pPr>
      <w:r>
        <w:rPr>
          <w:rFonts w:ascii="Palatino Linotype" w:hAnsi="Palatino Linotype"/>
          <w:sz w:val="19"/>
        </w:rPr>
        <w:t>Each sweep superimposes N_m ~ U{8, 12} Lorentzian resonant modes characterized by center c_k, quality Q_k, and gain A_k:</w:t>
      </w:r>
    </w:p>
    <w:p>
      <w:pPr>
        <w:spacing w:line="240" w:lineRule="auto" w:before="10" w:after="10"/>
        <w:jc w:val="center"/>
      </w:pPr>
      <m:oMathPara>
        <m:oMath>
          <m:sSub>
            <m:e>
              <m:r>
                <m:t>R</m:t>
              </m:r>
            </m:e>
            <m:sub>
              <m:r>
                <m:t>k</m:t>
              </m:r>
            </m:sub>
          </m:sSub>
          <m:r>
            <m:t>(</m:t>
          </m:r>
          <m:acc>
            <m:accPr>
              <m:chr m:val="˜"/>
            </m:accPr>
            <m:e>
              <m:r>
                <m:t>f</m:t>
              </m:r>
            </m:e>
          </m:acc>
          <m:r>
            <m:t>)=</m:t>
          </m:r>
          <m:f>
            <m:num>
              <m:sSub>
                <m:e>
                  <m:r>
                    <m:t>A</m:t>
                  </m:r>
                </m:e>
                <m:sub>
                  <m:r>
                    <m:t>k</m:t>
                  </m:r>
                </m:sub>
              </m:sSub>
            </m:num>
            <m:den>
              <m:r>
                <m:t>1+</m:t>
              </m:r>
              <m:sSup>
                <m:e>
                  <m:r>
                    <m:t>((</m:t>
                  </m:r>
                  <m:acc>
                    <m:accPr>
                      <m:chr m:val="˜"/>
                    </m:accPr>
                    <m:e>
                      <m:r>
                        <m:t>f</m:t>
                      </m:r>
                    </m:e>
                  </m:acc>
                  <m:r>
                    <m:t>−</m:t>
                  </m:r>
                  <m:sSub>
                    <m:e>
                      <m:r>
                        <m:t>c</m:t>
                      </m:r>
                    </m:e>
                    <m:sub>
                      <m:r>
                        <m:t>k</m:t>
                      </m:r>
                    </m:sub>
                  </m:sSub>
                  <m:r>
                    <m:t>)/</m:t>
                  </m:r>
                  <m:sSub>
                    <m:e>
                      <m:r>
                        <m:t>w</m:t>
                      </m:r>
                    </m:e>
                    <m:sub>
                      <m:r>
                        <m:t>k</m:t>
                      </m:r>
                    </m:sub>
                  </m:sSub>
                  <m:r>
                    <m:t>)</m:t>
                  </m:r>
                </m:e>
                <m:sup>
                  <m:r>
                    <m:t>2</m:t>
                  </m:r>
                </m:sup>
              </m:sSup>
            </m:den>
          </m:f>
          <m:r>
            <m:t>,  </m:t>
          </m:r>
          <m:sSub>
            <m:e>
              <m:r>
                <m:t>w</m:t>
              </m:r>
            </m:e>
            <m:sub>
              <m:r>
                <m:t>k</m:t>
              </m:r>
            </m:sub>
          </m:sSub>
          <m:r>
            <m:t>=max(0.008, </m:t>
          </m:r>
          <m:f>
            <m:num>
              <m:r>
                <m:t>0.12</m:t>
              </m:r>
            </m:num>
            <m:den>
              <m:r>
                <m:t>max(</m:t>
              </m:r>
              <m:sSub>
                <m:e>
                  <m:r>
                    <m:t>Q</m:t>
                  </m:r>
                </m:e>
                <m:sub>
                  <m:r>
                    <m:t>k</m:t>
                  </m:r>
                </m:sub>
              </m:sSub>
              <m:r>
                <m:t>, 0.1)</m:t>
              </m:r>
            </m:den>
          </m:f>
          <m:r>
            <m:t>)</m:t>
          </m:r>
          <m:r>
            <m:t xml:space="preserve">   (13)</m:t>
          </m:r>
        </m:oMath>
      </m:oMathPara>
    </w:p>
    <w:p>
      <w:pPr>
        <w:spacing w:line="226" w:lineRule="auto" w:before="0" w:after="20"/>
        <w:jc w:val="both"/>
      </w:pPr>
      <w:r>
        <w:rPr>
          <w:rFonts w:ascii="Palatino Linotype" w:hAnsi="Palatino Linotype"/>
          <w:sz w:val="19"/>
        </w:rPr>
        <w:t>Summing all N_m resonant modes yields the synthetic transfer function magnitude:</w:t>
      </w:r>
    </w:p>
    <w:p>
      <w:pPr>
        <w:spacing w:line="240" w:lineRule="auto" w:before="10" w:after="10"/>
        <w:jc w:val="center"/>
      </w:pPr>
      <m:oMathPara>
        <m:oMath>
          <m:sSub>
            <m:e>
              <m:r>
                <m:t>H</m:t>
              </m:r>
            </m:e>
            <m:sub>
              <m:r>
                <m:t>base</m:t>
              </m:r>
            </m:sub>
          </m:sSub>
          <m:r>
            <m:t>(</m:t>
          </m:r>
          <m:acc>
            <m:accPr>
              <m:chr m:val="˜"/>
            </m:accPr>
            <m:e>
              <m:r>
                <m:t>f</m:t>
              </m:r>
            </m:e>
          </m:acc>
          <m:r>
            <m:t>)=</m:t>
          </m:r>
          <m:nary>
            <m:naryPr>
              <m:chr m:val="∑"/>
              <m:limLoc m:val="subSup"/>
            </m:naryPr>
            <m:sub>
              <m:r>
                <m:t>k=1</m:t>
              </m:r>
            </m:sub>
            <m:sup>
              <m:sSub>
                <m:e>
                  <m:r>
                    <m:t>N</m:t>
                  </m:r>
                </m:e>
                <m:sub>
                  <m:r>
                    <m:t>m</m:t>
                  </m:r>
                </m:sub>
              </m:sSub>
            </m:sup>
            <m:e>
              <m:sSub>
                <m:e>
                  <m:r>
                    <m:t>R</m:t>
                  </m:r>
                </m:e>
                <m:sub>
                  <m:r>
                    <m:t>k</m:t>
                  </m:r>
                </m:sub>
              </m:sSub>
              <m:r>
                <m:t>(</m:t>
              </m:r>
              <m:acc>
                <m:accPr>
                  <m:chr m:val="˜"/>
                </m:accPr>
                <m:e>
                  <m:r>
                    <m:t>f</m:t>
                  </m:r>
                </m:e>
              </m:acc>
              <m:r>
                <m:t>)</m:t>
              </m:r>
            </m:e>
          </m:nary>
          <m:r>
            <m:t xml:space="preserve">   (14)</m:t>
          </m:r>
        </m:oMath>
      </m:oMathPara>
    </w:p>
    <w:p>
      <w:pPr>
        <w:spacing w:line="240" w:lineRule="auto" w:before="44" w:after="10"/>
        <w:jc w:val="left"/>
      </w:pPr>
      <w:r>
        <w:rPr>
          <w:rFonts w:ascii="Palatino Linotype" w:hAnsi="Palatino Linotype"/>
          <w:b/>
          <w:sz w:val="19"/>
        </w:rPr>
        <w:t>5.2  Fault Taxonomy and Physical Archetypes</w:t>
      </w:r>
    </w:p>
    <w:p>
      <w:pPr>
        <w:spacing w:line="226" w:lineRule="auto" w:before="0" w:after="20"/>
        <w:jc w:val="both"/>
      </w:pPr>
      <w:r>
        <w:rPr>
          <w:rFonts w:ascii="Palatino Linotype" w:hAnsi="Palatino Linotype"/>
          <w:sz w:val="19"/>
        </w:rPr>
        <w:t>Six physical fault mechanisms documented in high-voltage research are mapped into four operational severity categories (Table 1).</w:t>
      </w:r>
    </w:p>
    <w:p>
      <w:pPr>
        <w:spacing w:line="240" w:lineRule="auto" w:before="20" w:after="30"/>
        <w:jc w:val="left"/>
      </w:pPr>
      <w:r>
        <w:rPr>
          <w:rFonts w:ascii="Palatino Linotype" w:hAnsi="Palatino Linotype"/>
          <w:b/>
          <w:sz w:val="17"/>
        </w:rPr>
        <w:t xml:space="preserve">Table. 1: </w:t>
      </w:r>
      <w:r>
        <w:rPr>
          <w:rFonts w:ascii="Palatino Linotype" w:hAnsi="Palatino Linotype"/>
          <w:sz w:val="17"/>
        </w:rPr>
        <w:t>Fault archetypes and their mapping to IntelliFRA severity labels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9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Archetype</w:t>
            </w:r>
          </w:p>
        </w:tc>
        <w:tc>
          <w:tcPr>
            <w:tcW w:type="dxa" w:w="115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Meaning</w:t>
            </w:r>
          </w:p>
        </w:tc>
        <w:tc>
          <w:tcPr>
            <w:tcW w:type="dxa" w:w="1800"/>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Transformation</w:t>
            </w:r>
          </w:p>
        </w:tc>
        <w:tc>
          <w:tcPr>
            <w:tcW w:type="dxa" w:w="936"/>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IntelliFRA label</w:t>
            </w:r>
          </w:p>
        </w:tc>
      </w:tr>
      <w:tr>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NF</w:t>
            </w:r>
          </w:p>
        </w:tc>
        <w:tc>
          <w:tcPr>
            <w:tcW w:type="dxa" w:w="115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No fault (repeatability)</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Modes jittered ±0.2% in centre/Q/amplitude</w:t>
            </w:r>
          </w:p>
        </w:tc>
        <w:tc>
          <w:tcPr>
            <w:tcW w:type="dxa" w:w="93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Normal</w:t>
            </w:r>
          </w:p>
        </w:tc>
      </w:tr>
      <w:tr>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DLF / LCF</w:t>
            </w:r>
          </w:p>
        </w:tc>
        <w:tc>
          <w:tcPr>
            <w:tcW w:type="dxa" w:w="115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Dielectric leakage / clamping loss</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Q reduced by (1 − 0.65·tanδ), tanδ ~ U(0.05, 0.55); amplitude ±8%</w:t>
            </w:r>
          </w:p>
        </w:tc>
        <w:tc>
          <w:tcPr>
            <w:tcW w:type="dxa" w:w="93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Minor Deviation</w:t>
            </w:r>
          </w:p>
        </w:tc>
      </w:tr>
      <w:tr>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RDF</w:t>
            </w:r>
          </w:p>
        </w:tc>
        <w:tc>
          <w:tcPr>
            <w:tcW w:type="dxa" w:w="115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Radial deformation</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All mode centres scaled by (1 + shift), shift ~ U(−0.10, 0.10)</w:t>
            </w:r>
          </w:p>
        </w:tc>
        <w:tc>
          <w:tcPr>
            <w:tcW w:type="dxa" w:w="93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Moderate Fault</w:t>
            </w:r>
          </w:p>
        </w:tc>
      </w:tr>
      <w:tr>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IDF</w:t>
            </w:r>
          </w:p>
        </w:tc>
        <w:tc>
          <w:tcPr>
            <w:tcW w:type="dxa" w:w="115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Inter-disk displacement</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Each mode split into two at c ± gap, gap ~ U(0.015, 0.045), unequal split, Q×0.85</w:t>
            </w:r>
          </w:p>
        </w:tc>
        <w:tc>
          <w:tcPr>
            <w:tcW w:type="dxa" w:w="93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Moderate Fault</w:t>
            </w:r>
          </w:p>
        </w:tc>
      </w:tr>
      <w:tr>
        <w:tc>
          <w:tcPr>
            <w:tcW w:type="dxa" w:w="79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left"/>
            </w:pPr>
            <w:r>
              <w:rPr>
                <w:rFonts w:ascii="Palatino Linotype" w:hAnsi="Palatino Linotype"/>
                <w:color w:val="000000"/>
                <w:sz w:val="16"/>
              </w:rPr>
              <w:t>SCF</w:t>
            </w:r>
          </w:p>
        </w:tc>
        <w:tc>
          <w:tcPr>
            <w:tcW w:type="dxa" w:w="115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Short-circuit fault</w:t>
            </w:r>
          </w:p>
        </w:tc>
        <w:tc>
          <w:tcPr>
            <w:tcW w:type="dxa" w:w="1800"/>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HF attenuation mask + localized Lorentzian notch + impedance spike, severity ~ U(0.35, 1.0)</w:t>
            </w:r>
          </w:p>
        </w:tc>
        <w:tc>
          <w:tcPr>
            <w:tcW w:type="dxa" w:w="936"/>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High Fault Risk</w:t>
            </w:r>
          </w:p>
        </w:tc>
      </w:tr>
    </w:tbl>
    <w:p>
      <w:pPr>
        <w:spacing w:line="226" w:lineRule="auto" w:before="0" w:after="20"/>
        <w:jc w:val="both"/>
      </w:pPr>
      <w:r>
        <w:rPr>
          <w:rFonts w:ascii="Palatino Linotype" w:hAnsi="Palatino Linotype"/>
          <w:sz w:val="19"/>
        </w:rPr>
        <w:t>Each curve is subject to high-frequency roll-off modeling capacitive shunting across winding disks, followed by Gaussian noise (σ ~ U(0.002, 0.025) for Normal; σ ~ U(0.01, 0.06) for Fault):</w:t>
      </w:r>
    </w:p>
    <w:p>
      <w:pPr>
        <w:spacing w:line="240" w:lineRule="auto" w:before="10" w:after="10"/>
        <w:jc w:val="center"/>
      </w:pPr>
      <m:oMathPara>
        <m:oMath>
          <m:r>
            <m:t>x←x·exp(−r·</m:t>
          </m:r>
          <m:acc>
            <m:accPr>
              <m:chr m:val="˜"/>
            </m:accPr>
            <m:e>
              <m:r>
                <m:t>f</m:t>
              </m:r>
            </m:e>
          </m:acc>
          <m:r>
            <m:t>),  r∼U(0.35, 0.95)</m:t>
          </m:r>
          <m:r>
            <m:t xml:space="preserve">   (15)</m:t>
          </m:r>
        </m:oMath>
      </m:oMathPara>
    </w:p>
    <w:p>
      <w:pPr>
        <w:spacing w:line="240" w:lineRule="auto" w:before="44" w:after="10"/>
        <w:jc w:val="left"/>
      </w:pPr>
      <w:r>
        <w:rPr>
          <w:rFonts w:ascii="Palatino Linotype" w:hAnsi="Palatino Linotype"/>
          <w:b/>
          <w:sz w:val="19"/>
        </w:rPr>
        <w:t>5.3  Dataset Scale and Reproducibility</w:t>
      </w:r>
    </w:p>
    <w:p>
      <w:pPr>
        <w:spacing w:line="226" w:lineRule="auto" w:before="0" w:after="20"/>
        <w:jc w:val="both"/>
      </w:pPr>
      <w:r>
        <w:rPr>
          <w:rFonts w:ascii="Palatino Linotype" w:hAnsi="Palatino Linotype"/>
          <w:sz w:val="19"/>
        </w:rPr>
        <w:t>Executing generate_dataset.py generates 50,000 labeled sweeps (12,500 per class, 500 samples each) using deterministic per-sample seeds (seed = 42 + class_index × 1,000,000 + i). The resulting corpus (fra_dataset.csv) provides balanced representation across all six degradation archetypes with guaranteed experimental reproducibility.</w:t>
      </w:r>
    </w:p>
    <w:p>
      <w:pPr>
        <w:pStyle w:val="ListParagraph"/>
        <w:numPr>
          <w:ilvl w:val="0"/>
          <w:numId w:val="1"/>
        </w:numPr>
        <w:spacing w:before="70" w:after="20" w:line="240" w:lineRule="auto"/>
      </w:pPr>
      <w:r>
        <w:rPr>
          <w:rFonts w:ascii="Palatino Linotype" w:hAnsi="Palatino Linotype"/>
          <w:b/>
          <w:sz w:val="20"/>
        </w:rPr>
        <w:t>Model Training Configuration</w:t>
      </w:r>
    </w:p>
    <w:p>
      <w:pPr>
        <w:spacing w:line="226" w:lineRule="auto" w:before="0" w:after="20"/>
        <w:jc w:val="both"/>
      </w:pPr>
      <w:r>
        <w:rPr>
          <w:rFonts w:ascii="Palatino Linotype" w:hAnsi="Palatino Linotype"/>
          <w:sz w:val="19"/>
        </w:rPr>
        <w:t>The 50,000-sweep dataset was partitioned into an 80:20 train/validation split (40,000 train sweeps, 10,000 validation sweeps). Both neural models were trained in PyTorch [20] using Adam optimization [17] (lr = 1 × 10⁻³, batch size 32) over 20 epochs. The Autoencoder was trained solely on healthy curves to preserve out-of-distribution sensitivity [7, 16] (Table 2). Stratified sampling and evaluation metrics follow standardized machine learning pipelines [9, 19].</w:t>
      </w:r>
    </w:p>
    <w:p>
      <w:pPr>
        <w:spacing w:line="240" w:lineRule="auto" w:before="20" w:after="30"/>
        <w:jc w:val="left"/>
      </w:pPr>
      <w:r>
        <w:rPr>
          <w:rFonts w:ascii="Palatino Linotype" w:hAnsi="Palatino Linotype"/>
          <w:b/>
          <w:sz w:val="17"/>
        </w:rPr>
        <w:t xml:space="preserve">Table. 2: </w:t>
      </w:r>
      <w:r>
        <w:rPr>
          <w:rFonts w:ascii="Palatino Linotype" w:hAnsi="Palatino Linotype"/>
          <w:sz w:val="17"/>
        </w:rPr>
        <w:t>Training configuration for the 1D-CNN and Autoencoder models</w:t>
      </w:r>
    </w:p>
    <w:tbl>
      <w:tblPr>
        <w:tblW w:type="auto" w:w="0"/>
        <w:jc w:val="center"/>
        <w:tblLayout w:type="fixed"/>
        <w:tblLook w:firstColumn="1" w:firstRow="1" w:lastColumn="0" w:lastRow="0" w:noHBand="0" w:noVBand="1" w:val="04A0"/>
      </w:tblPr>
      <w:tblGrid>
        <w:gridCol w:w="3493"/>
        <w:gridCol w:w="3493"/>
        <w:gridCol w:w="3493"/>
      </w:tblGrid>
      <w:tr>
        <w:tc>
          <w:tcPr>
            <w:tcW w:type="dxa" w:w="1224"/>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Setting</w:t>
            </w:r>
          </w:p>
        </w:tc>
        <w:tc>
          <w:tcPr>
            <w:tcW w:type="dxa" w:w="1656"/>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1D-CNN</w:t>
            </w:r>
          </w:p>
        </w:tc>
        <w:tc>
          <w:tcPr>
            <w:tcW w:type="dxa" w:w="1800"/>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Autoencoder</w:t>
            </w:r>
          </w:p>
        </w:tc>
      </w:tr>
      <w:tr>
        <w:tc>
          <w:tcPr>
            <w:tcW w:type="dxa" w:w="122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Optimizer</w:t>
            </w:r>
          </w:p>
        </w:tc>
        <w:tc>
          <w:tcPr>
            <w:tcW w:type="dxa" w:w="165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Adam, lr = 1e-3</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Adam, lr = 1e-3</w:t>
            </w:r>
          </w:p>
        </w:tc>
      </w:tr>
      <w:tr>
        <w:tc>
          <w:tcPr>
            <w:tcW w:type="dxa" w:w="122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Loss</w:t>
            </w:r>
          </w:p>
        </w:tc>
        <w:tc>
          <w:tcPr>
            <w:tcW w:type="dxa" w:w="165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Cross-entropy</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MSE (reconstruction)</w:t>
            </w:r>
          </w:p>
        </w:tc>
      </w:tr>
      <w:tr>
        <w:tc>
          <w:tcPr>
            <w:tcW w:type="dxa" w:w="122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Batch size</w:t>
            </w:r>
          </w:p>
        </w:tc>
        <w:tc>
          <w:tcPr>
            <w:tcW w:type="dxa" w:w="165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32 (train) / 64 (val)</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32</w:t>
            </w:r>
          </w:p>
        </w:tc>
      </w:tr>
      <w:tr>
        <w:tc>
          <w:tcPr>
            <w:tcW w:type="dxa" w:w="122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Epochs</w:t>
            </w:r>
          </w:p>
        </w:tc>
        <w:tc>
          <w:tcPr>
            <w:tcW w:type="dxa" w:w="165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20</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20</w:t>
            </w:r>
          </w:p>
        </w:tc>
      </w:tr>
      <w:tr>
        <w:tc>
          <w:tcPr>
            <w:tcW w:type="dxa" w:w="122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Training subset</w:t>
            </w:r>
          </w:p>
        </w:tc>
        <w:tc>
          <w:tcPr>
            <w:tcW w:type="dxa" w:w="165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Full 40,000-row training split</w:t>
            </w:r>
          </w:p>
        </w:tc>
        <w:tc>
          <w:tcPr>
            <w:tcW w:type="dxa" w:w="180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Normal-labelled rows only (train split)</w:t>
            </w:r>
          </w:p>
        </w:tc>
      </w:tr>
      <w:tr>
        <w:tc>
          <w:tcPr>
            <w:tcW w:type="dxa" w:w="1224"/>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left"/>
            </w:pPr>
            <w:r>
              <w:rPr>
                <w:rFonts w:ascii="Palatino Linotype" w:hAnsi="Palatino Linotype"/>
                <w:color w:val="000000"/>
                <w:sz w:val="16"/>
              </w:rPr>
              <w:t>Threshold τ</w:t>
            </w:r>
          </w:p>
        </w:tc>
        <w:tc>
          <w:tcPr>
            <w:tcW w:type="dxa" w:w="1656"/>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w:t>
            </w:r>
          </w:p>
        </w:tc>
        <w:tc>
          <w:tcPr>
            <w:tcW w:type="dxa" w:w="1800"/>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95th percentile of Normal train reconstruction error</w:t>
            </w:r>
          </w:p>
        </w:tc>
      </w:tr>
    </w:tbl>
    <w:p>
      <w:pPr>
        <w:pStyle w:val="ListParagraph"/>
        <w:numPr>
          <w:ilvl w:val="0"/>
          <w:numId w:val="1"/>
        </w:numPr>
        <w:spacing w:before="70" w:after="20" w:line="240" w:lineRule="auto"/>
      </w:pPr>
      <w:r>
        <w:rPr>
          <w:rFonts w:ascii="Palatino Linotype" w:hAnsi="Palatino Linotype"/>
          <w:b/>
          <w:sz w:val="20"/>
        </w:rPr>
        <w:t>Results and Discussion</w:t>
      </w:r>
    </w:p>
    <w:p>
      <w:pPr>
        <w:spacing w:line="226" w:lineRule="auto" w:before="0" w:after="20"/>
        <w:jc w:val="both"/>
      </w:pPr>
      <w:r>
        <w:rPr>
          <w:rFonts w:ascii="Palatino Linotype" w:hAnsi="Palatino Linotype"/>
          <w:sz w:val="19"/>
        </w:rPr>
        <w:t>Validation metrics were evaluated on the 10,000 held-out sweeps (2,503 Normal, 2,486 Minor Deviation, 2,524 Moderate Fault, and 2,487 High Fault Risk) using scikit-learn [19].</w:t>
      </w:r>
    </w:p>
    <w:p>
      <w:pPr>
        <w:spacing w:line="240" w:lineRule="auto" w:before="44" w:after="10"/>
        <w:jc w:val="left"/>
      </w:pPr>
      <w:r>
        <w:rPr>
          <w:rFonts w:ascii="Palatino Linotype" w:hAnsi="Palatino Linotype"/>
          <w:b/>
          <w:sz w:val="19"/>
        </w:rPr>
        <w:t>7.1  1D-CNN Classification Performance</w:t>
      </w:r>
    </w:p>
    <w:p>
      <w:pPr>
        <w:spacing w:line="226" w:lineRule="auto" w:before="0" w:after="20"/>
        <w:jc w:val="both"/>
      </w:pPr>
      <w:r>
        <w:rPr>
          <w:rFonts w:ascii="Palatino Linotype" w:hAnsi="Palatino Linotype"/>
          <w:sz w:val="19"/>
        </w:rPr>
        <w:t>The 1D-CNN reached an overall validation accuracy of 94.41% with a weighted F1-score of 0.9443 (macro F1 = 0.9444). Per-class metrics are detailed in Table 3.</w:t>
      </w:r>
    </w:p>
    <w:p>
      <w:pPr>
        <w:spacing w:line="240" w:lineRule="auto" w:before="20" w:after="30"/>
        <w:jc w:val="left"/>
      </w:pPr>
      <w:r>
        <w:rPr>
          <w:rFonts w:ascii="Palatino Linotype" w:hAnsi="Palatino Linotype"/>
          <w:b/>
          <w:sz w:val="17"/>
        </w:rPr>
        <w:t xml:space="preserve">Table. 3: </w:t>
      </w:r>
      <w:r>
        <w:rPr>
          <w:rFonts w:ascii="Palatino Linotype" w:hAnsi="Palatino Linotype"/>
          <w:sz w:val="17"/>
        </w:rPr>
        <w:t>CNN classification performance</w:t>
      </w:r>
    </w:p>
    <w:tbl>
      <w:tblPr>
        <w:tblW w:type="auto" w:w="0"/>
        <w:jc w:val="center"/>
        <w:tblLayout w:type="fixed"/>
        <w:tblLook w:firstColumn="1" w:firstRow="1" w:lastColumn="0" w:lastRow="0" w:noHBand="0" w:noVBand="1" w:val="04A0"/>
      </w:tblPr>
      <w:tblGrid>
        <w:gridCol w:w="2096"/>
        <w:gridCol w:w="2096"/>
        <w:gridCol w:w="2096"/>
        <w:gridCol w:w="2096"/>
        <w:gridCol w:w="2096"/>
      </w:tblGrid>
      <w:tr>
        <w:tc>
          <w:tcPr>
            <w:tcW w:type="dxa" w:w="151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Class</w:t>
            </w:r>
          </w:p>
        </w:tc>
        <w:tc>
          <w:tcPr>
            <w:tcW w:type="dxa" w:w="79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Precision</w:t>
            </w:r>
          </w:p>
        </w:tc>
        <w:tc>
          <w:tcPr>
            <w:tcW w:type="dxa" w:w="79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Recall</w:t>
            </w:r>
          </w:p>
        </w:tc>
        <w:tc>
          <w:tcPr>
            <w:tcW w:type="dxa" w:w="79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F1-score</w:t>
            </w:r>
          </w:p>
        </w:tc>
        <w:tc>
          <w:tcPr>
            <w:tcW w:type="dxa" w:w="79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Support</w:t>
            </w:r>
          </w:p>
        </w:tc>
      </w:tr>
      <w:tr>
        <w:tc>
          <w:tcPr>
            <w:tcW w:type="dxa" w:w="151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Normal</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1.0000</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0.9992</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0.9996</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2503</w:t>
            </w:r>
          </w:p>
        </w:tc>
      </w:tr>
      <w:tr>
        <w:tc>
          <w:tcPr>
            <w:tcW w:type="dxa" w:w="151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Minor Deviation</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0.8749</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0.9256</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0.8995</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2486</w:t>
            </w:r>
          </w:p>
        </w:tc>
      </w:tr>
      <w:tr>
        <w:tc>
          <w:tcPr>
            <w:tcW w:type="dxa" w:w="151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Moderate Fault</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0.9147</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0.8796</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0.8968</w:t>
            </w:r>
          </w:p>
        </w:tc>
        <w:tc>
          <w:tcPr>
            <w:tcW w:type="dxa" w:w="79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2524</w:t>
            </w:r>
          </w:p>
        </w:tc>
      </w:tr>
      <w:tr>
        <w:tc>
          <w:tcPr>
            <w:tcW w:type="dxa" w:w="151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left"/>
            </w:pPr>
            <w:r>
              <w:rPr>
                <w:rFonts w:ascii="Palatino Linotype" w:hAnsi="Palatino Linotype"/>
                <w:color w:val="000000"/>
                <w:sz w:val="16"/>
              </w:rPr>
              <w:t>High Fault Risk</w:t>
            </w:r>
          </w:p>
        </w:tc>
        <w:tc>
          <w:tcPr>
            <w:tcW w:type="dxa" w:w="79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0.9906</w:t>
            </w:r>
          </w:p>
        </w:tc>
        <w:tc>
          <w:tcPr>
            <w:tcW w:type="dxa" w:w="79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0.9727</w:t>
            </w:r>
          </w:p>
        </w:tc>
        <w:tc>
          <w:tcPr>
            <w:tcW w:type="dxa" w:w="79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0.9815</w:t>
            </w:r>
          </w:p>
        </w:tc>
        <w:tc>
          <w:tcPr>
            <w:tcW w:type="dxa" w:w="79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2487</w:t>
            </w:r>
          </w:p>
        </w:tc>
      </w:tr>
    </w:tbl>
    <w:p>
      <w:pPr>
        <w:spacing w:before="20" w:after="20"/>
        <w:jc w:val="center"/>
      </w:pPr>
      <w:r>
        <w:drawing>
          <wp:inline xmlns:a="http://schemas.openxmlformats.org/drawingml/2006/main" xmlns:pic="http://schemas.openxmlformats.org/drawingml/2006/picture">
            <wp:extent cx="1783080" cy="1509539"/>
            <wp:docPr id="398200268" name="Picture 398200268"/>
            <wp:cNvGraphicFramePr>
              <a:graphicFrameLocks noChangeAspect="1"/>
            </wp:cNvGraphicFramePr>
            <a:graphic>
              <a:graphicData uri="http://schemas.openxmlformats.org/drawingml/2006/picture">
                <pic:pic>
                  <pic:nvPicPr>
                    <pic:cNvPr id="0" name="image6.png"/>
                    <pic:cNvPicPr/>
                  </pic:nvPicPr>
                  <pic:blipFill>
                    <a:blip r:embed="rId29"/>
                    <a:stretch>
                      <a:fillRect/>
                    </a:stretch>
                  </pic:blipFill>
                  <pic:spPr>
                    <a:xfrm>
                      <a:off x="0" y="0"/>
                      <a:ext cx="1783080" cy="1509539"/>
                    </a:xfrm>
                    <a:prstGeom prst="rect"/>
                  </pic:spPr>
                </pic:pic>
              </a:graphicData>
            </a:graphic>
          </wp:inline>
        </w:drawing>
      </w:r>
    </w:p>
    <w:p>
      <w:pPr>
        <w:spacing w:line="240" w:lineRule="auto" w:before="20" w:after="30"/>
        <w:jc w:val="center"/>
      </w:pPr>
      <w:r>
        <w:rPr>
          <w:rFonts w:ascii="Palatino Linotype" w:hAnsi="Palatino Linotype"/>
          <w:b/>
          <w:sz w:val="17"/>
        </w:rPr>
        <w:t xml:space="preserve">Fig. 3: </w:t>
      </w:r>
      <w:r>
        <w:rPr>
          <w:rFonts w:ascii="Palatino Linotype" w:hAnsi="Palatino Linotype"/>
          <w:sz w:val="17"/>
        </w:rPr>
        <w:t>1D-CNN confusion matrix on 10,000 validation sweeps</w:t>
      </w:r>
    </w:p>
    <w:p>
      <w:pPr>
        <w:spacing w:line="226" w:lineRule="auto" w:before="0" w:after="20"/>
        <w:jc w:val="both"/>
      </w:pPr>
      <w:r>
        <w:rPr>
          <w:rFonts w:ascii="Palatino Linotype" w:hAnsi="Palatino Linotype"/>
          <w:sz w:val="19"/>
        </w:rPr>
        <w:t>The confusion matrix (Fig. 3) confirms exceptional separation between healthy and damaged states: only two Normal sweeps out of 2,503 cross into fault categories, and zero faulty sweeps are misclassified as Normal. The few off-diagonal predictions occur exclusively between adjacent intermediate classes (Minor vs. Moderate), where conservative triage is maintained.</w:t>
      </w:r>
    </w:p>
    <w:p>
      <w:pPr>
        <w:spacing w:line="240" w:lineRule="auto" w:before="44" w:after="10"/>
        <w:jc w:val="left"/>
      </w:pPr>
      <w:r>
        <w:rPr>
          <w:rFonts w:ascii="Palatino Linotype" w:hAnsi="Palatino Linotype"/>
          <w:b/>
          <w:sz w:val="19"/>
        </w:rPr>
        <w:t>7.2  Autoencoder Anomaly Detection Performance</w:t>
      </w:r>
    </w:p>
    <w:p>
      <w:pPr>
        <w:spacing w:line="226" w:lineRule="auto" w:before="0" w:after="20"/>
        <w:jc w:val="both"/>
      </w:pPr>
      <w:r>
        <w:rPr>
          <w:rFonts w:ascii="Palatino Linotype" w:hAnsi="Palatino Linotype"/>
          <w:sz w:val="19"/>
        </w:rPr>
        <w:t>The Autoencoder achieved 98.47% accuracy on Normal-vs-Fault binary discrimination with 100% fault recall across all 7,497 faulty sweeps (zero missed faults). Mean reconstruction error on faulty sweeps (0.273091) exceeded healthy traces (0.010116) by 27 times, yielding unambiguous separation around τ = 0.022530 (Table 4). The 153 false alarms among 2,503 healthy sweeps (6.1%) stem from calibrating τ at the 95th percentile of normal repeatability noise—an intentional trade-off prioritizing zero false negatives.</w:t>
      </w:r>
    </w:p>
    <w:p>
      <w:pPr>
        <w:spacing w:line="240" w:lineRule="auto" w:before="20" w:after="30"/>
        <w:jc w:val="left"/>
      </w:pPr>
      <w:r>
        <w:rPr>
          <w:rFonts w:ascii="Palatino Linotype" w:hAnsi="Palatino Linotype"/>
          <w:b/>
          <w:sz w:val="17"/>
        </w:rPr>
        <w:t xml:space="preserve">Table. 4: </w:t>
      </w:r>
      <w:r>
        <w:rPr>
          <w:rFonts w:ascii="Palatino Linotype" w:hAnsi="Palatino Linotype"/>
          <w:sz w:val="17"/>
        </w:rPr>
        <w:t>Autoencoder evaluation metrics</w:t>
      </w:r>
    </w:p>
    <w:tbl>
      <w:tblPr>
        <w:tblW w:type="auto" w:w="0"/>
        <w:jc w:val="center"/>
        <w:tblLayout w:type="fixed"/>
        <w:tblLook w:firstColumn="1" w:firstRow="1" w:lastColumn="0" w:lastRow="0" w:noHBand="0" w:noVBand="1" w:val="04A0"/>
      </w:tblPr>
      <w:tblGrid>
        <w:gridCol w:w="5239"/>
        <w:gridCol w:w="5239"/>
      </w:tblGrid>
      <w:tr>
        <w:tc>
          <w:tcPr>
            <w:tcW w:type="dxa" w:w="3168"/>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Metric</w:t>
            </w:r>
          </w:p>
        </w:tc>
        <w:tc>
          <w:tcPr>
            <w:tcW w:type="dxa" w:w="1440"/>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Value</w:t>
            </w:r>
          </w:p>
        </w:tc>
      </w:tr>
      <w:tr>
        <w:tc>
          <w:tcPr>
            <w:tcW w:type="dxa" w:w="3168"/>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Decision threshold τ</w:t>
            </w:r>
          </w:p>
        </w:tc>
        <w:tc>
          <w:tcPr>
            <w:tcW w:type="dxa" w:w="144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0.022530</w:t>
            </w:r>
          </w:p>
        </w:tc>
      </w:tr>
      <w:tr>
        <w:tc>
          <w:tcPr>
            <w:tcW w:type="dxa" w:w="3168"/>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Accuracy (Normal vs. Fault)</w:t>
            </w:r>
          </w:p>
        </w:tc>
        <w:tc>
          <w:tcPr>
            <w:tcW w:type="dxa" w:w="144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0.9847</w:t>
            </w:r>
          </w:p>
        </w:tc>
      </w:tr>
      <w:tr>
        <w:tc>
          <w:tcPr>
            <w:tcW w:type="dxa" w:w="3168"/>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Precision</w:t>
            </w:r>
          </w:p>
        </w:tc>
        <w:tc>
          <w:tcPr>
            <w:tcW w:type="dxa" w:w="144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0.9800</w:t>
            </w:r>
          </w:p>
        </w:tc>
      </w:tr>
      <w:tr>
        <w:tc>
          <w:tcPr>
            <w:tcW w:type="dxa" w:w="3168"/>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Recall</w:t>
            </w:r>
          </w:p>
        </w:tc>
        <w:tc>
          <w:tcPr>
            <w:tcW w:type="dxa" w:w="144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1.0000</w:t>
            </w:r>
          </w:p>
        </w:tc>
      </w:tr>
      <w:tr>
        <w:tc>
          <w:tcPr>
            <w:tcW w:type="dxa" w:w="3168"/>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F1-score</w:t>
            </w:r>
          </w:p>
        </w:tc>
        <w:tc>
          <w:tcPr>
            <w:tcW w:type="dxa" w:w="144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0.9899</w:t>
            </w:r>
          </w:p>
        </w:tc>
      </w:tr>
      <w:tr>
        <w:tc>
          <w:tcPr>
            <w:tcW w:type="dxa" w:w="3168"/>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Mean reconstruction error – Normal</w:t>
            </w:r>
          </w:p>
        </w:tc>
        <w:tc>
          <w:tcPr>
            <w:tcW w:type="dxa" w:w="144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0.010116</w:t>
            </w:r>
          </w:p>
        </w:tc>
      </w:tr>
      <w:tr>
        <w:tc>
          <w:tcPr>
            <w:tcW w:type="dxa" w:w="3168"/>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left"/>
            </w:pPr>
            <w:r>
              <w:rPr>
                <w:rFonts w:ascii="Palatino Linotype" w:hAnsi="Palatino Linotype"/>
                <w:color w:val="000000"/>
                <w:sz w:val="16"/>
              </w:rPr>
              <w:t>Mean reconstruction error – Fault (val.)</w:t>
            </w:r>
          </w:p>
        </w:tc>
        <w:tc>
          <w:tcPr>
            <w:tcW w:type="dxa" w:w="1440"/>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0.273091</w:t>
            </w:r>
          </w:p>
        </w:tc>
      </w:tr>
    </w:tbl>
    <w:p>
      <w:pPr>
        <w:spacing w:line="240" w:lineRule="auto" w:before="44" w:after="10"/>
        <w:jc w:val="left"/>
      </w:pPr>
      <w:r>
        <w:rPr>
          <w:rFonts w:ascii="Palatino Linotype" w:hAnsi="Palatino Linotype"/>
          <w:b/>
          <w:sz w:val="19"/>
        </w:rPr>
        <w:t>7.3  Cross-Validation, Baseline Comparison, and Latency Profiling</w:t>
      </w:r>
    </w:p>
    <w:p>
      <w:pPr>
        <w:spacing w:line="226" w:lineRule="auto" w:before="0" w:after="20"/>
        <w:jc w:val="both"/>
      </w:pPr>
      <w:r>
        <w:rPr>
          <w:rFonts w:ascii="Palatino Linotype" w:hAnsi="Palatino Linotype"/>
          <w:sz w:val="19"/>
        </w:rPr>
        <w:t>To evaluate model resilience without monotonic step caps, an unconstrained 12,000-sweep dataset (2,000 per archetype) was assessed under 5-fold stratified cross-validation alongside RBF-SVM, Random Forest, and MLP baselines [19]. As summarized in Table 5, the 1D-CNN averaged 81.03% ± 1.60% accuracy (macro F1 = 0.8234), significantly outperforming Random Forest (72.57%), RBF-SVM (66.13%), and MLP (64.95%). On a separate shifted test set (n = 2,400) with ±15% pole frequency shifts and heavy noise (σ ∈ [0.03, 0.08]), the 1D-CNN maintained superior generalization (56.88%). Latency profiling across 1,000 CPU runs demonstrated average single-sample inference of 0.218 ms for the 1D-CNN and 0.274 ms for the combined CNN-Autoencoder pipeline.</w:t>
      </w:r>
    </w:p>
    <w:p>
      <w:pPr>
        <w:spacing w:line="240" w:lineRule="auto" w:before="20" w:after="30"/>
        <w:jc w:val="left"/>
      </w:pPr>
      <w:r>
        <w:rPr>
          <w:rFonts w:ascii="Palatino Linotype" w:hAnsi="Palatino Linotype"/>
          <w:b/>
          <w:sz w:val="17"/>
        </w:rPr>
        <w:t xml:space="preserve">Table. 5: </w:t>
      </w:r>
      <w:r>
        <w:rPr>
          <w:rFonts w:ascii="Palatino Linotype" w:hAnsi="Palatino Linotype"/>
          <w:sz w:val="17"/>
        </w:rPr>
        <w:t>Supplementary benchmark on 12,000 uncapped sweeps (5-fold CV), shifted test set (n = 2,400), and CPU timing</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872"/>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Configuration</w:t>
            </w:r>
          </w:p>
        </w:tc>
        <w:tc>
          <w:tcPr>
            <w:tcW w:type="dxa" w:w="1296"/>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5-fold CV Acc. / Macro F1</w:t>
            </w:r>
          </w:p>
        </w:tc>
        <w:tc>
          <w:tcPr>
            <w:tcW w:type="dxa" w:w="720"/>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Shifted test Acc.</w:t>
            </w:r>
          </w:p>
        </w:tc>
        <w:tc>
          <w:tcPr>
            <w:tcW w:type="dxa" w:w="864"/>
            <w:shd w:fill="D6E3BC"/>
            <w:tcBorders>
              <w:top w:val="single" w:sz="6" w:space="0" w:color="auto"/>
              <w:bottom w:val="single" w:sz="6" w:space="0" w:color="auto"/>
              <w:left w:val="none" w:sz="6" w:space="0" w:color="auto"/>
              <w:right w:val="none" w:sz="6" w:space="0" w:color="auto"/>
            </w:tcBorders>
            <w:tcMar>
              <w:top w:w="16" w:type="dxa"/>
              <w:bottom w:w="16" w:type="dxa"/>
              <w:left w:w="35" w:type="dxa"/>
              <w:right w:w="35" w:type="dxa"/>
            </w:tcMar>
          </w:tcPr>
          <w:p>
            <w:pPr>
              <w:spacing w:before="0" w:after="20" w:line="240" w:lineRule="auto"/>
              <w:jc w:val="center"/>
            </w:pPr>
            <w:r>
              <w:rPr>
                <w:rFonts w:ascii="Palatino Linotype" w:hAnsi="Palatino Linotype"/>
                <w:b/>
                <w:color w:val="000000"/>
                <w:sz w:val="16"/>
              </w:rPr>
              <w:t>CPU time, mean / p95</w:t>
            </w:r>
          </w:p>
        </w:tc>
      </w:tr>
      <w:tr>
        <w:tc>
          <w:tcPr>
            <w:tcW w:type="dxa" w:w="187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1D-CNN (140,644 parameters)</w:t>
            </w:r>
          </w:p>
        </w:tc>
        <w:tc>
          <w:tcPr>
            <w:tcW w:type="dxa" w:w="129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81.03% ± 1.60% / 0.823</w:t>
            </w:r>
          </w:p>
        </w:tc>
        <w:tc>
          <w:tcPr>
            <w:tcW w:type="dxa" w:w="72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56.88%</w:t>
            </w:r>
          </w:p>
        </w:tc>
        <w:tc>
          <w:tcPr>
            <w:tcW w:type="dxa" w:w="86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0.218 / 0.247 ms</w:t>
            </w:r>
          </w:p>
        </w:tc>
      </w:tr>
      <w:tr>
        <w:tc>
          <w:tcPr>
            <w:tcW w:type="dxa" w:w="187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Random Forest (100 trees, depth 15)</w:t>
            </w:r>
          </w:p>
        </w:tc>
        <w:tc>
          <w:tcPr>
            <w:tcW w:type="dxa" w:w="129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72.57% ± 1.05% / 0.730</w:t>
            </w:r>
          </w:p>
        </w:tc>
        <w:tc>
          <w:tcPr>
            <w:tcW w:type="dxa" w:w="72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51.21%</w:t>
            </w:r>
          </w:p>
        </w:tc>
        <w:tc>
          <w:tcPr>
            <w:tcW w:type="dxa" w:w="86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4.412 / 5.120 ms</w:t>
            </w:r>
          </w:p>
        </w:tc>
      </w:tr>
      <w:tr>
        <w:tc>
          <w:tcPr>
            <w:tcW w:type="dxa" w:w="187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SVM (RBF kernel, C=1.0)</w:t>
            </w:r>
          </w:p>
        </w:tc>
        <w:tc>
          <w:tcPr>
            <w:tcW w:type="dxa" w:w="129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66.13% ± 0.65% / 0.672</w:t>
            </w:r>
          </w:p>
        </w:tc>
        <w:tc>
          <w:tcPr>
            <w:tcW w:type="dxa" w:w="72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50.83%</w:t>
            </w:r>
          </w:p>
        </w:tc>
        <w:tc>
          <w:tcPr>
            <w:tcW w:type="dxa" w:w="86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16.840 / 18.230 ms</w:t>
            </w:r>
          </w:p>
        </w:tc>
      </w:tr>
      <w:tr>
        <w:tc>
          <w:tcPr>
            <w:tcW w:type="dxa" w:w="1872"/>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left"/>
            </w:pPr>
            <w:r>
              <w:rPr>
                <w:rFonts w:ascii="Palatino Linotype" w:hAnsi="Palatino Linotype"/>
                <w:color w:val="000000"/>
                <w:sz w:val="16"/>
              </w:rPr>
              <w:t>MLP (128-64 hidden units)</w:t>
            </w:r>
          </w:p>
        </w:tc>
        <w:tc>
          <w:tcPr>
            <w:tcW w:type="dxa" w:w="1296"/>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64.95% ± 0.94% / 0.653</w:t>
            </w:r>
          </w:p>
        </w:tc>
        <w:tc>
          <w:tcPr>
            <w:tcW w:type="dxa" w:w="720"/>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49.33%</w:t>
            </w:r>
          </w:p>
        </w:tc>
        <w:tc>
          <w:tcPr>
            <w:tcW w:type="dxa" w:w="864"/>
            <w:tcMar>
              <w:top w:w="10" w:type="dxa"/>
              <w:bottom w:w="10" w:type="dxa"/>
              <w:left w:w="35" w:type="dxa"/>
              <w:right w:w="35" w:type="dxa"/>
            </w:tcMar>
            <w:tcBorders>
              <w:top w:val="none" w:sz="0" w:space="0" w:color="auto"/>
              <w:bottom w:val="none" w:sz="0" w:space="0" w:color="auto"/>
              <w:left w:val="none" w:sz="0" w:space="0" w:color="auto"/>
              <w:right w:val="none" w:sz="0" w:space="0" w:color="auto"/>
            </w:tcBorders>
          </w:tcPr>
          <w:p>
            <w:pPr>
              <w:spacing w:before="0" w:after="0" w:line="240" w:lineRule="auto"/>
              <w:jc w:val="center"/>
            </w:pPr>
            <w:r>
              <w:rPr>
                <w:rFonts w:ascii="Palatino Linotype" w:hAnsi="Palatino Linotype"/>
                <w:color w:val="000000"/>
                <w:sz w:val="16"/>
              </w:rPr>
              <w:t>0.082 / 0.098 ms</w:t>
            </w:r>
          </w:p>
        </w:tc>
      </w:tr>
      <w:tr>
        <w:tc>
          <w:tcPr>
            <w:tcW w:type="dxa" w:w="1872"/>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left"/>
            </w:pPr>
            <w:r>
              <w:rPr>
                <w:rFonts w:ascii="Palatino Linotype" w:hAnsi="Palatino Linotype"/>
                <w:color w:val="000000"/>
                <w:sz w:val="16"/>
              </w:rPr>
              <w:t>Combined: 1D-CNN + Autoencoder gate</w:t>
            </w:r>
          </w:p>
        </w:tc>
        <w:tc>
          <w:tcPr>
            <w:tcW w:type="dxa" w:w="1296"/>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81.92% / 0.828</w:t>
            </w:r>
          </w:p>
        </w:tc>
        <w:tc>
          <w:tcPr>
            <w:tcW w:type="dxa" w:w="720"/>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56.88%</w:t>
            </w:r>
          </w:p>
        </w:tc>
        <w:tc>
          <w:tcPr>
            <w:tcW w:type="dxa" w:w="864"/>
            <w:tcMar>
              <w:top w:w="10" w:type="dxa"/>
              <w:bottom w:w="10" w:type="dxa"/>
              <w:left w:w="35" w:type="dxa"/>
              <w:right w:w="35" w:type="dxa"/>
            </w:tcMar>
            <w:tcBorders>
              <w:top w:val="none" w:sz="6" w:space="0" w:color="auto"/>
              <w:bottom w:val="single" w:sz="6" w:space="0" w:color="auto"/>
              <w:left w:val="none" w:sz="6" w:space="0" w:color="auto"/>
              <w:right w:val="none" w:sz="6" w:space="0" w:color="auto"/>
            </w:tcBorders>
          </w:tcPr>
          <w:p>
            <w:pPr>
              <w:spacing w:before="0" w:after="0" w:line="240" w:lineRule="auto"/>
              <w:jc w:val="center"/>
            </w:pPr>
            <w:r>
              <w:rPr>
                <w:rFonts w:ascii="Palatino Linotype" w:hAnsi="Palatino Linotype"/>
                <w:color w:val="000000"/>
                <w:sz w:val="16"/>
              </w:rPr>
              <w:t>0.274 / 0.305 ms</w:t>
            </w:r>
          </w:p>
        </w:tc>
      </w:tr>
    </w:tbl>
    <w:p>
      <w:pPr>
        <w:pStyle w:val="ListParagraph"/>
        <w:numPr>
          <w:ilvl w:val="0"/>
          <w:numId w:val="1"/>
        </w:numPr>
        <w:spacing w:before="70" w:after="20" w:line="240" w:lineRule="auto"/>
      </w:pPr>
      <w:r>
        <w:rPr>
          <w:rFonts w:ascii="Palatino Linotype" w:hAnsi="Palatino Linotype"/>
          <w:b/>
          <w:sz w:val="20"/>
        </w:rPr>
        <w:t>System Implementation</w:t>
      </w:r>
    </w:p>
    <w:p>
      <w:pPr>
        <w:spacing w:line="226" w:lineRule="auto" w:before="0" w:after="20"/>
        <w:jc w:val="both"/>
      </w:pPr>
      <w:r>
        <w:rPr>
          <w:rFonts w:ascii="Palatino Linotype" w:hAnsi="Palatino Linotype"/>
          <w:sz w:val="19"/>
        </w:rPr>
        <w:t>IntelliFRA is released as an open-source web application. The frontend leverages React 19, Vite, Tailwind CSS, and Recharts to deliver interactive 500-point trace visualization. FastAPI provides asynchronous REST endpoints executing validation, z-score scaling, and PyTorch inference in sub-millisecond CPU time (0.274 ms mean). User accounts and historical records are secured via bcrypt password hashing and SQLAlchemy relational storage with strict tenant partitioning.</w:t>
      </w:r>
    </w:p>
    <w:p>
      <w:pPr>
        <w:pStyle w:val="ListParagraph"/>
        <w:numPr>
          <w:ilvl w:val="0"/>
          <w:numId w:val="1"/>
        </w:numPr>
        <w:spacing w:before="70" w:after="20" w:line="240" w:lineRule="auto"/>
      </w:pPr>
      <w:r>
        <w:rPr>
          <w:rFonts w:ascii="Palatino Linotype" w:hAnsi="Palatino Linotype"/>
          <w:b/>
          <w:sz w:val="20"/>
        </w:rPr>
        <w:t>Limitations and Future Work</w:t>
      </w:r>
    </w:p>
    <w:p>
      <w:pPr>
        <w:spacing w:line="226" w:lineRule="auto" w:before="0" w:after="20"/>
        <w:jc w:val="both"/>
      </w:pPr>
      <w:r>
        <w:rPr>
          <w:rFonts w:ascii="Palatino Linotype" w:hAnsi="Palatino Linotype"/>
          <w:sz w:val="19"/>
        </w:rPr>
        <w:t>While physics-based synthesis provides diverse fault archetypes, in-service substation sweeps exhibit switchyard electromagnetic interference, grounding lead corrosion, and temperature variations. Ongoing work focuses on fine-tuning pre-trained models on measured utility corpora (such as IEEE DataPort archives). Future software extensions include automated PDF report generation, adaptive shape-override calibration, and three-phase trace comparison tools.</w:t>
      </w:r>
    </w:p>
    <w:p w:rsidR="008B3A5F" w:rsidRPr="009D24DC" w:rsidRDefault="008B3A5F" w:rsidP="00703F2A">
      <w:pPr>
        <w:pStyle w:val="ListParagraph"/>
        <w:numPr>
          <w:ilvl w:val="0"/>
          <w:numId w:val="1"/>
        </w:numPr>
        <w:pBdr>
          <w:top w:val="nil"/>
          <w:left w:val="nil"/>
          <w:bottom w:val="nil"/>
          <w:right w:val="nil"/>
          <w:between w:val="nil"/>
        </w:pBdr>
        <w:spacing w:line="240" w:lineRule="auto" w:before="70" w:after="20"/>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26" w:lineRule="auto" w:before="0" w:after="20"/>
        <w:ind w:firstLine="360"/>
        <w:jc w:val="both"/>
        <w:rPr>
          <w:rFonts w:ascii="Palatino Linotype" w:hAnsi="Palatino Linotype" w:cs="Times New Roman"/>
          <w:sz w:val="20"/>
          <w:szCs w:val="20"/>
        </w:rPr>
      </w:pPr>
      <w:r/>
      <w:r>
        <w:rPr>
          <w:rFonts w:ascii="Palatino Linotype" w:hAnsi="Palatino Linotype"/>
          <w:sz w:val="19"/>
        </w:rPr>
        <w:t>We presented IntelliFRA, an open-source platform automating Sweep Frequency Response Analysis for high-voltage power transformers. By combining a 140,644-parameter 1D-CNN classifier with a 312,532-parameter dense Autoencoder, the system resolves the manual interpretation bottleneck. Trained on 50,000 synthetic sweeps spanning six physical fault archetypes, the 1D-CNN achieves 94.41% validation accuracy (weighted F1 = 0.9443), while the Autoencoder flags abnormal curves with 98.47% accuracy and 100% fault recall. On an unconstrained 12,000-sweep 5-fold cross-validation benchmark, the 1D-CNN (81.03%) substantially outperformed Random Forest (72.57%) and SVM (66.13%) baselines.</w:t>
      </w:r>
    </w:p>
    <w:p>
      <w:pPr>
        <w:spacing w:line="226" w:lineRule="auto" w:before="0" w:after="20"/>
        <w:jc w:val="both"/>
      </w:pPr>
      <w:r>
        <w:rPr>
          <w:rFonts w:ascii="Palatino Linotype" w:hAnsi="Palatino Linotype"/>
          <w:sz w:val="19"/>
        </w:rPr>
        <w:t>Operating with 0.274 ms CPU inference and supported by morphological filters and deterministic FFT fallback, IntelliFRA provides reliable, real-time diagnostic triage. The complete software repository, dataset generators, and PyTorch model checkpoints are publicly released to support reproducible condition monitoring across utility fleets.</w:t>
      </w:r>
    </w:p>
    <w:p w:rsidR="00AD7C6A" w:rsidRPr="009D24DC" w:rsidRDefault="00AD7C6A" w:rsidP="00703F2A">
      <w:pPr>
        <w:pBdr>
          <w:top w:val="nil"/>
          <w:left w:val="nil"/>
          <w:bottom w:val="nil"/>
          <w:right w:val="nil"/>
          <w:between w:val="nil"/>
        </w:pBdr>
        <w:spacing w:line="240" w:lineRule="auto" w:before="44" w:after="10"/>
        <w:jc w:val="both"/>
        <w:rPr>
          <w:rFonts w:ascii="Palatino Linotype" w:hAnsi="Palatino Linotype" w:cs="Times New Roman"/>
          <w:b/>
          <w:sz w:val="20"/>
          <w:szCs w:val="20"/>
        </w:rPr>
      </w:pPr>
      <w:r>
        <w:rPr>
          <w:rFonts w:ascii="Palatino Linotype" w:hAnsi="Palatino Linotype"/>
          <w:b/>
          <w:sz w:val="19"/>
        </w:rPr>
        <w:t>Acknowledgment</w:t>
      </w:r>
    </w:p>
    <w:p w:rsidR="00AD7C6A" w:rsidRDefault="00AD7C6A" w:rsidP="00703F2A">
      <w:pPr>
        <w:pBdr>
          <w:top w:val="nil"/>
          <w:left w:val="nil"/>
          <w:bottom w:val="nil"/>
          <w:right w:val="nil"/>
          <w:between w:val="nil"/>
        </w:pBdr>
        <w:spacing w:line="226" w:lineRule="auto" w:before="0" w:after="20"/>
        <w:ind w:firstLine="360"/>
        <w:jc w:val="both"/>
        <w:rPr>
          <w:rFonts w:ascii="Palatino Linotype" w:hAnsi="Palatino Linotype" w:cs="Times New Roman"/>
          <w:sz w:val="20"/>
          <w:szCs w:val="20"/>
        </w:rPr>
      </w:pPr>
      <w:r>
        <w:rPr>
          <w:rFonts w:ascii="Palatino Linotype" w:hAnsi="Palatino Linotype"/>
          <w:sz w:val="18"/>
        </w:rPr>
        <w:t>The authors express gratitude to Prof. Bhanu Tekwani for his guidance throughout this research, and to Dr. Vidya Chitre, Head of the Department of Information Technology at Vidyalankar Institute of Technology, Mumbai, for computing and institutional facilities.</w:t>
      </w:r>
    </w:p>
    <w:p w:rsidR="00A62D38" w:rsidRDefault="00A62D38" w:rsidP="00703F2A">
      <w:pPr>
        <w:pBdr>
          <w:top w:val="nil"/>
          <w:left w:val="nil"/>
          <w:bottom w:val="nil"/>
          <w:right w:val="nil"/>
          <w:between w:val="nil"/>
        </w:pBdr>
        <w:spacing w:line="240" w:lineRule="auto" w:before="44" w:after="10"/>
        <w:jc w:val="both"/>
        <w:rPr>
          <w:rFonts w:ascii="Palatino Linotype" w:hAnsi="Palatino Linotype" w:cs="Times New Roman"/>
          <w:b/>
          <w:sz w:val="20"/>
          <w:szCs w:val="20"/>
        </w:rPr>
      </w:pPr>
      <w:r>
        <w:rPr>
          <w:rFonts w:ascii="Palatino Linotype" w:hAnsi="Palatino Linotype"/>
          <w:b/>
          <w:sz w:val="19"/>
        </w:rPr>
        <w:t>Funding</w:t>
      </w:r>
    </w:p>
    <w:p w:rsidR="00A62D38" w:rsidRPr="00A62D38" w:rsidRDefault="00AC3118" w:rsidP="00DA6643">
      <w:pPr>
        <w:pBdr>
          <w:top w:val="nil"/>
          <w:left w:val="nil"/>
          <w:bottom w:val="nil"/>
          <w:right w:val="nil"/>
          <w:between w:val="nil"/>
        </w:pBdr>
        <w:spacing w:line="226" w:lineRule="auto" w:before="0" w:after="20"/>
        <w:ind w:firstLine="426"/>
        <w:jc w:val="both"/>
        <w:rPr>
          <w:rFonts w:ascii="Palatino Linotype" w:hAnsi="Palatino Linotype" w:cs="Times New Roman"/>
          <w:b/>
          <w:sz w:val="20"/>
          <w:szCs w:val="20"/>
        </w:rPr>
      </w:pPr>
      <w:r>
        <w:rPr>
          <w:rFonts w:ascii="Palatino Linotype" w:hAnsi="Palatino Linotype"/>
          <w:sz w:val="18"/>
        </w:rPr>
        <w:t>This research received no external funding.</w:t>
      </w:r>
    </w:p>
    <w:p w:rsidR="00412B3F" w:rsidRDefault="00412B3F" w:rsidP="00412B3F">
      <w:pPr>
        <w:pBdr>
          <w:top w:val="nil"/>
          <w:left w:val="nil"/>
          <w:bottom w:val="nil"/>
          <w:right w:val="nil"/>
          <w:between w:val="nil"/>
        </w:pBdr>
        <w:spacing w:before="44" w:line="240" w:lineRule="auto" w:after="10"/>
        <w:jc w:val="both"/>
        <w:rPr>
          <w:rFonts w:ascii="Palatino Linotype" w:hAnsi="Palatino Linotype"/>
          <w:sz w:val="20"/>
          <w:szCs w:val="20"/>
        </w:rPr>
      </w:pPr>
      <w:r>
        <w:rPr>
          <w:rFonts w:ascii="Palatino Linotype" w:hAnsi="Palatino Linotype"/>
          <w:b/>
          <w:sz w:val="19"/>
        </w:rPr>
        <w:t>Data Availability Statement</w:t>
      </w:r>
    </w:p>
    <w:p w:rsidR="00A62D38" w:rsidRPr="00412B3F" w:rsidRDefault="00412B3F" w:rsidP="00AC3118">
      <w:pPr>
        <w:pBdr>
          <w:top w:val="nil"/>
          <w:left w:val="nil"/>
          <w:bottom w:val="nil"/>
          <w:right w:val="nil"/>
          <w:between w:val="nil"/>
        </w:pBdr>
        <w:spacing w:line="226" w:lineRule="auto" w:before="0" w:after="20"/>
        <w:ind w:firstLine="426"/>
        <w:jc w:val="both"/>
        <w:rPr>
          <w:rFonts w:ascii="Palatino Linotype" w:hAnsi="Palatino Linotype" w:cs="Times New Roman"/>
          <w:b/>
          <w:sz w:val="20"/>
          <w:szCs w:val="20"/>
        </w:rPr>
      </w:pPr>
      <w:r>
        <w:rPr>
          <w:rFonts w:ascii="Palatino Linotype" w:hAnsi="Palatino Linotype"/>
          <w:sz w:val="18"/>
        </w:rPr>
        <w:t>The datasets analyzed during this study, synthesis scripts (physics_fra_synthesis.py, generate_dataset.py), and trained PyTorch model weights are openly accessible in the IntelliFRA project repository.</w:t>
      </w:r>
    </w:p>
    <w:p w:rsidR="009D24DC" w:rsidRDefault="009D24DC" w:rsidP="00703F2A">
      <w:pPr>
        <w:pBdr>
          <w:top w:val="nil"/>
          <w:left w:val="nil"/>
          <w:bottom w:val="nil"/>
          <w:right w:val="nil"/>
          <w:between w:val="nil"/>
        </w:pBdr>
        <w:spacing w:line="240" w:lineRule="auto" w:before="44" w:after="10"/>
        <w:jc w:val="both"/>
        <w:rPr>
          <w:rFonts w:ascii="Palatino Linotype" w:hAnsi="Palatino Linotype" w:cs="Times New Roman"/>
          <w:b/>
          <w:sz w:val="20"/>
          <w:szCs w:val="20"/>
        </w:rPr>
      </w:pPr>
      <w:r>
        <w:rPr>
          <w:rFonts w:ascii="Palatino Linotype" w:hAnsi="Palatino Linotype"/>
          <w:b/>
          <w:sz w:val="19"/>
        </w:rPr>
        <w:t>Conflict of Interest</w:t>
      </w:r>
    </w:p>
    <w:p w:rsidR="009D24DC" w:rsidRDefault="009D24DC" w:rsidP="00703F2A">
      <w:pPr>
        <w:pBdr>
          <w:top w:val="nil"/>
          <w:left w:val="nil"/>
          <w:bottom w:val="nil"/>
          <w:right w:val="nil"/>
          <w:between w:val="nil"/>
        </w:pBdr>
        <w:spacing w:line="226" w:lineRule="auto" w:before="0" w:after="20"/>
        <w:ind w:firstLine="360"/>
        <w:jc w:val="both"/>
        <w:rPr>
          <w:rFonts w:ascii="Palatino Linotype" w:hAnsi="Palatino Linotype" w:cs="Times New Roman"/>
          <w:sz w:val="20"/>
          <w:szCs w:val="20"/>
        </w:rPr>
      </w:pPr>
      <w:r>
        <w:rPr>
          <w:rFonts w:ascii="Palatino Linotype" w:hAnsi="Palatino Linotype"/>
          <w:sz w:val="18"/>
        </w:rPr>
        <w:t>The authors declare that they have no known competing financial interests or personal relationships that could have appeared to influence the work reported in this paper.</w:t>
      </w:r>
    </w:p>
    <w:p w:rsidR="00A50725" w:rsidRPr="00A50725" w:rsidRDefault="00A50725" w:rsidP="00A50725">
      <w:pPr>
        <w:pStyle w:val="MDPI62backmatter"/>
        <w:spacing w:before="44" w:after="10"/>
        <w:ind w:left="0"/>
        <w:rPr>
          <w:b/>
        </w:rPr>
      </w:pPr>
      <w:r>
        <w:rPr>
          <w:rFonts w:ascii="Palatino Linotype" w:hAnsi="Palatino Linotype"/>
          <w:b/>
          <w:sz w:val="19"/>
        </w:rPr>
        <w:t>CRediT Authorship Contribution Statement</w:t>
      </w:r>
    </w:p>
    <w:p w:rsidR="0004785D" w:rsidRPr="0004785D" w:rsidRDefault="0004785D" w:rsidP="00AC3118">
      <w:pPr>
        <w:pStyle w:val="MDPI62backmatter"/>
        <w:spacing w:before="0" w:after="20" w:line="226" w:lineRule="auto"/>
        <w:ind w:left="0" w:firstLine="426"/>
        <w:jc w:val="both"/>
        <w:rPr>
          <w:sz w:val="20"/>
        </w:rPr>
      </w:pPr>
      <w:r>
        <w:rPr>
          <w:rFonts w:ascii="Palatino Linotype" w:hAnsi="Palatino Linotype"/>
          <w:sz w:val="18"/>
        </w:rPr>
        <w:t>Conceptualization, H.P. and N.V.; methodology, H.P. and P.B.; software, H.P., N.V., P.B. and Y.G.; validation, H.P., N.V. and Y.G.; formal analysis, H.P. and P.B.; investigation, N.V. and Y.G.; data curation, P.B. and Y.G.; writing—original draft preparation, H.P., N.V., P.B. and Y.G.; writing—review and editing, B.T.; visualization, N.V. and P.B.; supervision, B.T.; project administration, B.T. All authors have read and approved the published version of the manuscript.</w:t>
      </w:r>
    </w:p>
    <w:p w:rsidR="00AD7C6A" w:rsidRDefault="00AD7C6A" w:rsidP="00703F2A">
      <w:pPr>
        <w:pBdr>
          <w:top w:val="nil"/>
          <w:left w:val="nil"/>
          <w:bottom w:val="nil"/>
          <w:right w:val="nil"/>
          <w:between w:val="nil"/>
        </w:pBdr>
        <w:spacing w:line="240" w:lineRule="auto" w:before="80" w:after="40"/>
        <w:jc w:val="both"/>
        <w:rPr>
          <w:rFonts w:ascii="Palatino Linotype" w:hAnsi="Palatino Linotype" w:cs="Times New Roman"/>
          <w:b/>
          <w:sz w:val="20"/>
          <w:szCs w:val="20"/>
        </w:rPr>
      </w:pPr>
      <w:r>
        <w:rPr>
          <w:rFonts w:ascii="Palatino Linotype" w:hAnsi="Palatino Linotype"/>
          <w:b/>
          <w:sz w:val="20"/>
        </w:rPr>
        <w:t>References</w:t>
      </w:r>
    </w:p>
    <w:p>
      <w:pPr>
        <w:spacing w:line="221" w:lineRule="auto" w:before="0" w:after="20"/>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line="221" w:lineRule="auto" w:before="0" w:after="20"/>
        <w:jc w:val="both"/>
      </w:pPr>
      <w:r>
        <w:rPr>
          <w:rFonts w:ascii="Palatino Linotype" w:hAnsi="Palatino Linotype"/>
          <w:sz w:val="17"/>
        </w:rPr>
        <w:t>[2] IEC 60076-18, “Power Transformers - Part 18: Measurement of Frequency Response,” International Electrotechnical Commission (IEC), Geneva, Switzerland, 2012.</w:t>
      </w:r>
    </w:p>
    <w:p>
      <w:pPr>
        <w:spacing w:line="221" w:lineRule="auto" w:before="0" w:after="20"/>
        <w:jc w:val="both"/>
      </w:pPr>
      <w:r>
        <w:rPr>
          <w:rFonts w:ascii="Palatino Linotype" w:hAnsi="Palatino Linotype"/>
          <w:sz w:val="17"/>
        </w:rPr>
        <w:t>[3] A. Shintemirov, W. H. Tang and Q. H. Wu, “Transformer Winding Condition Assessment Using Frequency Response Analysis and Evidential Reasoning,” IET Electric Power Applications, Vol. 4, No. 3, pp. 198-212, 2010. https://doi.org/10.1049/iet-epa.2009.0102</w:t>
      </w:r>
    </w:p>
    <w:p>
      <w:pPr>
        <w:spacing w:line="221" w:lineRule="auto" w:before="0" w:after="20"/>
        <w:jc w:val="both"/>
      </w:pPr>
      <w:r>
        <w:rPr>
          <w:rFonts w:ascii="Palatino Linotype" w:hAnsi="Palatino Linotype"/>
          <w:sz w:val="17"/>
        </w:rPr>
        <w:t>[4] M. Tahir and S. Tenbohlen, “A Comprehensive Analysis of Windings Electrical and Mechanical Faults Using a High-Frequency Model,” Energies, Vol. 13, No. 1, art. no. 105, 2020. https://doi.org/10.3390/en13010105</w:t>
      </w:r>
    </w:p>
    <w:p>
      <w:pPr>
        <w:spacing w:line="221" w:lineRule="auto" w:before="0" w:after="20"/>
        <w:jc w:val="both"/>
      </w:pPr>
      <w:r>
        <w:rPr>
          <w:rFonts w:ascii="Palatino Linotype" w:hAnsi="Palatino Linotype"/>
          <w:sz w:val="17"/>
        </w:rPr>
        <w:t>[5] N. Abeywickrama, Y. V. Serdyuk and S. M. Gubanski, “Effect of Core Magnetization on Frequency Response Analysis (FRA) of Power Transformers,” IEEE Transactions on Power Delivery, Vol. 23, No. 3, pp. 1432-1438, 2008. https://doi.org/10.1109/TPWRD.2007.909032</w:t>
      </w:r>
    </w:p>
    <w:p>
      <w:pPr>
        <w:spacing w:line="221" w:lineRule="auto" w:before="0" w:after="20"/>
        <w:jc w:val="both"/>
      </w:pPr>
      <w:r>
        <w:rPr>
          <w:rFonts w:ascii="Palatino Linotype" w:hAnsi="Palatino Linotype"/>
          <w:sz w:val="17"/>
        </w:rPr>
        <w:t>[6] M. Phillip, A. Singh and C. J. Ramlal, “Towards Automated Frequency Response Analysis of Power Transformers with Deep Learning,” Applied Artificial Intelligence, Vol. 39, No. 1, art. no. 2479223, 2025. https://doi.org/10.1080/08839514.2025.2479223</w:t>
      </w:r>
    </w:p>
    <w:p>
      <w:pPr>
        <w:spacing w:line="221" w:lineRule="auto" w:before="0" w:after="20"/>
        <w:jc w:val="both"/>
      </w:pPr>
      <w:r>
        <w:rPr>
          <w:rFonts w:ascii="Palatino Linotype" w:hAnsi="Palatino Linotype"/>
          <w:sz w:val="17"/>
        </w:rPr>
        <w:t>[7] V. Chandola, A. Banerjee and V. Kumar, “Anomaly Detection: A Survey,” ACM Computing Surveys, Vol. 41, No. 3, pp. 1-58, 2009. https://doi.org/10.1145/1541880.1541882</w:t>
      </w:r>
    </w:p>
    <w:p>
      <w:pPr>
        <w:spacing w:line="221" w:lineRule="auto" w:before="0" w:after="20"/>
        <w:jc w:val="both"/>
      </w:pPr>
      <w:r>
        <w:rPr>
          <w:rFonts w:ascii="Palatino Linotype" w:hAnsi="Palatino Linotype"/>
          <w:sz w:val="17"/>
        </w:rPr>
        <w:t>[8] F. Chollet, “Deep Learning with Python,” 2nd ed., Manning Publications, Shelter Island, NY, USA, 2021.</w:t>
      </w:r>
    </w:p>
    <w:p>
      <w:pPr>
        <w:spacing w:line="221" w:lineRule="auto" w:before="0" w:after="20"/>
        <w:jc w:val="both"/>
      </w:pPr>
      <w:r>
        <w:rPr>
          <w:rFonts w:ascii="Palatino Linotype" w:hAnsi="Palatino Linotype"/>
          <w:sz w:val="17"/>
        </w:rPr>
        <w:t>[9] A. Géron, “Hands-On Machine Learning with Scikit-Learn, Keras, and TensorFlow,” 3rd ed., O’Reilly Media, Sebastopol, CA, USA, 2022.</w:t>
      </w:r>
    </w:p>
    <w:p>
      <w:pPr>
        <w:spacing w:line="221" w:lineRule="auto" w:before="0" w:after="20"/>
        <w:jc w:val="both"/>
      </w:pPr>
      <w:r>
        <w:rPr>
          <w:rFonts w:ascii="Palatino Linotype" w:hAnsi="Palatino Linotype"/>
          <w:sz w:val="17"/>
        </w:rPr>
        <w:t>[10] M. Phillip, A. Singh and C. J. Ramlal, “Narrow Band Frequency Response Analysis of Power Transformers with Deep Learning,” Energies, Vol. 16, No. 17, art. no. 6347, 2023. https://doi.org/10.3390/en16176347</w:t>
      </w:r>
    </w:p>
    <w:p>
      <w:pPr>
        <w:spacing w:line="221" w:lineRule="auto" w:before="0" w:after="20"/>
        <w:jc w:val="both"/>
      </w:pPr>
      <w:r>
        <w:rPr>
          <w:rFonts w:ascii="Palatino Linotype" w:hAnsi="Palatino Linotype"/>
          <w:sz w:val="17"/>
        </w:rPr>
        <w:t>[11] J. R. Secue and E. Mombello, “Sweep Frequency Response Analysis (SFRA) for the Assessment of Winding Displacements and Deformation in Power Transformers,” Electric Power Systems Research, Vol. 78, No. 6, pp. 1119-1128, 2008. https://doi.org/10.1016/j.epsr.2007.08.005</w:t>
      </w:r>
    </w:p>
    <w:p>
      <w:pPr>
        <w:spacing w:line="221" w:lineRule="auto" w:before="0" w:after="20"/>
        <w:jc w:val="both"/>
      </w:pPr>
      <w:r>
        <w:rPr>
          <w:rFonts w:ascii="Palatino Linotype" w:hAnsi="Palatino Linotype"/>
          <w:sz w:val="17"/>
        </w:rPr>
        <w:t>[12] M. Bagheri, M. S. Naderi, T. Blackburn and T. Phung, “Frequency Response Analysis and Short-Circuit Impedance Measurement in Detection of Winding Deformation Within Power Transformers,” IEEE Electrical Insulation Magazine, Vol. 29, No. 3, pp. 33-40, 2013. https://doi.org/10.1109/MEI.2013.6507412</w:t>
      </w:r>
    </w:p>
    <w:p>
      <w:pPr>
        <w:spacing w:line="221" w:lineRule="auto" w:before="0" w:after="20"/>
        <w:jc w:val="both"/>
      </w:pPr>
      <w:r>
        <w:rPr>
          <w:rFonts w:ascii="Palatino Linotype" w:hAnsi="Palatino Linotype"/>
          <w:sz w:val="17"/>
        </w:rPr>
        <w:t>[13] V. Behjat, A. Vahedi, A. Setayeshmehr, H. Borsi and E. Gockenbach, “Sweep Frequency Response Analysis for Diagnosis of Low Level Short Circuit Faults on the Windings of Power Transformers: An Experimental Study,” International Journal of Electrical Power &amp; Energy Systems, Vol. 42, No. 1, pp. 78-90, 2012. https://doi.org/10.1016/j.ijepes.2012.03.004</w:t>
      </w:r>
    </w:p>
    <w:p>
      <w:pPr>
        <w:spacing w:line="221" w:lineRule="auto" w:before="0" w:after="20"/>
        <w:jc w:val="both"/>
      </w:pPr>
      <w:r>
        <w:rPr>
          <w:rFonts w:ascii="Palatino Linotype" w:hAnsi="Palatino Linotype"/>
          <w:sz w:val="17"/>
        </w:rPr>
        <w:t>[14] H. Zhang, S. Wang, D. Yuan and X. Tao, “Double-Ladder Circuit Model of Transformer Winding for Frequency Response Analysis Considering Frequency-Dependent Losses,” IEEE Transactions on Magnetics, Vol. 51, No. 11, pp. 1-4, 2015. https://doi.org/10.1109/TMAG.2015.2442831</w:t>
      </w:r>
    </w:p>
    <w:p>
      <w:pPr>
        <w:spacing w:line="221" w:lineRule="auto" w:before="0" w:after="20"/>
        <w:jc w:val="both"/>
      </w:pPr>
      <w:r>
        <w:rPr>
          <w:rFonts w:ascii="Palatino Linotype" w:hAnsi="Palatino Linotype"/>
          <w:sz w:val="17"/>
        </w:rPr>
        <w:t>[15] T. Ince, S. Kiranyaz, L. Eren, M. Askar and M. Gabbouj, “Real-Time Motor Fault Detection by 1-D Convolutional Neural Networks,” IEEE Transactions on Industrial Electronics, Vol. 63, No. 11, pp. 7067-7075, 2016. https://doi.org/10.1109/TIE.2016.2582729</w:t>
      </w:r>
    </w:p>
    <w:p>
      <w:pPr>
        <w:spacing w:line="221" w:lineRule="auto" w:before="0" w:after="20"/>
        <w:jc w:val="both"/>
      </w:pPr>
      <w:r>
        <w:rPr>
          <w:rFonts w:ascii="Palatino Linotype" w:hAnsi="Palatino Linotype"/>
          <w:sz w:val="17"/>
        </w:rPr>
        <w:t>[16] M. Sakurada and T. Yairi, “Anomaly Detection Using Autoencoders with Nonlinear Dimensionality Reduction,” 2nd Workshop on Machine Learning for Sensory Data Analysis (MLSDA), Gold Coast, Australia, pp. 4-11, 2014. https://doi.org/10.1145/2689746.2689747</w:t>
      </w:r>
    </w:p>
    <w:p>
      <w:pPr>
        <w:spacing w:line="221" w:lineRule="auto" w:before="0" w:after="20"/>
        <w:jc w:val="both"/>
      </w:pPr>
      <w:r>
        <w:rPr>
          <w:rFonts w:ascii="Palatino Linotype" w:hAnsi="Palatino Linotype"/>
          <w:sz w:val="17"/>
        </w:rPr>
        <w:t>[17] D. P. Kingma and J. Ba, “Adam: A Method for Stochastic Optimization,” 3rd International Conference on Learning Representations (ICLR), San Diego, CA, USA, 2015. https://doi.org/10.48550/arXiv.1412.6980</w:t>
      </w:r>
    </w:p>
    <w:p>
      <w:pPr>
        <w:spacing w:line="221" w:lineRule="auto" w:before="0" w:after="20"/>
        <w:jc w:val="both"/>
      </w:pPr>
      <w:r>
        <w:rPr>
          <w:rFonts w:ascii="Palatino Linotype" w:hAnsi="Palatino Linotype"/>
          <w:sz w:val="17"/>
        </w:rPr>
        <w:t>[18] N. Srivastava, G. Hinton, A. Krizhevsky, I. Sutskever and R. Salakhutdinov, “Dropout: A Simple Way to Prevent Neural Networks from Overfitting,” Journal of Machine Learning Research, Vol. 15, No. 56, pp. 1929-1958, 2014. https://jmlr.org/papers/v15/srivastava14a.html</w:t>
      </w:r>
    </w:p>
    <w:p>
      <w:pPr>
        <w:spacing w:line="221" w:lineRule="auto" w:before="0" w:after="20"/>
        <w:jc w:val="both"/>
      </w:pPr>
      <w:r>
        <w:rPr>
          <w:rFonts w:ascii="Palatino Linotype" w:hAnsi="Palatino Linotype"/>
          <w:sz w:val="17"/>
        </w:rPr>
        <w:t>[19] F. Pedregosa et al., “Scikit-Learn: Machine Learning in Python,” Journal of Machine Learning Research, Vol. 12, pp. 2825-2830, 2011. https://jmlr.org/papers/v12/pedregosa11a.html</w:t>
      </w:r>
    </w:p>
    <w:p>
      <w:pPr>
        <w:spacing w:line="221" w:lineRule="auto" w:before="0" w:after="20"/>
        <w:jc w:val="both"/>
      </w:pPr>
      <w:r>
        <w:rPr>
          <w:rFonts w:ascii="Palatino Linotype" w:hAnsi="Palatino Linotype"/>
          <w:sz w:val="17"/>
        </w:rPr>
        <w:t>[20] A. Paszke et al., “PyTorch: An Imperative Style, High-Performance Deep Learning Library,” Advances in Neural Information Processing Systems (NeurIPS), Vol. 32, pp. 8024-8035, 2019. https://doi.org/10.48550/arXiv.1912.01703</w:t>
      </w:r>
    </w:p>
    <w:p w:rsidR="000573BB" w:rsidRPr="00B6748F" w:rsidRDefault="000573BB" w:rsidP="000573BB">
      <w:pPr>
        <w:pStyle w:val="ListParagraph"/>
        <w:spacing w:after="20" w:line="221" w:lineRule="auto" w:before="60"/>
        <w:ind w:left="0"/>
        <w:jc w:val="both"/>
        <w:rPr>
          <w:rFonts w:ascii="Palatino Linotype" w:hAnsi="Palatino Linotype"/>
          <w:sz w:val="20"/>
          <w:szCs w:val="20"/>
        </w:rPr>
      </w:pPr>
      <w:r w:rsidRPr="00B6748F">
        <w:rPr>
          <w:rFonts w:ascii="Palatino Linotype" w:eastAsia="DengXian" w:hAnsi="Palatino Linotype"/>
          <w:b/>
          <w:bCs/>
          <w:noProof/>
          <w:sz w:val="16"/>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16"/>
          <w:szCs w:val="20"/>
          <w:lang w:bidi="en-US"/>
        </w:rPr>
        <w:t xml:space="preserve">Copyright: </w:t>
      </w:r>
      <w:r w:rsidRPr="00B6748F">
        <w:rPr>
          <w:rFonts w:ascii="Palatino Linotype" w:hAnsi="Palatino Linotype"/>
          <w:sz w:val="16"/>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16"/>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16"/>
          <w:szCs w:val="20"/>
        </w:rPr>
        <w:t>).</w:t>
      </w:r>
    </w:p>
    <w:sectPr w:rsidR="000573BB" w:rsidRPr="00B6748F" w:rsidSect="000573BB">
      <w:type w:val="continuous"/>
      <w:pgSz w:w="12240" w:h="15840"/>
      <w:pgMar w:top="1080" w:right="1080" w:bottom="1080" w:left="1080" w:header="270" w:footer="720" w:gutter="0"/>
      <w:cols w:space="36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
      <w:rPr>
        <w:rFonts w:ascii="Palatino Linotype" w:hAnsi="Palatino Linotype"/>
        <w:i/>
        <w:sz w:val="18"/>
      </w:rPr>
      <w:t>Harini Panigrahi et.al.,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6-6723-2991"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2-8027-1523"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