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08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 xml:space="preserve">[Enter Team ID]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 xml:space="preserve">Auto Ticket Classification using ServiceNow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607335"/>
            <wp:effectExtent l="0" t="0" r="0" b="0"/>
            <wp:docPr id="3" name="image1.jpg" descr="Solution architecture and data flow for Auto Ticket Classification using ServiceNow Flow Desig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and data flow for Auto Ticket Classification using ServiceNow Flow Designer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Auto Ticket Classification solution</w:t>
      </w:r>
    </w:p>
    <w:p>
      <w:pPr>
        <w:spacing w:after="120" w:line="240" w:lineRule="auto"/>
      </w:pPr>
      <w:r>
        <w:rPr>
          <w:b/>
        </w:rPr>
        <w:t xml:space="preserve">Reference: </w:t>
      </w:r>
      <w:r>
        <w:t xml:space="preserve">Auto Ticket Classification using ServiceNow Flow Designer – Student Project documentation.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keepNext/>
        <w:spacing w:before="200" w:after="80" w:line="240" w:lineRule="auto"/>
      </w:pPr>
      <w:r>
        <w:rPr>
          <w:rFonts w:ascii="Arial" w:hAnsi="Arial" w:eastAsia="Arial" w:cs="Arial"/>
          <w:b/>
          <w:sz w:val="24"/>
          <w:szCs w:val="24"/>
        </w:rPr>
        <w:t xml:space="preserve">Architecture Components: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700"/>
        <w:gridCol w:w="4626"/>
      </w:tblGrid>
      <w:tr>
        <w:trPr>
          <w:cantSplit/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Layer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Component</w:t>
            </w:r>
          </w:p>
        </w:tc>
        <w:tc>
          <w:tcPr>
            <w:tcW w:w="4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Role in the solution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Presentation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ServiceNow form and list views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Students and teachers submit Caller and Short Description; staff view the classified ticket.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Data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Incident WorkFlow (u_incident_workflow)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Stores each ticket with an auto-generated INC number and dependent Category / Subcategory.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Automation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Flow Designer flow 'Auto Classify School IT Tickets'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Starts on record creation when Category is empty; keyword branches call Update Record.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Notification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Send Email action and System Logs &gt; Emails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Emails the caller after classification; the email log is used to verify delivery.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Deployment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Project Update Set (Global)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Captures all configuration and is exported as XML for another instance.</w:t>
            </w:r>
          </w:p>
        </w:tc>
      </w:tr>
    </w:tbl>
    <w:p>
      <w:pPr>
        <w:spacing w:after="60" w:line="240" w:lineRule="auto"/>
      </w:pPr>
    </w:p>
    <w:p>
      <w:pPr>
        <w:keepNext/>
        <w:spacing w:before="200" w:after="80" w:line="240" w:lineRule="auto"/>
      </w:pPr>
      <w:r>
        <w:rPr>
          <w:rFonts w:ascii="Arial" w:hAnsi="Arial" w:eastAsia="Arial" w:cs="Arial"/>
          <w:b/>
          <w:sz w:val="24"/>
          <w:szCs w:val="24"/>
        </w:rPr>
        <w:t xml:space="preserve">Data Flow: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126"/>
      </w:tblGrid>
      <w:tr>
        <w:trPr>
          <w:cantSplit/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Step</w:t>
            </w:r>
          </w:p>
        </w:tc>
        <w:tc>
          <w:tcPr>
            <w:tcW w:w="8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Data flow</w:t>
            </w:r>
          </w:p>
        </w:tc>
      </w:tr>
      <w:tr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The requester opens a new Incident WorkFlow record and enters the Caller and Short Description.</w:t>
            </w:r>
          </w:p>
        </w:tc>
      </w:tr>
      <w:tr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On submit, the record gets its auto-number and the 'Record Created' trigger fires because Category is empty.</w:t>
            </w:r>
          </w:p>
        </w:tc>
      </w:tr>
      <w:tr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The flow compares the Short Description with the keyword conditions in order (If, then Else If branches).</w:t>
            </w:r>
          </w:p>
        </w:tc>
      </w:tr>
      <w:tr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The matching branch updates Category and Subcategory on the same record.</w:t>
            </w:r>
          </w:p>
        </w:tc>
      </w:tr>
      <w:tr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The Send Email action notifies the caller, and the message is recorded in the email log.</w:t>
            </w:r>
          </w:p>
        </w:tc>
      </w:tr>
    </w:tbl>
    <w:p>
      <w:pPr>
        <w:spacing w:after="60" w:line="240" w:lineRule="auto"/>
      </w:pPr>
    </w:p>
    <w:p>
      <w:pPr>
        <w:keepNext/>
        <w:spacing w:before="200" w:after="80" w:line="240" w:lineRule="auto"/>
      </w:pPr>
      <w:r>
        <w:rPr>
          <w:rFonts w:ascii="Arial" w:hAnsi="Arial" w:eastAsia="Arial" w:cs="Arial"/>
          <w:b/>
          <w:sz w:val="24"/>
          <w:szCs w:val="24"/>
        </w:rPr>
        <w:t xml:space="preserve">Milestone 4: Testing, Validation and Security</w:t>
      </w:r>
    </w:p>
    <w:p>
      <w:pPr>
        <w:spacing w:after="100" w:line="240" w:lineRule="auto"/>
      </w:pPr>
      <w:r>
        <w:rPr>
          <w:rFonts w:ascii="Arial" w:hAnsi="Arial" w:eastAsia="Arial" w:cs="Arial"/>
          <w:sz w:val="22"/>
          <w:szCs w:val="22"/>
        </w:rPr>
        <w:t xml:space="preserve">The completed solution was tested end to end for data accuracy, flow behaviour and access to ticket records.</w:t>
      </w:r>
    </w:p>
    <w:p>
      <w:pPr>
        <w:keepNext/>
        <w:spacing w:before="160" w:after="60" w:line="240" w:lineRule="auto"/>
      </w:pPr>
      <w:r>
        <w:rPr>
          <w:rFonts w:ascii="Arial" w:hAnsi="Arial" w:eastAsia="Arial" w:cs="Arial"/>
          <w:b/>
          <w:color w:val="1F3864"/>
          <w:sz w:val="22"/>
          <w:szCs w:val="22"/>
        </w:rPr>
        <w:t xml:space="preserve">Data validation checks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b/>
          <w:sz w:val="22"/>
          <w:szCs w:val="22"/>
        </w:rPr>
        <w:t xml:space="preserve">Mandatory fields</w:t>
      </w:r>
      <w:r>
        <w:rPr>
          <w:rFonts w:ascii="Arial" w:hAnsi="Arial" w:eastAsia="Arial" w:cs="Arial"/>
          <w:sz w:val="22"/>
          <w:szCs w:val="22"/>
        </w:rPr>
        <w:t xml:space="preserve"> are captured correctly.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b/>
          <w:sz w:val="22"/>
          <w:szCs w:val="22"/>
        </w:rPr>
        <w:t xml:space="preserve">Auto-number values</w:t>
      </w:r>
      <w:r>
        <w:rPr>
          <w:rFonts w:ascii="Arial" w:hAnsi="Arial" w:eastAsia="Arial" w:cs="Arial"/>
          <w:sz w:val="22"/>
          <w:szCs w:val="22"/>
        </w:rPr>
        <w:t xml:space="preserve"> are generated without duplication.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b/>
          <w:sz w:val="22"/>
          <w:szCs w:val="22"/>
        </w:rPr>
        <w:t xml:space="preserve">Category and Subcategory</w:t>
      </w:r>
      <w:r>
        <w:rPr>
          <w:rFonts w:ascii="Arial" w:hAnsi="Arial" w:eastAsia="Arial" w:cs="Arial"/>
          <w:sz w:val="22"/>
          <w:szCs w:val="22"/>
        </w:rPr>
        <w:t xml:space="preserve"> are stored correctly.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b/>
          <w:sz w:val="22"/>
          <w:szCs w:val="22"/>
        </w:rPr>
        <w:t xml:space="preserve">Reference fields</w:t>
      </w:r>
      <w:r>
        <w:rPr>
          <w:rFonts w:ascii="Arial" w:hAnsi="Arial" w:eastAsia="Arial" w:cs="Arial"/>
          <w:sz w:val="22"/>
          <w:szCs w:val="22"/>
        </w:rPr>
        <w:t xml:space="preserve"> resolve to the required user and group records.</w:t>
      </w:r>
    </w:p>
    <w:p>
      <w:pPr>
        <w:keepNext/>
        <w:spacing w:before="160" w:after="60" w:line="240" w:lineRule="auto"/>
      </w:pPr>
      <w:r>
        <w:rPr>
          <w:rFonts w:ascii="Arial" w:hAnsi="Arial" w:eastAsia="Arial" w:cs="Arial"/>
          <w:b/>
          <w:color w:val="1F3864"/>
          <w:sz w:val="22"/>
          <w:szCs w:val="22"/>
        </w:rPr>
        <w:t xml:space="preserve">Security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sz w:val="22"/>
          <w:szCs w:val="22"/>
        </w:rPr>
        <w:t xml:space="preserve">Access control rules were created with the table, restricting use to the role u_incident_workflow_user.</w:t>
      </w:r>
    </w:p>
    <w:p>
      <w:pPr>
        <w:keepNext/>
        <w:spacing w:before="160" w:after="60" w:line="240" w:lineRule="auto"/>
      </w:pPr>
      <w:r>
        <w:rPr>
          <w:rFonts w:ascii="Arial" w:hAnsi="Arial" w:eastAsia="Arial" w:cs="Arial"/>
          <w:b/>
          <w:color w:val="1F3864"/>
          <w:sz w:val="22"/>
          <w:szCs w:val="22"/>
        </w:rPr>
        <w:t xml:space="preserve">Test scenarios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500"/>
        <w:gridCol w:w="3100"/>
        <w:gridCol w:w="2926"/>
      </w:tblGrid>
      <w:tr>
        <w:trPr>
          <w:cantSplit/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Test scenario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Assigned to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Action performed</w:t>
            </w:r>
          </w:p>
        </w:tc>
        <w:tc>
          <w:tcPr>
            <w:tcW w:w="29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Result observed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Scenario 1: Network ticket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Dakshayani R N R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Caller selected and Short Description entered as a network issue ('My college Has issue with Network'); form saved and reloaded (INC00511).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Category = Network, Subcategory = Wi-Fi filled by the flow; email sent to the caller.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Scenario 2: Email notification check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Rubiga I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Opened All menus &gt; System Logs &gt; Emails, searched the subject, and used Preview mail on the record.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Two 'Your Request for the issue has been submitted.' emails listed (SMTP, send-ready); preview shows the confirmation message.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Scenario 3: Projector ticket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Harini Sri S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Caller selected and Short Description 'Projector not turning on'; form saved and reloaded (INC00512).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Category = Hardware, Subcategory = Projector; email sent to the caller.</w:t>
            </w:r>
          </w:p>
        </w:tc>
      </w:tr>
    </w:tbl>
    <w:p>
      <w:pPr>
        <w:spacing w:after="60" w:line="240" w:lineRule="auto"/>
      </w:pPr>
    </w:p>
    <w:p>
      <w:pPr>
        <w:keepNext/>
        <w:spacing w:before="200" w:after="80" w:line="240" w:lineRule="auto"/>
      </w:pPr>
      <w:r>
        <w:rPr>
          <w:rFonts w:ascii="Arial" w:hAnsi="Arial" w:eastAsia="Arial" w:cs="Arial"/>
          <w:b/>
          <w:sz w:val="24"/>
          <w:szCs w:val="24"/>
        </w:rPr>
        <w:t xml:space="preserve">Milestone 5: Deployment and Conclusion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000"/>
        <w:gridCol w:w="5226"/>
      </w:tblGrid>
      <w:tr>
        <w:trPr>
          <w:cantSplit/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Milestone 5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Assigned to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Work completed</w:t>
            </w:r>
          </w:p>
        </w:tc>
      </w:tr>
      <w:tr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Activity 1: Make Update set to Complete State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Dakshayani R N R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Opened Local Update Sets, set Project Update Set from In progress to Complete, saved, and used Export to XML. The file sys_remote_update_set_a7b40de6fc590ceaad36c.xml (182 KB) downloaded and can be loaded on another instance.</w:t>
            </w:r>
          </w:p>
        </w:tc>
      </w:tr>
      <w:tr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 xml:space="preserve">Conclusion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Harini Sri S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Wrote the project conclusion and the future scope given below.</w:t>
            </w:r>
          </w:p>
        </w:tc>
      </w:tr>
    </w:tbl>
    <w:p>
      <w:pPr>
        <w:spacing w:after="6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eastAsia="Arial" w:cs="Arial"/>
          <w:b/>
          <w:color w:val="1F3864"/>
          <w:sz w:val="22"/>
          <w:szCs w:val="22"/>
        </w:rPr>
        <w:t xml:space="preserve">Conclusion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sz w:val="22"/>
          <w:szCs w:val="22"/>
        </w:rPr>
        <w:t xml:space="preserve">The solution classifies school IT tickets from the Short Description, reducing manual categorisation and making routing consistent.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sz w:val="22"/>
          <w:szCs w:val="22"/>
        </w:rPr>
        <w:t xml:space="preserve">It was delivered in phases (requirements, backend, flow automation, testing, deployment) so each step could be checked.</w:t>
      </w:r>
    </w:p>
    <w:p>
      <w:pPr>
        <w:numPr>
          <w:ilvl w:val="0"/>
          <w:numId w:val="1"/>
        </w:numPr>
        <w:spacing w:after="60" w:line="240" w:lineRule="auto"/>
      </w:pPr>
      <w:r>
        <w:rPr>
          <w:rFonts w:ascii="Arial" w:hAnsi="Arial" w:eastAsia="Arial" w:cs="Arial"/>
          <w:sz w:val="22"/>
          <w:szCs w:val="22"/>
        </w:rPr>
        <w:t xml:space="preserve">The no-code design is easy to maintain; future additions are assignment automation, SLA tracking and Predictive Intelligence.</w:t>
      </w:r>
    </w:p>
    <w:p>
      <w:pPr>
        <w:spacing w:after="0" w:line="240" w:lineRule="auto"/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