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08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Auto Ticket Classification using ServiceNow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>Metrics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/>
                <w:color w:val="222222"/>
                <w:rtl w:val="0"/>
              </w:rPr>
              <w:t>Regression Model: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>MAE - N/A, MSE - N/A, RMSE - N/A, R2 score - N/A (no regression model)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/>
                <w:color w:val="222222"/>
                <w:rtl w:val="0"/>
              </w:rPr>
              <w:t>Classification Model: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>Confusion Matrix - Not applicable (keyword rules, not a trained model)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>Accuracy Score - 100% (2 of 2 executed test tickets classified correctly)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>Classification Report - INC00511 (“My college Has issue with Network”) → Network / Wi-Fi; INC00512 (“Projector not turning on”) → Hardware / Projector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</w:r>
            <w:r>
              <w:drawing>
                <wp:inline>
                  <wp:extent cx="1828800" cy="6783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9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78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>
                  <wp:extent cx="1828800" cy="67000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5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700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>Tune the Model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>Hyperparameter Tuning - Not applicable (no-code rule-based flow; conditions can be edited directly in Flow Designer)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>Validation Method - Manual scenario testing: create a ticket with Caller and Short description, save, reload the form, verify Category / Subcategory, then check System Logs → Emails for the notification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</w:r>
            <w:r>
              <w:drawing>
                <wp:inline>
                  <wp:extent cx="1828800" cy="79303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930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>
                  <wp:extent cx="1828800" cy="77474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4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Relationship Id="rId9" Type="http://schemas.openxmlformats.org/officeDocument/2006/relationships/image" Target="media/image3.jpg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