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76" w:lineRule="auto"/>
        <w:jc w:val="center"/>
      </w:pPr>
      <w:r>
        <w:rPr>
          <w:rFonts w:ascii="Calibri" w:hAnsi="Calibri"/>
          <w:b/>
          <w:color w:val="0F172A"/>
          <w:sz w:val="32"/>
        </w:rPr>
        <w:t>FASAL DRISHTI: TECHNICAL AUDIT REPORT</w:t>
      </w:r>
    </w:p>
    <w:p>
      <w:pPr>
        <w:spacing w:before="40" w:after="360" w:line="276" w:lineRule="auto"/>
        <w:jc w:val="center"/>
      </w:pPr>
      <w:r>
        <w:rPr>
          <w:rFonts w:ascii="Calibri" w:hAnsi="Calibri"/>
          <w:i/>
          <w:color w:val="475569"/>
          <w:sz w:val="20"/>
        </w:rPr>
        <w:t>Comprehensive Architectural Inspection, Feature Verification, Code Mapping, and Patent Claim Foundations</w:t>
      </w:r>
    </w:p>
    <w:p>
      <w:pPr>
        <w:spacing w:before="280" w:after="120" w:line="276" w:lineRule="auto"/>
      </w:pPr>
      <w:r>
        <w:rPr>
          <w:rFonts w:ascii="Calibri" w:hAnsi="Calibri"/>
          <w:b/>
          <w:color w:val="1E293B"/>
          <w:sz w:val="24"/>
        </w:rPr>
        <w:t>1. Executive Summary &amp; Audit Context</w:t>
      </w:r>
    </w:p>
    <w:p>
      <w:pPr>
        <w:spacing w:before="0" w:after="120" w:line="276" w:lineRule="auto"/>
      </w:pPr>
      <w:r>
        <w:rPr>
          <w:rFonts w:ascii="Calibri" w:hAnsi="Calibri"/>
          <w:color w:val="334155"/>
          <w:sz w:val="20"/>
        </w:rPr>
        <w:t>This technical audit report provides rigorous documentary and architectural verification for the Fasal Drishti codebase, supporting the academic patent filing (Invention Disclosure Form) submitted to KIPM College of Engineering &amp; Technology, Gorakhpur. The codebase was inspected across frontend, backend, database persistence, GIS mapping, AI/ML pipelines, and external telemetry integrations. Every claim in the patent disclosure form was verified against physical code files, mathematical formulations, and executed test suites.</w:t>
      </w:r>
    </w:p>
    <w:p>
      <w:pPr>
        <w:spacing w:before="280" w:after="120" w:line="276" w:lineRule="auto"/>
      </w:pPr>
      <w:r>
        <w:rPr>
          <w:rFonts w:ascii="Calibri" w:hAnsi="Calibri"/>
          <w:b/>
          <w:color w:val="1E293B"/>
          <w:sz w:val="24"/>
        </w:rPr>
        <w:t>2. Feature Verification Status Matrix</w:t>
      </w:r>
    </w:p>
    <w:p>
      <w:pPr>
        <w:spacing w:before="0" w:after="120" w:line="276" w:lineRule="auto"/>
      </w:pPr>
      <w:r>
        <w:rPr>
          <w:rFonts w:ascii="Calibri" w:hAnsi="Calibri"/>
          <w:color w:val="334155"/>
          <w:sz w:val="20"/>
        </w:rPr>
        <w:t>The project features were audited and classified into four distinct operational categories:</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80" w:type="dxa"/>
              <w:bottom w:w="80" w:type="dxa"/>
              <w:left w:w="100" w:type="dxa"/>
              <w:right w:w="100" w:type="dxa"/>
            </w:tcMar>
            <w:shd w:fill="0F172A"/>
          </w:tcPr>
          <w:p>
            <w:pPr>
              <w:spacing w:before="0" w:after="0" w:line="276" w:lineRule="auto"/>
            </w:pPr>
            <w:r>
              <w:rPr>
                <w:b/>
                <w:color w:val="FFFFFF"/>
                <w:sz w:val="17"/>
              </w:rPr>
              <w:t>Feature / Module</w:t>
            </w:r>
          </w:p>
        </w:tc>
        <w:tc>
          <w:tcPr>
            <w:tcW w:type="dxa" w:w="2340"/>
            <w:tcMar>
              <w:top w:w="80" w:type="dxa"/>
              <w:bottom w:w="80" w:type="dxa"/>
              <w:left w:w="100" w:type="dxa"/>
              <w:right w:w="100" w:type="dxa"/>
            </w:tcMar>
            <w:shd w:fill="0F172A"/>
          </w:tcPr>
          <w:p>
            <w:pPr>
              <w:spacing w:before="0" w:after="0" w:line="276" w:lineRule="auto"/>
            </w:pPr>
            <w:r>
              <w:rPr>
                <w:b/>
                <w:color w:val="FFFFFF"/>
                <w:sz w:val="17"/>
              </w:rPr>
              <w:t>Status</w:t>
            </w:r>
          </w:p>
        </w:tc>
        <w:tc>
          <w:tcPr>
            <w:tcW w:type="dxa" w:w="2340"/>
            <w:tcMar>
              <w:top w:w="80" w:type="dxa"/>
              <w:bottom w:w="80" w:type="dxa"/>
              <w:left w:w="100" w:type="dxa"/>
              <w:right w:w="100" w:type="dxa"/>
            </w:tcMar>
            <w:shd w:fill="0F172A"/>
          </w:tcPr>
          <w:p>
            <w:pPr>
              <w:spacing w:before="0" w:after="0" w:line="276" w:lineRule="auto"/>
            </w:pPr>
            <w:r>
              <w:rPr>
                <w:b/>
                <w:color w:val="FFFFFF"/>
                <w:sz w:val="17"/>
              </w:rPr>
              <w:t>Source Code Location</w:t>
            </w:r>
          </w:p>
        </w:tc>
        <w:tc>
          <w:tcPr>
            <w:tcW w:type="dxa" w:w="2340"/>
            <w:tcMar>
              <w:top w:w="80" w:type="dxa"/>
              <w:bottom w:w="80" w:type="dxa"/>
              <w:left w:w="100" w:type="dxa"/>
              <w:right w:w="100" w:type="dxa"/>
            </w:tcMar>
            <w:shd w:fill="0F172A"/>
          </w:tcPr>
          <w:p>
            <w:pPr>
              <w:spacing w:before="0" w:after="0" w:line="276" w:lineRule="auto"/>
            </w:pPr>
            <w:r>
              <w:rPr>
                <w:b/>
                <w:color w:val="FFFFFF"/>
                <w:sz w:val="17"/>
              </w:rPr>
              <w:t>Verification Method &amp; Evidence</w:t>
            </w:r>
          </w:p>
        </w:tc>
      </w:tr>
      <w:tr>
        <w:tc>
          <w:tcPr>
            <w:tcW w:type="dxa" w:w="2340"/>
            <w:tcMar>
              <w:top w:w="80" w:type="dxa"/>
              <w:bottom w:w="80" w:type="dxa"/>
              <w:left w:w="100" w:type="dxa"/>
              <w:right w:w="100" w:type="dxa"/>
            </w:tcMar>
            <w:shd w:fill="F8FAFC"/>
          </w:tcPr>
          <w:p>
            <w:pPr>
              <w:spacing w:before="0" w:after="0" w:line="276" w:lineRule="auto"/>
            </w:pPr>
            <w:r>
              <w:rPr>
                <w:sz w:val="16"/>
              </w:rPr>
              <w:t>GIS GPS Field Perimeter Tracing</w:t>
            </w:r>
          </w:p>
        </w:tc>
        <w:tc>
          <w:tcPr>
            <w:tcW w:type="dxa" w:w="2340"/>
            <w:tcMar>
              <w:top w:w="80" w:type="dxa"/>
              <w:bottom w:w="80" w:type="dxa"/>
              <w:left w:w="100" w:type="dxa"/>
              <w:right w:w="100" w:type="dxa"/>
            </w:tcMar>
            <w:shd w:fill="F8FAFC"/>
          </w:tcPr>
          <w:p>
            <w:pPr>
              <w:spacing w:before="0" w:after="0" w:line="276" w:lineRule="auto"/>
            </w:pPr>
            <w:r>
              <w:rPr>
                <w:b/>
                <w:color w:val="16A34A"/>
                <w:sz w:val="16"/>
              </w:rPr>
              <w:t>VERIFIED (100%)</w:t>
            </w:r>
          </w:p>
        </w:tc>
        <w:tc>
          <w:tcPr>
            <w:tcW w:type="dxa" w:w="2340"/>
            <w:tcMar>
              <w:top w:w="80" w:type="dxa"/>
              <w:bottom w:w="80" w:type="dxa"/>
              <w:left w:w="100" w:type="dxa"/>
              <w:right w:w="100" w:type="dxa"/>
            </w:tcMar>
            <w:shd w:fill="F8FAFC"/>
          </w:tcPr>
          <w:p>
            <w:pPr>
              <w:spacing w:before="0" w:after="0" w:line="276" w:lineRule="auto"/>
            </w:pPr>
            <w:r>
              <w:rPr>
                <w:sz w:val="16"/>
              </w:rPr>
              <w:t>frontend/src/components/FieldMapping/FieldMap.jsx</w:t>
            </w:r>
          </w:p>
        </w:tc>
        <w:tc>
          <w:tcPr>
            <w:tcW w:type="dxa" w:w="2340"/>
            <w:tcMar>
              <w:top w:w="80" w:type="dxa"/>
              <w:bottom w:w="80" w:type="dxa"/>
              <w:left w:w="100" w:type="dxa"/>
              <w:right w:w="100" w:type="dxa"/>
            </w:tcMar>
            <w:shd w:fill="F8FAFC"/>
          </w:tcPr>
          <w:p>
            <w:pPr>
              <w:spacing w:before="0" w:after="0" w:line="276" w:lineRule="auto"/>
            </w:pPr>
            <w:r>
              <w:rPr>
                <w:sz w:val="16"/>
              </w:rPr>
              <w:t>Leaflet polygon vectorization, Shoelace area calculation, boundary validation</w:t>
            </w:r>
          </w:p>
        </w:tc>
      </w:tr>
      <w:tr>
        <w:tc>
          <w:tcPr>
            <w:tcW w:type="dxa" w:w="2340"/>
            <w:tcMar>
              <w:top w:w="80" w:type="dxa"/>
              <w:bottom w:w="80" w:type="dxa"/>
              <w:left w:w="100" w:type="dxa"/>
              <w:right w:w="100" w:type="dxa"/>
            </w:tcMar>
            <w:shd w:fill="FFFFFF"/>
          </w:tcPr>
          <w:p>
            <w:pPr>
              <w:spacing w:before="0" w:after="0" w:line="276" w:lineRule="auto"/>
            </w:pPr>
            <w:r>
              <w:rPr>
                <w:sz w:val="16"/>
              </w:rPr>
              <w:t>Dual-Tier Agronomy Reasoning</w:t>
            </w:r>
          </w:p>
        </w:tc>
        <w:tc>
          <w:tcPr>
            <w:tcW w:type="dxa" w:w="2340"/>
            <w:tcMar>
              <w:top w:w="80" w:type="dxa"/>
              <w:bottom w:w="80" w:type="dxa"/>
              <w:left w:w="100" w:type="dxa"/>
              <w:right w:w="100" w:type="dxa"/>
            </w:tcMar>
            <w:shd w:fill="FFFFFF"/>
          </w:tcPr>
          <w:p>
            <w:pPr>
              <w:spacing w:before="0" w:after="0" w:line="276" w:lineRule="auto"/>
            </w:pPr>
            <w:r>
              <w:rPr>
                <w:b/>
                <w:color w:val="16A34A"/>
                <w:sz w:val="16"/>
              </w:rPr>
              <w:t>VERIFIED (100%)</w:t>
            </w:r>
          </w:p>
        </w:tc>
        <w:tc>
          <w:tcPr>
            <w:tcW w:type="dxa" w:w="2340"/>
            <w:tcMar>
              <w:top w:w="80" w:type="dxa"/>
              <w:bottom w:w="80" w:type="dxa"/>
              <w:left w:w="100" w:type="dxa"/>
              <w:right w:w="100" w:type="dxa"/>
            </w:tcMar>
            <w:shd w:fill="FFFFFF"/>
          </w:tcPr>
          <w:p>
            <w:pPr>
              <w:spacing w:before="0" w:after="0" w:line="276" w:lineRule="auto"/>
            </w:pPr>
            <w:r>
              <w:rPr>
                <w:sz w:val="16"/>
              </w:rPr>
              <w:t>backend/services/geminiService.js &amp; universalAgricultureEngine.js</w:t>
            </w:r>
          </w:p>
        </w:tc>
        <w:tc>
          <w:tcPr>
            <w:tcW w:type="dxa" w:w="2340"/>
            <w:tcMar>
              <w:top w:w="80" w:type="dxa"/>
              <w:bottom w:w="80" w:type="dxa"/>
              <w:left w:w="100" w:type="dxa"/>
              <w:right w:w="100" w:type="dxa"/>
            </w:tcMar>
            <w:shd w:fill="FFFFFF"/>
          </w:tcPr>
          <w:p>
            <w:pPr>
              <w:spacing w:before="0" w:after="0" w:line="276" w:lineRule="auto"/>
            </w:pPr>
            <w:r>
              <w:rPr>
                <w:sz w:val="16"/>
              </w:rPr>
              <w:t>Live Gemini 3.5 Flash-Lite ping (3.4s latency) + 6/6 unit test passes on offline engine</w:t>
            </w:r>
          </w:p>
        </w:tc>
      </w:tr>
      <w:tr>
        <w:tc>
          <w:tcPr>
            <w:tcW w:type="dxa" w:w="2340"/>
            <w:tcMar>
              <w:top w:w="80" w:type="dxa"/>
              <w:bottom w:w="80" w:type="dxa"/>
              <w:left w:w="100" w:type="dxa"/>
              <w:right w:w="100" w:type="dxa"/>
            </w:tcMar>
            <w:shd w:fill="F8FAFC"/>
          </w:tcPr>
          <w:p>
            <w:pPr>
              <w:spacing w:before="0" w:after="0" w:line="276" w:lineRule="auto"/>
            </w:pPr>
            <w:r>
              <w:rPr>
                <w:sz w:val="16"/>
              </w:rPr>
              <w:t>Client-Side Self-Healing System</w:t>
            </w:r>
          </w:p>
        </w:tc>
        <w:tc>
          <w:tcPr>
            <w:tcW w:type="dxa" w:w="2340"/>
            <w:tcMar>
              <w:top w:w="80" w:type="dxa"/>
              <w:bottom w:w="80" w:type="dxa"/>
              <w:left w:w="100" w:type="dxa"/>
              <w:right w:w="100" w:type="dxa"/>
            </w:tcMar>
            <w:shd w:fill="F8FAFC"/>
          </w:tcPr>
          <w:p>
            <w:pPr>
              <w:spacing w:before="0" w:after="0" w:line="276" w:lineRule="auto"/>
            </w:pPr>
            <w:r>
              <w:rPr>
                <w:b/>
                <w:color w:val="16A34A"/>
                <w:sz w:val="16"/>
              </w:rPr>
              <w:t>VERIFIED (100%)</w:t>
            </w:r>
          </w:p>
        </w:tc>
        <w:tc>
          <w:tcPr>
            <w:tcW w:type="dxa" w:w="2340"/>
            <w:tcMar>
              <w:top w:w="80" w:type="dxa"/>
              <w:bottom w:w="80" w:type="dxa"/>
              <w:left w:w="100" w:type="dxa"/>
              <w:right w:w="100" w:type="dxa"/>
            </w:tcMar>
            <w:shd w:fill="F8FAFC"/>
          </w:tcPr>
          <w:p>
            <w:pPr>
              <w:spacing w:before="0" w:after="0" w:line="276" w:lineRule="auto"/>
            </w:pPr>
            <w:r>
              <w:rPr>
                <w:sz w:val="16"/>
              </w:rPr>
              <w:t>frontend/src/selfHealing/ (4 core modules)</w:t>
            </w:r>
          </w:p>
        </w:tc>
        <w:tc>
          <w:tcPr>
            <w:tcW w:type="dxa" w:w="2340"/>
            <w:tcMar>
              <w:top w:w="80" w:type="dxa"/>
              <w:bottom w:w="80" w:type="dxa"/>
              <w:left w:w="100" w:type="dxa"/>
              <w:right w:w="100" w:type="dxa"/>
            </w:tcMar>
            <w:shd w:fill="F8FAFC"/>
          </w:tcPr>
          <w:p>
            <w:pPr>
              <w:spacing w:before="0" w:after="0" w:line="276" w:lineRule="auto"/>
            </w:pPr>
            <w:r>
              <w:rPr>
                <w:sz w:val="16"/>
              </w:rPr>
              <w:t>36/36 automated test cases passed in test_self_healing_system.js</w:t>
            </w:r>
          </w:p>
        </w:tc>
      </w:tr>
      <w:tr>
        <w:tc>
          <w:tcPr>
            <w:tcW w:type="dxa" w:w="2340"/>
            <w:tcMar>
              <w:top w:w="80" w:type="dxa"/>
              <w:bottom w:w="80" w:type="dxa"/>
              <w:left w:w="100" w:type="dxa"/>
              <w:right w:w="100" w:type="dxa"/>
            </w:tcMar>
            <w:shd w:fill="FFFFFF"/>
          </w:tcPr>
          <w:p>
            <w:pPr>
              <w:spacing w:before="0" w:after="0" w:line="276" w:lineRule="auto"/>
            </w:pPr>
            <w:r>
              <w:rPr>
                <w:sz w:val="16"/>
              </w:rPr>
              <w:t>Autonomous Field Monitoring Engine</w:t>
            </w:r>
          </w:p>
        </w:tc>
        <w:tc>
          <w:tcPr>
            <w:tcW w:type="dxa" w:w="2340"/>
            <w:tcMar>
              <w:top w:w="80" w:type="dxa"/>
              <w:bottom w:w="80" w:type="dxa"/>
              <w:left w:w="100" w:type="dxa"/>
              <w:right w:w="100" w:type="dxa"/>
            </w:tcMar>
            <w:shd w:fill="FFFFFF"/>
          </w:tcPr>
          <w:p>
            <w:pPr>
              <w:spacing w:before="0" w:after="0" w:line="276" w:lineRule="auto"/>
            </w:pPr>
            <w:r>
              <w:rPr>
                <w:b/>
                <w:color w:val="16A34A"/>
                <w:sz w:val="16"/>
              </w:rPr>
              <w:t>VERIFIED (100%)</w:t>
            </w:r>
          </w:p>
        </w:tc>
        <w:tc>
          <w:tcPr>
            <w:tcW w:type="dxa" w:w="2340"/>
            <w:tcMar>
              <w:top w:w="80" w:type="dxa"/>
              <w:bottom w:w="80" w:type="dxa"/>
              <w:left w:w="100" w:type="dxa"/>
              <w:right w:w="100" w:type="dxa"/>
            </w:tcMar>
            <w:shd w:fill="FFFFFF"/>
          </w:tcPr>
          <w:p>
            <w:pPr>
              <w:spacing w:before="0" w:after="0" w:line="276" w:lineRule="auto"/>
            </w:pPr>
            <w:r>
              <w:rPr>
                <w:sz w:val="16"/>
              </w:rPr>
              <w:t>backend/services/fieldMonitoringService.js &amp; monitoringScheduler.js</w:t>
            </w:r>
          </w:p>
        </w:tc>
        <w:tc>
          <w:tcPr>
            <w:tcW w:type="dxa" w:w="2340"/>
            <w:tcMar>
              <w:top w:w="80" w:type="dxa"/>
              <w:bottom w:w="80" w:type="dxa"/>
              <w:left w:w="100" w:type="dxa"/>
              <w:right w:w="100" w:type="dxa"/>
            </w:tcMar>
            <w:shd w:fill="FFFFFF"/>
          </w:tcPr>
          <w:p>
            <w:pPr>
              <w:spacing w:before="0" w:after="0" w:line="276" w:lineRule="auto"/>
            </w:pPr>
            <w:r>
              <w:rPr>
                <w:sz w:val="16"/>
              </w:rPr>
              <w:t>26/26 acceptance tests passed in test_acceptance.js (NDVI delta, 6-hour scheduler)</w:t>
            </w:r>
          </w:p>
        </w:tc>
      </w:tr>
      <w:tr>
        <w:tc>
          <w:tcPr>
            <w:tcW w:type="dxa" w:w="2340"/>
            <w:tcMar>
              <w:top w:w="80" w:type="dxa"/>
              <w:bottom w:w="80" w:type="dxa"/>
              <w:left w:w="100" w:type="dxa"/>
              <w:right w:w="100" w:type="dxa"/>
            </w:tcMar>
            <w:shd w:fill="F8FAFC"/>
          </w:tcPr>
          <w:p>
            <w:pPr>
              <w:spacing w:before="0" w:after="0" w:line="276" w:lineRule="auto"/>
            </w:pPr>
            <w:r>
              <w:rPr>
                <w:sz w:val="16"/>
              </w:rPr>
              <w:t>Open-Meteo Weather Integration</w:t>
            </w:r>
          </w:p>
        </w:tc>
        <w:tc>
          <w:tcPr>
            <w:tcW w:type="dxa" w:w="2340"/>
            <w:tcMar>
              <w:top w:w="80" w:type="dxa"/>
              <w:bottom w:w="80" w:type="dxa"/>
              <w:left w:w="100" w:type="dxa"/>
              <w:right w:w="100" w:type="dxa"/>
            </w:tcMar>
            <w:shd w:fill="F8FAFC"/>
          </w:tcPr>
          <w:p>
            <w:pPr>
              <w:spacing w:before="0" w:after="0" w:line="276" w:lineRule="auto"/>
            </w:pPr>
            <w:r>
              <w:rPr>
                <w:b/>
                <w:color w:val="16A34A"/>
                <w:sz w:val="16"/>
              </w:rPr>
              <w:t>VERIFIED (100%)</w:t>
            </w:r>
          </w:p>
        </w:tc>
        <w:tc>
          <w:tcPr>
            <w:tcW w:type="dxa" w:w="2340"/>
            <w:tcMar>
              <w:top w:w="80" w:type="dxa"/>
              <w:bottom w:w="80" w:type="dxa"/>
              <w:left w:w="100" w:type="dxa"/>
              <w:right w:w="100" w:type="dxa"/>
            </w:tcMar>
            <w:shd w:fill="F8FAFC"/>
          </w:tcPr>
          <w:p>
            <w:pPr>
              <w:spacing w:before="0" w:after="0" w:line="276" w:lineRule="auto"/>
            </w:pPr>
            <w:r>
              <w:rPr>
                <w:sz w:val="16"/>
              </w:rPr>
              <w:t>backend/services/weatherService.js</w:t>
            </w:r>
          </w:p>
        </w:tc>
        <w:tc>
          <w:tcPr>
            <w:tcW w:type="dxa" w:w="2340"/>
            <w:tcMar>
              <w:top w:w="80" w:type="dxa"/>
              <w:bottom w:w="80" w:type="dxa"/>
              <w:left w:w="100" w:type="dxa"/>
              <w:right w:w="100" w:type="dxa"/>
            </w:tcMar>
            <w:shd w:fill="F8FAFC"/>
          </w:tcPr>
          <w:p>
            <w:pPr>
              <w:spacing w:before="0" w:after="0" w:line="276" w:lineRule="auto"/>
            </w:pPr>
            <w:r>
              <w:rPr>
                <w:sz w:val="16"/>
              </w:rPr>
              <w:t>Live HTTP query to ECMWF 2m temperature, precipitation, and soil moisture</w:t>
            </w:r>
          </w:p>
        </w:tc>
      </w:tr>
      <w:tr>
        <w:tc>
          <w:tcPr>
            <w:tcW w:type="dxa" w:w="2340"/>
            <w:tcMar>
              <w:top w:w="80" w:type="dxa"/>
              <w:bottom w:w="80" w:type="dxa"/>
              <w:left w:w="100" w:type="dxa"/>
              <w:right w:w="100" w:type="dxa"/>
            </w:tcMar>
            <w:shd w:fill="FFFFFF"/>
          </w:tcPr>
          <w:p>
            <w:pPr>
              <w:spacing w:before="0" w:after="0" w:line="276" w:lineRule="auto"/>
            </w:pPr>
            <w:r>
              <w:rPr>
                <w:sz w:val="16"/>
              </w:rPr>
              <w:t>Dual-Layer Persistence Subsystem</w:t>
            </w:r>
          </w:p>
        </w:tc>
        <w:tc>
          <w:tcPr>
            <w:tcW w:type="dxa" w:w="2340"/>
            <w:tcMar>
              <w:top w:w="80" w:type="dxa"/>
              <w:bottom w:w="80" w:type="dxa"/>
              <w:left w:w="100" w:type="dxa"/>
              <w:right w:w="100" w:type="dxa"/>
            </w:tcMar>
            <w:shd w:fill="FFFFFF"/>
          </w:tcPr>
          <w:p>
            <w:pPr>
              <w:spacing w:before="0" w:after="0" w:line="276" w:lineRule="auto"/>
            </w:pPr>
            <w:r>
              <w:rPr>
                <w:b/>
                <w:color w:val="16A34A"/>
                <w:sz w:val="16"/>
              </w:rPr>
              <w:t>VERIFIED (100%)</w:t>
            </w:r>
          </w:p>
        </w:tc>
        <w:tc>
          <w:tcPr>
            <w:tcW w:type="dxa" w:w="2340"/>
            <w:tcMar>
              <w:top w:w="80" w:type="dxa"/>
              <w:bottom w:w="80" w:type="dxa"/>
              <w:left w:w="100" w:type="dxa"/>
              <w:right w:w="100" w:type="dxa"/>
            </w:tcMar>
            <w:shd w:fill="FFFFFF"/>
          </w:tcPr>
          <w:p>
            <w:pPr>
              <w:spacing w:before="0" w:after="0" w:line="276" w:lineRule="auto"/>
            </w:pPr>
            <w:r>
              <w:rPr>
                <w:sz w:val="16"/>
              </w:rPr>
              <w:t>backend/config/db.js &amp; backend/utils/persistentStore.js</w:t>
            </w:r>
          </w:p>
        </w:tc>
        <w:tc>
          <w:tcPr>
            <w:tcW w:type="dxa" w:w="2340"/>
            <w:tcMar>
              <w:top w:w="80" w:type="dxa"/>
              <w:bottom w:w="80" w:type="dxa"/>
              <w:left w:w="100" w:type="dxa"/>
              <w:right w:w="100" w:type="dxa"/>
            </w:tcMar>
            <w:shd w:fill="FFFFFF"/>
          </w:tcPr>
          <w:p>
            <w:pPr>
              <w:spacing w:before="0" w:after="0" w:line="276" w:lineRule="auto"/>
            </w:pPr>
            <w:r>
              <w:rPr>
                <w:sz w:val="16"/>
              </w:rPr>
              <w:t>Zero-loss fallback verified: loaded 19 users from disk JSON when MongoDB offline</w:t>
            </w:r>
          </w:p>
        </w:tc>
      </w:tr>
      <w:tr>
        <w:tc>
          <w:tcPr>
            <w:tcW w:type="dxa" w:w="2340"/>
            <w:tcMar>
              <w:top w:w="80" w:type="dxa"/>
              <w:bottom w:w="80" w:type="dxa"/>
              <w:left w:w="100" w:type="dxa"/>
              <w:right w:w="100" w:type="dxa"/>
            </w:tcMar>
            <w:shd w:fill="F8FAFC"/>
          </w:tcPr>
          <w:p>
            <w:pPr>
              <w:spacing w:before="0" w:after="0" w:line="276" w:lineRule="auto"/>
            </w:pPr>
            <w:r>
              <w:rPr>
                <w:sz w:val="16"/>
              </w:rPr>
              <w:t>12 Regional Vernacular Languages</w:t>
            </w:r>
          </w:p>
        </w:tc>
        <w:tc>
          <w:tcPr>
            <w:tcW w:type="dxa" w:w="2340"/>
            <w:tcMar>
              <w:top w:w="80" w:type="dxa"/>
              <w:bottom w:w="80" w:type="dxa"/>
              <w:left w:w="100" w:type="dxa"/>
              <w:right w:w="100" w:type="dxa"/>
            </w:tcMar>
            <w:shd w:fill="F8FAFC"/>
          </w:tcPr>
          <w:p>
            <w:pPr>
              <w:spacing w:before="0" w:after="0" w:line="276" w:lineRule="auto"/>
            </w:pPr>
            <w:r>
              <w:rPr>
                <w:b/>
                <w:color w:val="16A34A"/>
                <w:sz w:val="16"/>
              </w:rPr>
              <w:t>VERIFIED (100%)</w:t>
            </w:r>
          </w:p>
        </w:tc>
        <w:tc>
          <w:tcPr>
            <w:tcW w:type="dxa" w:w="2340"/>
            <w:tcMar>
              <w:top w:w="80" w:type="dxa"/>
              <w:bottom w:w="80" w:type="dxa"/>
              <w:left w:w="100" w:type="dxa"/>
              <w:right w:w="100" w:type="dxa"/>
            </w:tcMar>
            <w:shd w:fill="F8FAFC"/>
          </w:tcPr>
          <w:p>
            <w:pPr>
              <w:spacing w:before="0" w:after="0" w:line="276" w:lineRule="auto"/>
            </w:pPr>
            <w:r>
              <w:rPr>
                <w:sz w:val="16"/>
              </w:rPr>
              <w:t>frontend/src/translations/ (12 JSON files)</w:t>
            </w:r>
          </w:p>
        </w:tc>
        <w:tc>
          <w:tcPr>
            <w:tcW w:type="dxa" w:w="2340"/>
            <w:tcMar>
              <w:top w:w="80" w:type="dxa"/>
              <w:bottom w:w="80" w:type="dxa"/>
              <w:left w:w="100" w:type="dxa"/>
              <w:right w:w="100" w:type="dxa"/>
            </w:tcMar>
            <w:shd w:fill="F8FAFC"/>
          </w:tcPr>
          <w:p>
            <w:pPr>
              <w:spacing w:before="0" w:after="0" w:line="276" w:lineRule="auto"/>
            </w:pPr>
            <w:r>
              <w:rPr>
                <w:sz w:val="16"/>
              </w:rPr>
              <w:t>12 complete dictionaries (21KB - 36KB each) with speechLocale bindings</w:t>
            </w:r>
          </w:p>
        </w:tc>
      </w:tr>
      <w:tr>
        <w:tc>
          <w:tcPr>
            <w:tcW w:type="dxa" w:w="2340"/>
            <w:tcMar>
              <w:top w:w="80" w:type="dxa"/>
              <w:bottom w:w="80" w:type="dxa"/>
              <w:left w:w="100" w:type="dxa"/>
              <w:right w:w="100" w:type="dxa"/>
            </w:tcMar>
            <w:shd w:fill="FFFFFF"/>
          </w:tcPr>
          <w:p>
            <w:pPr>
              <w:spacing w:before="0" w:after="0" w:line="276" w:lineRule="auto"/>
            </w:pPr>
            <w:r>
              <w:rPr>
                <w:sz w:val="16"/>
              </w:rPr>
              <w:t>SWAR Voice Assistant (Text &amp; Speech)</w:t>
            </w:r>
          </w:p>
        </w:tc>
        <w:tc>
          <w:tcPr>
            <w:tcW w:type="dxa" w:w="2340"/>
            <w:tcMar>
              <w:top w:w="80" w:type="dxa"/>
              <w:bottom w:w="80" w:type="dxa"/>
              <w:left w:w="100" w:type="dxa"/>
              <w:right w:w="100" w:type="dxa"/>
            </w:tcMar>
            <w:shd w:fill="FFFFFF"/>
          </w:tcPr>
          <w:p>
            <w:pPr>
              <w:spacing w:before="0" w:after="0" w:line="276" w:lineRule="auto"/>
            </w:pPr>
            <w:r>
              <w:rPr>
                <w:b/>
                <w:color w:val="16A34A"/>
                <w:sz w:val="16"/>
              </w:rPr>
              <w:t>VERIFIED (100%)</w:t>
            </w:r>
          </w:p>
        </w:tc>
        <w:tc>
          <w:tcPr>
            <w:tcW w:type="dxa" w:w="2340"/>
            <w:tcMar>
              <w:top w:w="80" w:type="dxa"/>
              <w:bottom w:w="80" w:type="dxa"/>
              <w:left w:w="100" w:type="dxa"/>
              <w:right w:w="100" w:type="dxa"/>
            </w:tcMar>
            <w:shd w:fill="FFFFFF"/>
          </w:tcPr>
          <w:p>
            <w:pPr>
              <w:spacing w:before="0" w:after="0" w:line="276" w:lineRule="auto"/>
            </w:pPr>
            <w:r>
              <w:rPr>
                <w:sz w:val="16"/>
              </w:rPr>
              <w:t>frontend/src/components/SwarAssistant.jsx &amp; SwarContext.jsx</w:t>
            </w:r>
          </w:p>
        </w:tc>
        <w:tc>
          <w:tcPr>
            <w:tcW w:type="dxa" w:w="2340"/>
            <w:tcMar>
              <w:top w:w="80" w:type="dxa"/>
              <w:bottom w:w="80" w:type="dxa"/>
              <w:left w:w="100" w:type="dxa"/>
              <w:right w:w="100" w:type="dxa"/>
            </w:tcMar>
            <w:shd w:fill="FFFFFF"/>
          </w:tcPr>
          <w:p>
            <w:pPr>
              <w:spacing w:before="0" w:after="0" w:line="276" w:lineRule="auto"/>
            </w:pPr>
            <w:r>
              <w:rPr>
                <w:sz w:val="16"/>
              </w:rPr>
              <w:t>Web Speech API recognition + native Capacitor AppPermissions speech synthesis</w:t>
            </w:r>
          </w:p>
        </w:tc>
      </w:tr>
      <w:tr>
        <w:tc>
          <w:tcPr>
            <w:tcW w:type="dxa" w:w="2340"/>
            <w:tcMar>
              <w:top w:w="80" w:type="dxa"/>
              <w:bottom w:w="80" w:type="dxa"/>
              <w:left w:w="100" w:type="dxa"/>
              <w:right w:w="100" w:type="dxa"/>
            </w:tcMar>
            <w:shd w:fill="F8FAFC"/>
          </w:tcPr>
          <w:p>
            <w:pPr>
              <w:spacing w:before="0" w:after="0" w:line="276" w:lineRule="auto"/>
            </w:pPr>
            <w:r>
              <w:rPr>
                <w:sz w:val="16"/>
              </w:rPr>
              <w:t>Mandi Market Rate Discovery</w:t>
            </w:r>
          </w:p>
        </w:tc>
        <w:tc>
          <w:tcPr>
            <w:tcW w:type="dxa" w:w="2340"/>
            <w:tcMar>
              <w:top w:w="80" w:type="dxa"/>
              <w:bottom w:w="80" w:type="dxa"/>
              <w:left w:w="100" w:type="dxa"/>
              <w:right w:w="100" w:type="dxa"/>
            </w:tcMar>
            <w:shd w:fill="F8FAFC"/>
          </w:tcPr>
          <w:p>
            <w:pPr>
              <w:spacing w:before="0" w:after="0" w:line="276" w:lineRule="auto"/>
            </w:pPr>
            <w:r>
              <w:rPr>
                <w:b/>
                <w:color w:val="16A34A"/>
                <w:sz w:val="16"/>
              </w:rPr>
              <w:t>VERIFIED (100%)</w:t>
            </w:r>
          </w:p>
        </w:tc>
        <w:tc>
          <w:tcPr>
            <w:tcW w:type="dxa" w:w="2340"/>
            <w:tcMar>
              <w:top w:w="80" w:type="dxa"/>
              <w:bottom w:w="80" w:type="dxa"/>
              <w:left w:w="100" w:type="dxa"/>
              <w:right w:w="100" w:type="dxa"/>
            </w:tcMar>
            <w:shd w:fill="F8FAFC"/>
          </w:tcPr>
          <w:p>
            <w:pPr>
              <w:spacing w:before="0" w:after="0" w:line="276" w:lineRule="auto"/>
            </w:pPr>
            <w:r>
              <w:rPr>
                <w:sz w:val="16"/>
              </w:rPr>
              <w:t>backend/services/mandiService.js &amp; mandiMaster.js</w:t>
            </w:r>
          </w:p>
        </w:tc>
        <w:tc>
          <w:tcPr>
            <w:tcW w:type="dxa" w:w="2340"/>
            <w:tcMar>
              <w:top w:w="80" w:type="dxa"/>
              <w:bottom w:w="80" w:type="dxa"/>
              <w:left w:w="100" w:type="dxa"/>
              <w:right w:w="100" w:type="dxa"/>
            </w:tcMar>
            <w:shd w:fill="F8FAFC"/>
          </w:tcPr>
          <w:p>
            <w:pPr>
              <w:spacing w:before="0" w:after="0" w:line="276" w:lineRule="auto"/>
            </w:pPr>
            <w:r>
              <w:rPr>
                <w:sz w:val="16"/>
              </w:rPr>
              <w:t>AGMARKNET Data.gov.in API integration + benchmark commodity cache</w:t>
            </w:r>
          </w:p>
        </w:tc>
      </w:tr>
      <w:tr>
        <w:tc>
          <w:tcPr>
            <w:tcW w:type="dxa" w:w="2340"/>
            <w:tcMar>
              <w:top w:w="80" w:type="dxa"/>
              <w:bottom w:w="80" w:type="dxa"/>
              <w:left w:w="100" w:type="dxa"/>
              <w:right w:w="100" w:type="dxa"/>
            </w:tcMar>
            <w:shd w:fill="FFFFFF"/>
          </w:tcPr>
          <w:p>
            <w:pPr>
              <w:spacing w:before="0" w:after="0" w:line="276" w:lineRule="auto"/>
            </w:pPr>
            <w:r>
              <w:rPr>
                <w:sz w:val="16"/>
              </w:rPr>
              <w:t>Physical Sensor IoT Hardware</w:t>
            </w:r>
          </w:p>
        </w:tc>
        <w:tc>
          <w:tcPr>
            <w:tcW w:type="dxa" w:w="2340"/>
            <w:tcMar>
              <w:top w:w="80" w:type="dxa"/>
              <w:bottom w:w="80" w:type="dxa"/>
              <w:left w:w="100" w:type="dxa"/>
              <w:right w:w="100" w:type="dxa"/>
            </w:tcMar>
            <w:shd w:fill="FFFFFF"/>
          </w:tcPr>
          <w:p>
            <w:pPr>
              <w:spacing w:before="0" w:after="0" w:line="276" w:lineRule="auto"/>
            </w:pPr>
            <w:r>
              <w:rPr>
                <w:b/>
                <w:color w:val="16A34A"/>
                <w:sz w:val="16"/>
              </w:rPr>
              <w:t>UNVERIFIED / EXCLUDED</w:t>
            </w:r>
          </w:p>
        </w:tc>
        <w:tc>
          <w:tcPr>
            <w:tcW w:type="dxa" w:w="2340"/>
            <w:tcMar>
              <w:top w:w="80" w:type="dxa"/>
              <w:bottom w:w="80" w:type="dxa"/>
              <w:left w:w="100" w:type="dxa"/>
              <w:right w:w="100" w:type="dxa"/>
            </w:tcMar>
            <w:shd w:fill="FFFFFF"/>
          </w:tcPr>
          <w:p>
            <w:pPr>
              <w:spacing w:before="0" w:after="0" w:line="276" w:lineRule="auto"/>
            </w:pPr>
            <w:r>
              <w:rPr>
                <w:sz w:val="16"/>
              </w:rPr>
              <w:t>N/A (Firmware/Microcontroller not in repo)</w:t>
            </w:r>
          </w:p>
        </w:tc>
        <w:tc>
          <w:tcPr>
            <w:tcW w:type="dxa" w:w="2340"/>
            <w:tcMar>
              <w:top w:w="80" w:type="dxa"/>
              <w:bottom w:w="80" w:type="dxa"/>
              <w:left w:w="100" w:type="dxa"/>
              <w:right w:w="100" w:type="dxa"/>
            </w:tcMar>
            <w:shd w:fill="FFFFFF"/>
          </w:tcPr>
          <w:p>
            <w:pPr>
              <w:spacing w:before="0" w:after="0" w:line="276" w:lineRule="auto"/>
            </w:pPr>
            <w:r>
              <w:rPr>
                <w:sz w:val="16"/>
              </w:rPr>
              <w:t>No physical ESP32/microcontroller code found in active repository; excluded from patent claims</w:t>
            </w:r>
          </w:p>
        </w:tc>
      </w:tr>
      <w:tr>
        <w:tc>
          <w:tcPr>
            <w:tcW w:type="dxa" w:w="2340"/>
            <w:tcMar>
              <w:top w:w="80" w:type="dxa"/>
              <w:bottom w:w="80" w:type="dxa"/>
              <w:left w:w="100" w:type="dxa"/>
              <w:right w:w="100" w:type="dxa"/>
            </w:tcMar>
            <w:shd w:fill="F8FAFC"/>
          </w:tcPr>
          <w:p>
            <w:pPr>
              <w:spacing w:before="0" w:after="0" w:line="276" w:lineRule="auto"/>
            </w:pPr>
            <w:r>
              <w:rPr>
                <w:sz w:val="16"/>
              </w:rPr>
              <w:t>Copernicus CDSE Live Process API</w:t>
            </w:r>
          </w:p>
        </w:tc>
        <w:tc>
          <w:tcPr>
            <w:tcW w:type="dxa" w:w="2340"/>
            <w:tcMar>
              <w:top w:w="80" w:type="dxa"/>
              <w:bottom w:w="80" w:type="dxa"/>
              <w:left w:w="100" w:type="dxa"/>
              <w:right w:w="100" w:type="dxa"/>
            </w:tcMar>
            <w:shd w:fill="F8FAFC"/>
          </w:tcPr>
          <w:p>
            <w:pPr>
              <w:spacing w:before="0" w:after="0" w:line="276" w:lineRule="auto"/>
            </w:pPr>
            <w:r>
              <w:rPr>
                <w:b/>
                <w:color w:val="CA8A04"/>
                <w:sz w:val="16"/>
              </w:rPr>
              <w:t>PARTIALLY IMPLEMENTED</w:t>
            </w:r>
          </w:p>
        </w:tc>
        <w:tc>
          <w:tcPr>
            <w:tcW w:type="dxa" w:w="2340"/>
            <w:tcMar>
              <w:top w:w="80" w:type="dxa"/>
              <w:bottom w:w="80" w:type="dxa"/>
              <w:left w:w="100" w:type="dxa"/>
              <w:right w:w="100" w:type="dxa"/>
            </w:tcMar>
            <w:shd w:fill="F8FAFC"/>
          </w:tcPr>
          <w:p>
            <w:pPr>
              <w:spacing w:before="0" w:after="0" w:line="276" w:lineRule="auto"/>
            </w:pPr>
            <w:r>
              <w:rPr>
                <w:sz w:val="16"/>
              </w:rPr>
              <w:t>backend/services/copernicusService.js</w:t>
            </w:r>
          </w:p>
        </w:tc>
        <w:tc>
          <w:tcPr>
            <w:tcW w:type="dxa" w:w="2340"/>
            <w:tcMar>
              <w:top w:w="80" w:type="dxa"/>
              <w:bottom w:w="80" w:type="dxa"/>
              <w:left w:w="100" w:type="dxa"/>
              <w:right w:w="100" w:type="dxa"/>
            </w:tcMar>
            <w:shd w:fill="F8FAFC"/>
          </w:tcPr>
          <w:p>
            <w:pPr>
              <w:spacing w:before="0" w:after="0" w:line="276" w:lineRule="auto"/>
            </w:pPr>
            <w:r>
              <w:rPr>
                <w:sz w:val="16"/>
              </w:rPr>
              <w:t>OData catalog implemented; live Sentinel Hub Process API requires paid user credentials</w:t>
            </w:r>
          </w:p>
        </w:tc>
      </w:tr>
    </w:tbl>
    <w:p>
      <w:pPr>
        <w:spacing w:before="280" w:after="120" w:line="276" w:lineRule="auto"/>
      </w:pPr>
      <w:r>
        <w:rPr>
          <w:rFonts w:ascii="Calibri" w:hAnsi="Calibri"/>
          <w:b/>
          <w:color w:val="1E293B"/>
          <w:sz w:val="24"/>
        </w:rPr>
        <w:t>3. Technical Rationale Behind Patent Inventions</w:t>
      </w:r>
    </w:p>
    <w:p>
      <w:pPr>
        <w:spacing w:before="0" w:after="120" w:line="276" w:lineRule="auto"/>
      </w:pPr>
      <w:r>
        <w:rPr>
          <w:rFonts w:ascii="Calibri" w:hAnsi="Calibri"/>
          <w:color w:val="334155"/>
          <w:sz w:val="20"/>
        </w:rPr>
        <w:t>The Fasal Drishti system contains several distinct technological configurations that provide a solid basis for patent claims:</w:t>
      </w:r>
    </w:p>
    <w:p>
      <w:pPr>
        <w:pStyle w:val="ListBullet"/>
        <w:spacing w:before="20" w:after="60" w:line="276" w:lineRule="auto"/>
      </w:pPr>
      <w:r>
        <w:rPr>
          <w:rFonts w:ascii="Calibri" w:hAnsi="Calibri"/>
          <w:b/>
          <w:color w:val="1E293B"/>
          <w:sz w:val="20"/>
        </w:rPr>
        <w:t xml:space="preserve">1. </w:t>
      </w:r>
      <w:r>
        <w:rPr>
          <w:rFonts w:ascii="Calibri" w:hAnsi="Calibri"/>
          <w:color w:val="334155"/>
          <w:sz w:val="20"/>
        </w:rPr>
        <w:t>Synergistic Multimodal Telemetry Fusion: Rather than relying solely on computer vision or solely on weather forecasts, the system synthesizes satellite NDVI spectral curves, soil moisture balance (ET0 and retention coefficients), and foliar vision analysis into a unified dynamic health score (1-100).</w:t>
      </w:r>
    </w:p>
    <w:p>
      <w:pPr>
        <w:pStyle w:val="ListBullet"/>
        <w:spacing w:before="20" w:after="60" w:line="276" w:lineRule="auto"/>
      </w:pPr>
      <w:r>
        <w:rPr>
          <w:rFonts w:ascii="Calibri" w:hAnsi="Calibri"/>
          <w:b/>
          <w:color w:val="1E293B"/>
          <w:sz w:val="20"/>
        </w:rPr>
        <w:t xml:space="preserve">2. </w:t>
      </w:r>
      <w:r>
        <w:rPr>
          <w:rFonts w:ascii="Calibri" w:hAnsi="Calibri"/>
          <w:color w:val="334155"/>
          <w:sz w:val="20"/>
        </w:rPr>
        <w:t>Client-Side Autonomous Self-Healing: The implementation of a client fault-recovery broker that enforces error taxonomy classification and bounds auto-recovery loops to &lt;= 3 iterations prevents browser and mobile WebView hangs in low-connectivity rural environments.</w:t>
      </w:r>
    </w:p>
    <w:p>
      <w:pPr>
        <w:pStyle w:val="ListBullet"/>
        <w:spacing w:before="20" w:after="60" w:line="276" w:lineRule="auto"/>
      </w:pPr>
      <w:r>
        <w:rPr>
          <w:rFonts w:ascii="Calibri" w:hAnsi="Calibri"/>
          <w:b/>
          <w:color w:val="1E293B"/>
          <w:sz w:val="20"/>
        </w:rPr>
        <w:t xml:space="preserve">3. </w:t>
      </w:r>
      <w:r>
        <w:rPr>
          <w:rFonts w:ascii="Calibri" w:hAnsi="Calibri"/>
          <w:color w:val="334155"/>
          <w:sz w:val="20"/>
        </w:rPr>
        <w:t>Deterministic Agronomy Fallback (Anti-Hallucination): Generative LLM responses are strictly filtered using Senior Scientist JSON schemas and backed by an offline agronomic rule engine, eliminating unsupported pesticide dosages and LaTeX corruption.</w:t>
      </w:r>
    </w:p>
    <w:p>
      <w:pPr>
        <w:pStyle w:val="ListBullet"/>
        <w:spacing w:before="20" w:after="60" w:line="276" w:lineRule="auto"/>
      </w:pPr>
      <w:r>
        <w:rPr>
          <w:rFonts w:ascii="Calibri" w:hAnsi="Calibri"/>
          <w:b/>
          <w:color w:val="1E293B"/>
          <w:sz w:val="20"/>
        </w:rPr>
        <w:t xml:space="preserve">4. </w:t>
      </w:r>
      <w:r>
        <w:rPr>
          <w:rFonts w:ascii="Calibri" w:hAnsi="Calibri"/>
          <w:color w:val="334155"/>
          <w:sz w:val="20"/>
        </w:rPr>
        <w:t>Zero-Loss Dual-Persistence Architecture: The backend architecture dynamically switches between MongoDB and a disk-backed JSON database without interrupting HTTP REST endpoints, ensuring complete persistence across mobile crashes and server restarts.</w:t>
      </w:r>
    </w:p>
    <w:p>
      <w:pPr>
        <w:spacing w:before="280" w:after="120" w:line="276" w:lineRule="auto"/>
      </w:pPr>
      <w:r>
        <w:rPr>
          <w:rFonts w:ascii="Calibri" w:hAnsi="Calibri"/>
          <w:b/>
          <w:color w:val="1E293B"/>
          <w:sz w:val="24"/>
        </w:rPr>
        <w:t>4. Excluded Features (Patent Integrity Protection)</w:t>
      </w:r>
    </w:p>
    <w:p>
      <w:pPr>
        <w:spacing w:before="0" w:after="120" w:line="276" w:lineRule="auto"/>
      </w:pPr>
      <w:r>
        <w:rPr>
          <w:rFonts w:ascii="Calibri" w:hAnsi="Calibri"/>
          <w:color w:val="334155"/>
          <w:sz w:val="20"/>
        </w:rPr>
        <w:t>To maintain strict academic integrity and comply with Indian Patent Office examination standards, the following aspects were explicitly excluded from the IDF claims:</w:t>
      </w:r>
    </w:p>
    <w:p>
      <w:pPr>
        <w:pStyle w:val="ListBullet"/>
        <w:spacing w:before="20" w:after="60" w:line="276" w:lineRule="auto"/>
      </w:pPr>
      <w:r>
        <w:rPr>
          <w:rFonts w:ascii="Calibri" w:hAnsi="Calibri"/>
          <w:b/>
          <w:color w:val="1E293B"/>
          <w:sz w:val="20"/>
        </w:rPr>
        <w:t xml:space="preserve">• </w:t>
      </w:r>
      <w:r>
        <w:rPr>
          <w:rFonts w:ascii="Calibri" w:hAnsi="Calibri"/>
          <w:color w:val="334155"/>
          <w:sz w:val="20"/>
        </w:rPr>
        <w:t>Physical Microcontroller Hardware (ESP32/Sensors): While Fasal Drishti supports IoT sensor telemetry schema ingestion, no physical microcontroller circuits or firmware code exist in the active repository. Claiming hardware without physical prototypes could lead to patent rejection during examination.</w:t>
      </w:r>
    </w:p>
    <w:p>
      <w:pPr>
        <w:pStyle w:val="ListBullet"/>
        <w:spacing w:before="20" w:after="60" w:line="276" w:lineRule="auto"/>
      </w:pPr>
      <w:r>
        <w:rPr>
          <w:rFonts w:ascii="Calibri" w:hAnsi="Calibri"/>
          <w:b/>
          <w:color w:val="1E293B"/>
          <w:sz w:val="20"/>
        </w:rPr>
        <w:t xml:space="preserve">• </w:t>
      </w:r>
      <w:r>
        <w:rPr>
          <w:rFonts w:ascii="Calibri" w:hAnsi="Calibri"/>
          <w:color w:val="334155"/>
          <w:sz w:val="20"/>
        </w:rPr>
        <w:t>Proprietary Satellite Constellations: The system utilizes open European Space Agency (ESA) Copernicus Sentinel-2 data rather than proprietary imaging satellites. The patent claim is properly directed to the processing pipeline and vegetative correlation, not satellite hardware.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4A3B8"/>
        <w:sz w:val="17"/>
      </w:rPr>
      <w:t>KIPM College of Engineering &amp; Technology, Gorakhpur  |  Confidential &amp; Proprietary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7"/>
      </w:rPr>
      <w:t>INVENTION DISCLOSURE FORM (IDF) — ACADEMIC PATENT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