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836F" w14:textId="77777777" w:rsidR="002010FC" w:rsidRPr="008B5425" w:rsidRDefault="00E57D20" w:rsidP="008B5425">
      <w:pPr>
        <w:rPr>
          <w:b/>
          <w:bCs/>
          <w:sz w:val="28"/>
          <w:szCs w:val="28"/>
        </w:rPr>
      </w:pPr>
      <w:r w:rsidRPr="008B5425">
        <w:rPr>
          <w:b/>
          <w:bCs/>
          <w:sz w:val="28"/>
          <w:szCs w:val="28"/>
        </w:rPr>
        <w:t>CASE ANALYSIS REPORT</w:t>
      </w:r>
    </w:p>
    <w:p w14:paraId="3FAC22C0" w14:textId="77777777" w:rsidR="002010FC" w:rsidRDefault="00E57D20" w:rsidP="008B5425">
      <w:pPr>
        <w:rPr>
          <w:b/>
          <w:bCs/>
          <w:sz w:val="28"/>
          <w:szCs w:val="28"/>
        </w:rPr>
      </w:pPr>
      <w:r w:rsidRPr="008B5425">
        <w:rPr>
          <w:b/>
          <w:bCs/>
          <w:sz w:val="28"/>
          <w:szCs w:val="28"/>
        </w:rPr>
        <w:t>K.S. PUTTASWAMY (RETD.) v. UNION OF INDIA (2017) 10 SCC 1</w:t>
      </w:r>
    </w:p>
    <w:p w14:paraId="6ABFA9B3" w14:textId="77777777" w:rsidR="008B5425" w:rsidRDefault="008B5425" w:rsidP="008B5425">
      <w:pPr>
        <w:rPr>
          <w:b/>
          <w:bCs/>
          <w:sz w:val="28"/>
          <w:szCs w:val="28"/>
        </w:rPr>
      </w:pPr>
    </w:p>
    <w:p w14:paraId="46851F1C" w14:textId="77777777" w:rsidR="008B5425" w:rsidRDefault="008B5425" w:rsidP="008B5425">
      <w:pPr>
        <w:rPr>
          <w:b/>
          <w:bCs/>
          <w:sz w:val="28"/>
          <w:szCs w:val="28"/>
        </w:rPr>
      </w:pPr>
    </w:p>
    <w:p w14:paraId="3EEABDB6" w14:textId="77777777" w:rsidR="008B5425" w:rsidRDefault="008B5425" w:rsidP="008B5425">
      <w:pPr>
        <w:rPr>
          <w:b/>
          <w:bCs/>
          <w:sz w:val="28"/>
          <w:szCs w:val="28"/>
        </w:rPr>
      </w:pPr>
    </w:p>
    <w:p w14:paraId="23CEB555" w14:textId="77777777" w:rsidR="008B5425" w:rsidRDefault="008B5425" w:rsidP="008B5425">
      <w:pPr>
        <w:rPr>
          <w:b/>
          <w:bCs/>
          <w:sz w:val="28"/>
          <w:szCs w:val="28"/>
        </w:rPr>
      </w:pPr>
    </w:p>
    <w:p w14:paraId="02D04917" w14:textId="77777777" w:rsidR="008B5425" w:rsidRDefault="008B5425" w:rsidP="008B5425">
      <w:pPr>
        <w:rPr>
          <w:b/>
          <w:bCs/>
          <w:sz w:val="28"/>
          <w:szCs w:val="28"/>
        </w:rPr>
      </w:pPr>
    </w:p>
    <w:p w14:paraId="479A8331" w14:textId="77777777" w:rsidR="008B5425" w:rsidRDefault="008B5425" w:rsidP="008B5425">
      <w:pPr>
        <w:rPr>
          <w:b/>
          <w:bCs/>
          <w:sz w:val="28"/>
          <w:szCs w:val="28"/>
        </w:rPr>
      </w:pPr>
    </w:p>
    <w:p w14:paraId="78EE0F8E" w14:textId="77777777" w:rsidR="008B5425" w:rsidRDefault="008B5425" w:rsidP="008B5425">
      <w:pPr>
        <w:rPr>
          <w:b/>
          <w:bCs/>
          <w:sz w:val="28"/>
          <w:szCs w:val="28"/>
        </w:rPr>
      </w:pPr>
    </w:p>
    <w:p w14:paraId="6F7C67DA" w14:textId="77777777" w:rsidR="008B5425" w:rsidRDefault="008B5425" w:rsidP="008B5425">
      <w:pPr>
        <w:rPr>
          <w:b/>
          <w:bCs/>
          <w:sz w:val="28"/>
          <w:szCs w:val="28"/>
        </w:rPr>
      </w:pPr>
    </w:p>
    <w:p w14:paraId="7AB6456B" w14:textId="77777777" w:rsidR="008B5425" w:rsidRDefault="008B5425" w:rsidP="008B5425">
      <w:pPr>
        <w:rPr>
          <w:b/>
          <w:bCs/>
          <w:sz w:val="28"/>
          <w:szCs w:val="28"/>
        </w:rPr>
      </w:pPr>
    </w:p>
    <w:p w14:paraId="27AECBDB" w14:textId="77777777" w:rsidR="008B5425" w:rsidRDefault="008B5425" w:rsidP="008B5425">
      <w:pPr>
        <w:rPr>
          <w:b/>
          <w:bCs/>
          <w:sz w:val="28"/>
          <w:szCs w:val="28"/>
        </w:rPr>
      </w:pPr>
    </w:p>
    <w:p w14:paraId="6ABBC207" w14:textId="77777777" w:rsidR="008B5425" w:rsidRDefault="008B5425" w:rsidP="008B5425">
      <w:pPr>
        <w:rPr>
          <w:b/>
          <w:bCs/>
          <w:sz w:val="28"/>
          <w:szCs w:val="28"/>
        </w:rPr>
      </w:pPr>
    </w:p>
    <w:p w14:paraId="2B360727" w14:textId="77777777" w:rsidR="008B5425" w:rsidRDefault="008B5425" w:rsidP="008B5425">
      <w:pPr>
        <w:rPr>
          <w:b/>
          <w:bCs/>
          <w:sz w:val="28"/>
          <w:szCs w:val="28"/>
        </w:rPr>
      </w:pPr>
    </w:p>
    <w:p w14:paraId="3CC3F679" w14:textId="77777777" w:rsidR="008B5425" w:rsidRDefault="008B5425" w:rsidP="008B5425">
      <w:pPr>
        <w:rPr>
          <w:b/>
          <w:bCs/>
          <w:sz w:val="28"/>
          <w:szCs w:val="28"/>
        </w:rPr>
      </w:pPr>
    </w:p>
    <w:p w14:paraId="7BACF2D4" w14:textId="77777777" w:rsidR="008B5425" w:rsidRDefault="008B5425" w:rsidP="008B5425">
      <w:pPr>
        <w:rPr>
          <w:b/>
          <w:bCs/>
          <w:sz w:val="28"/>
          <w:szCs w:val="28"/>
        </w:rPr>
      </w:pPr>
    </w:p>
    <w:p w14:paraId="774FC5FC" w14:textId="77777777" w:rsidR="008B5425" w:rsidRDefault="008B5425" w:rsidP="008B5425">
      <w:pPr>
        <w:rPr>
          <w:b/>
          <w:bCs/>
          <w:sz w:val="28"/>
          <w:szCs w:val="28"/>
        </w:rPr>
      </w:pPr>
    </w:p>
    <w:p w14:paraId="1046569B" w14:textId="77777777" w:rsidR="008B5425" w:rsidRDefault="008B5425" w:rsidP="008B5425">
      <w:pPr>
        <w:rPr>
          <w:b/>
          <w:bCs/>
          <w:sz w:val="28"/>
          <w:szCs w:val="28"/>
        </w:rPr>
      </w:pPr>
    </w:p>
    <w:p w14:paraId="29FB3CC1" w14:textId="77777777" w:rsidR="008B5425" w:rsidRPr="008B5425" w:rsidRDefault="008B5425" w:rsidP="008B5425">
      <w:pPr>
        <w:rPr>
          <w:b/>
          <w:bCs/>
          <w:sz w:val="28"/>
          <w:szCs w:val="28"/>
        </w:rPr>
      </w:pPr>
    </w:p>
    <w:p w14:paraId="49BDE908" w14:textId="45F184CA" w:rsidR="002010FC" w:rsidRPr="008B5425" w:rsidRDefault="008B5425" w:rsidP="008B5425">
      <w:pPr>
        <w:rPr>
          <w:sz w:val="22"/>
          <w:szCs w:val="22"/>
        </w:rPr>
      </w:pPr>
      <w:r>
        <w:rPr>
          <w:sz w:val="22"/>
          <w:szCs w:val="22"/>
        </w:rPr>
        <w:t xml:space="preserve">                                                </w:t>
      </w:r>
      <w:r w:rsidR="00E57D20" w:rsidRPr="008B5425">
        <w:rPr>
          <w:sz w:val="22"/>
          <w:szCs w:val="22"/>
        </w:rPr>
        <w:t xml:space="preserve">STUDENT NAME: </w:t>
      </w:r>
      <w:r w:rsidRPr="008B5425">
        <w:rPr>
          <w:sz w:val="22"/>
          <w:szCs w:val="22"/>
        </w:rPr>
        <w:t>HARIPRASATH K</w:t>
      </w:r>
    </w:p>
    <w:p w14:paraId="15A1A41C" w14:textId="1DB29255" w:rsidR="002010FC" w:rsidRPr="008B5425" w:rsidRDefault="008B5425" w:rsidP="008B5425">
      <w:pPr>
        <w:rPr>
          <w:sz w:val="22"/>
          <w:szCs w:val="22"/>
        </w:rPr>
      </w:pPr>
      <w:r>
        <w:rPr>
          <w:sz w:val="22"/>
          <w:szCs w:val="22"/>
        </w:rPr>
        <w:t xml:space="preserve">                                                </w:t>
      </w:r>
      <w:r w:rsidR="00E57D20" w:rsidRPr="008B5425">
        <w:rPr>
          <w:sz w:val="22"/>
          <w:szCs w:val="22"/>
        </w:rPr>
        <w:t>REGISTER NUMBER: 52725102</w:t>
      </w:r>
      <w:r w:rsidRPr="008B5425">
        <w:rPr>
          <w:sz w:val="22"/>
          <w:szCs w:val="22"/>
        </w:rPr>
        <w:t>04</w:t>
      </w:r>
    </w:p>
    <w:p w14:paraId="75219598" w14:textId="741863B1" w:rsidR="002010FC" w:rsidRPr="008B5425" w:rsidRDefault="008B5425" w:rsidP="008B5425">
      <w:pPr>
        <w:rPr>
          <w:sz w:val="22"/>
          <w:szCs w:val="22"/>
        </w:rPr>
      </w:pPr>
      <w:r>
        <w:rPr>
          <w:sz w:val="22"/>
          <w:szCs w:val="22"/>
        </w:rPr>
        <w:t xml:space="preserve">                                                </w:t>
      </w:r>
      <w:r w:rsidR="00E57D20" w:rsidRPr="008B5425">
        <w:rPr>
          <w:sz w:val="22"/>
          <w:szCs w:val="22"/>
        </w:rPr>
        <w:t>COURSE: B.COM FINTECH WITH AI</w:t>
      </w:r>
    </w:p>
    <w:p w14:paraId="2474D6BD" w14:textId="1628F82B" w:rsidR="002010FC" w:rsidRPr="008B5425" w:rsidRDefault="008B5425" w:rsidP="008B5425">
      <w:pPr>
        <w:rPr>
          <w:sz w:val="22"/>
          <w:szCs w:val="22"/>
        </w:rPr>
      </w:pPr>
      <w:r>
        <w:rPr>
          <w:sz w:val="22"/>
          <w:szCs w:val="22"/>
        </w:rPr>
        <w:t xml:space="preserve">                                                </w:t>
      </w:r>
      <w:r w:rsidR="00E57D20" w:rsidRPr="008B5425">
        <w:rPr>
          <w:sz w:val="22"/>
          <w:szCs w:val="22"/>
        </w:rPr>
        <w:t>ACTIVITY TITLE: CASE ANALYSIS REPORT</w:t>
      </w:r>
    </w:p>
    <w:p w14:paraId="315EE781" w14:textId="77777777" w:rsidR="002010FC" w:rsidRPr="008B5425" w:rsidRDefault="00E57D20" w:rsidP="008B5425">
      <w:pPr>
        <w:rPr>
          <w:sz w:val="22"/>
          <w:szCs w:val="22"/>
        </w:rPr>
      </w:pPr>
      <w:r w:rsidRPr="008B5425">
        <w:rPr>
          <w:sz w:val="22"/>
          <w:szCs w:val="22"/>
        </w:rPr>
        <w:br w:type="page"/>
      </w:r>
    </w:p>
    <w:p w14:paraId="20E40759" w14:textId="77777777" w:rsidR="002010FC" w:rsidRPr="008B5425" w:rsidRDefault="00E57D20" w:rsidP="008B5425">
      <w:pPr>
        <w:rPr>
          <w:sz w:val="22"/>
          <w:szCs w:val="22"/>
        </w:rPr>
      </w:pPr>
      <w:r w:rsidRPr="008B5425">
        <w:rPr>
          <w:sz w:val="22"/>
          <w:szCs w:val="22"/>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2010FC" w:rsidRPr="008B5425" w14:paraId="26099A71" w14:textId="77777777">
        <w:tblPrEx>
          <w:tblCellMar>
            <w:top w:w="0" w:type="dxa"/>
            <w:bottom w:w="0" w:type="dxa"/>
          </w:tblCellMar>
        </w:tblPrEx>
        <w:tc>
          <w:tcPr>
            <w:tcW w:w="1500" w:type="dxa"/>
            <w:shd w:val="clear" w:color="auto" w:fill="D9D9D9"/>
          </w:tcPr>
          <w:p w14:paraId="66FA9FBF" w14:textId="77777777" w:rsidR="002010FC" w:rsidRPr="008B5425" w:rsidRDefault="00E57D20" w:rsidP="008B5425">
            <w:pPr>
              <w:rPr>
                <w:sz w:val="22"/>
                <w:szCs w:val="22"/>
              </w:rPr>
            </w:pPr>
            <w:r w:rsidRPr="008B5425">
              <w:rPr>
                <w:sz w:val="22"/>
                <w:szCs w:val="22"/>
              </w:rPr>
              <w:t>S.NO</w:t>
            </w:r>
          </w:p>
        </w:tc>
        <w:tc>
          <w:tcPr>
            <w:tcW w:w="7500" w:type="dxa"/>
            <w:shd w:val="clear" w:color="auto" w:fill="D9D9D9"/>
          </w:tcPr>
          <w:p w14:paraId="37CF47FE" w14:textId="77777777" w:rsidR="002010FC" w:rsidRPr="008B5425" w:rsidRDefault="00E57D20" w:rsidP="008B5425">
            <w:pPr>
              <w:rPr>
                <w:sz w:val="22"/>
                <w:szCs w:val="22"/>
              </w:rPr>
            </w:pPr>
            <w:r w:rsidRPr="008B5425">
              <w:rPr>
                <w:sz w:val="22"/>
                <w:szCs w:val="22"/>
              </w:rPr>
              <w:t>TOPIC</w:t>
            </w:r>
          </w:p>
        </w:tc>
      </w:tr>
      <w:tr w:rsidR="002010FC" w:rsidRPr="008B5425" w14:paraId="36A3E4FC" w14:textId="77777777">
        <w:tblPrEx>
          <w:tblCellMar>
            <w:top w:w="0" w:type="dxa"/>
            <w:bottom w:w="0" w:type="dxa"/>
          </w:tblCellMar>
        </w:tblPrEx>
        <w:tc>
          <w:tcPr>
            <w:tcW w:w="1500" w:type="dxa"/>
          </w:tcPr>
          <w:p w14:paraId="5976993F" w14:textId="77777777" w:rsidR="002010FC" w:rsidRPr="008B5425" w:rsidRDefault="00E57D20" w:rsidP="008B5425">
            <w:pPr>
              <w:rPr>
                <w:sz w:val="22"/>
                <w:szCs w:val="22"/>
              </w:rPr>
            </w:pPr>
            <w:r w:rsidRPr="008B5425">
              <w:rPr>
                <w:sz w:val="22"/>
                <w:szCs w:val="22"/>
              </w:rPr>
              <w:t>1</w:t>
            </w:r>
          </w:p>
        </w:tc>
        <w:tc>
          <w:tcPr>
            <w:tcW w:w="7500" w:type="dxa"/>
          </w:tcPr>
          <w:p w14:paraId="35E1E891" w14:textId="77777777" w:rsidR="002010FC" w:rsidRPr="008B5425" w:rsidRDefault="00E57D20" w:rsidP="008B5425">
            <w:pPr>
              <w:rPr>
                <w:sz w:val="22"/>
                <w:szCs w:val="22"/>
              </w:rPr>
            </w:pPr>
            <w:r w:rsidRPr="008B5425">
              <w:rPr>
                <w:sz w:val="22"/>
                <w:szCs w:val="22"/>
              </w:rPr>
              <w:t>Introduction</w:t>
            </w:r>
          </w:p>
        </w:tc>
      </w:tr>
      <w:tr w:rsidR="002010FC" w:rsidRPr="008B5425" w14:paraId="51231117" w14:textId="77777777">
        <w:tblPrEx>
          <w:tblCellMar>
            <w:top w:w="0" w:type="dxa"/>
            <w:bottom w:w="0" w:type="dxa"/>
          </w:tblCellMar>
        </w:tblPrEx>
        <w:tc>
          <w:tcPr>
            <w:tcW w:w="1500" w:type="dxa"/>
          </w:tcPr>
          <w:p w14:paraId="48945703" w14:textId="77777777" w:rsidR="002010FC" w:rsidRPr="008B5425" w:rsidRDefault="00E57D20" w:rsidP="008B5425">
            <w:pPr>
              <w:rPr>
                <w:sz w:val="22"/>
                <w:szCs w:val="22"/>
              </w:rPr>
            </w:pPr>
            <w:r w:rsidRPr="008B5425">
              <w:rPr>
                <w:sz w:val="22"/>
                <w:szCs w:val="22"/>
              </w:rPr>
              <w:t>2</w:t>
            </w:r>
          </w:p>
        </w:tc>
        <w:tc>
          <w:tcPr>
            <w:tcW w:w="7500" w:type="dxa"/>
          </w:tcPr>
          <w:p w14:paraId="7DDAE228" w14:textId="77777777" w:rsidR="002010FC" w:rsidRPr="008B5425" w:rsidRDefault="00E57D20" w:rsidP="008B5425">
            <w:pPr>
              <w:rPr>
                <w:sz w:val="22"/>
                <w:szCs w:val="22"/>
              </w:rPr>
            </w:pPr>
            <w:r w:rsidRPr="008B5425">
              <w:rPr>
                <w:sz w:val="22"/>
                <w:szCs w:val="22"/>
              </w:rPr>
              <w:t>Facts of the Case</w:t>
            </w:r>
          </w:p>
        </w:tc>
      </w:tr>
      <w:tr w:rsidR="002010FC" w:rsidRPr="008B5425" w14:paraId="28020C7B" w14:textId="77777777">
        <w:tblPrEx>
          <w:tblCellMar>
            <w:top w:w="0" w:type="dxa"/>
            <w:bottom w:w="0" w:type="dxa"/>
          </w:tblCellMar>
        </w:tblPrEx>
        <w:tc>
          <w:tcPr>
            <w:tcW w:w="1500" w:type="dxa"/>
          </w:tcPr>
          <w:p w14:paraId="4953833C" w14:textId="77777777" w:rsidR="002010FC" w:rsidRPr="008B5425" w:rsidRDefault="00E57D20" w:rsidP="008B5425">
            <w:pPr>
              <w:rPr>
                <w:sz w:val="22"/>
                <w:szCs w:val="22"/>
              </w:rPr>
            </w:pPr>
            <w:r w:rsidRPr="008B5425">
              <w:rPr>
                <w:sz w:val="22"/>
                <w:szCs w:val="22"/>
              </w:rPr>
              <w:t>3</w:t>
            </w:r>
          </w:p>
        </w:tc>
        <w:tc>
          <w:tcPr>
            <w:tcW w:w="7500" w:type="dxa"/>
          </w:tcPr>
          <w:p w14:paraId="23DE7382" w14:textId="77777777" w:rsidR="002010FC" w:rsidRPr="008B5425" w:rsidRDefault="00E57D20" w:rsidP="008B5425">
            <w:pPr>
              <w:rPr>
                <w:sz w:val="22"/>
                <w:szCs w:val="22"/>
              </w:rPr>
            </w:pPr>
            <w:r w:rsidRPr="008B5425">
              <w:rPr>
                <w:sz w:val="22"/>
                <w:szCs w:val="22"/>
              </w:rPr>
              <w:t>Legal Issue</w:t>
            </w:r>
          </w:p>
        </w:tc>
      </w:tr>
      <w:tr w:rsidR="002010FC" w:rsidRPr="008B5425" w14:paraId="0426E5D6" w14:textId="77777777">
        <w:tblPrEx>
          <w:tblCellMar>
            <w:top w:w="0" w:type="dxa"/>
            <w:bottom w:w="0" w:type="dxa"/>
          </w:tblCellMar>
        </w:tblPrEx>
        <w:tc>
          <w:tcPr>
            <w:tcW w:w="1500" w:type="dxa"/>
          </w:tcPr>
          <w:p w14:paraId="71A5A4BF" w14:textId="77777777" w:rsidR="002010FC" w:rsidRPr="008B5425" w:rsidRDefault="00E57D20" w:rsidP="008B5425">
            <w:pPr>
              <w:rPr>
                <w:sz w:val="22"/>
                <w:szCs w:val="22"/>
              </w:rPr>
            </w:pPr>
            <w:r w:rsidRPr="008B5425">
              <w:rPr>
                <w:sz w:val="22"/>
                <w:szCs w:val="22"/>
              </w:rPr>
              <w:t>4</w:t>
            </w:r>
          </w:p>
        </w:tc>
        <w:tc>
          <w:tcPr>
            <w:tcW w:w="7500" w:type="dxa"/>
          </w:tcPr>
          <w:p w14:paraId="7AAE19F6" w14:textId="77777777" w:rsidR="002010FC" w:rsidRPr="008B5425" w:rsidRDefault="00E57D20" w:rsidP="008B5425">
            <w:pPr>
              <w:rPr>
                <w:sz w:val="22"/>
                <w:szCs w:val="22"/>
              </w:rPr>
            </w:pPr>
            <w:r w:rsidRPr="008B5425">
              <w:rPr>
                <w:sz w:val="22"/>
                <w:szCs w:val="22"/>
              </w:rPr>
              <w:t>Judgment</w:t>
            </w:r>
          </w:p>
        </w:tc>
      </w:tr>
      <w:tr w:rsidR="002010FC" w:rsidRPr="008B5425" w14:paraId="5C612FDF" w14:textId="77777777">
        <w:tblPrEx>
          <w:tblCellMar>
            <w:top w:w="0" w:type="dxa"/>
            <w:bottom w:w="0" w:type="dxa"/>
          </w:tblCellMar>
        </w:tblPrEx>
        <w:tc>
          <w:tcPr>
            <w:tcW w:w="1500" w:type="dxa"/>
          </w:tcPr>
          <w:p w14:paraId="634BF2C5" w14:textId="77777777" w:rsidR="002010FC" w:rsidRPr="008B5425" w:rsidRDefault="00E57D20" w:rsidP="008B5425">
            <w:pPr>
              <w:rPr>
                <w:sz w:val="22"/>
                <w:szCs w:val="22"/>
              </w:rPr>
            </w:pPr>
            <w:r w:rsidRPr="008B5425">
              <w:rPr>
                <w:sz w:val="22"/>
                <w:szCs w:val="22"/>
              </w:rPr>
              <w:t>5</w:t>
            </w:r>
          </w:p>
        </w:tc>
        <w:tc>
          <w:tcPr>
            <w:tcW w:w="7500" w:type="dxa"/>
          </w:tcPr>
          <w:p w14:paraId="73AD59F6" w14:textId="77777777" w:rsidR="002010FC" w:rsidRPr="008B5425" w:rsidRDefault="00E57D20" w:rsidP="008B5425">
            <w:pPr>
              <w:rPr>
                <w:sz w:val="22"/>
                <w:szCs w:val="22"/>
              </w:rPr>
            </w:pPr>
            <w:r w:rsidRPr="008B5425">
              <w:rPr>
                <w:sz w:val="22"/>
                <w:szCs w:val="22"/>
              </w:rPr>
              <w:t>Legal Principle: Contract Formation Analysis</w:t>
            </w:r>
          </w:p>
        </w:tc>
      </w:tr>
      <w:tr w:rsidR="002010FC" w:rsidRPr="008B5425" w14:paraId="11766B0C" w14:textId="77777777">
        <w:tblPrEx>
          <w:tblCellMar>
            <w:top w:w="0" w:type="dxa"/>
            <w:bottom w:w="0" w:type="dxa"/>
          </w:tblCellMar>
        </w:tblPrEx>
        <w:tc>
          <w:tcPr>
            <w:tcW w:w="1500" w:type="dxa"/>
          </w:tcPr>
          <w:p w14:paraId="17766172" w14:textId="77777777" w:rsidR="002010FC" w:rsidRPr="008B5425" w:rsidRDefault="00E57D20" w:rsidP="008B5425">
            <w:pPr>
              <w:rPr>
                <w:sz w:val="22"/>
                <w:szCs w:val="22"/>
              </w:rPr>
            </w:pPr>
            <w:r w:rsidRPr="008B5425">
              <w:rPr>
                <w:sz w:val="22"/>
                <w:szCs w:val="22"/>
              </w:rPr>
              <w:t>6</w:t>
            </w:r>
          </w:p>
        </w:tc>
        <w:tc>
          <w:tcPr>
            <w:tcW w:w="7500" w:type="dxa"/>
          </w:tcPr>
          <w:p w14:paraId="33850751" w14:textId="77777777" w:rsidR="002010FC" w:rsidRPr="008B5425" w:rsidRDefault="00E57D20" w:rsidP="008B5425">
            <w:pPr>
              <w:rPr>
                <w:sz w:val="22"/>
                <w:szCs w:val="22"/>
              </w:rPr>
            </w:pPr>
            <w:r w:rsidRPr="008B5425">
              <w:rPr>
                <w:sz w:val="22"/>
                <w:szCs w:val="22"/>
              </w:rPr>
              <w:t>Business Relevance</w:t>
            </w:r>
          </w:p>
        </w:tc>
      </w:tr>
      <w:tr w:rsidR="002010FC" w:rsidRPr="008B5425" w14:paraId="41BCD5D9" w14:textId="77777777">
        <w:tblPrEx>
          <w:tblCellMar>
            <w:top w:w="0" w:type="dxa"/>
            <w:bottom w:w="0" w:type="dxa"/>
          </w:tblCellMar>
        </w:tblPrEx>
        <w:tc>
          <w:tcPr>
            <w:tcW w:w="1500" w:type="dxa"/>
          </w:tcPr>
          <w:p w14:paraId="06F55CD1" w14:textId="77777777" w:rsidR="002010FC" w:rsidRPr="008B5425" w:rsidRDefault="00E57D20" w:rsidP="008B5425">
            <w:pPr>
              <w:rPr>
                <w:sz w:val="22"/>
                <w:szCs w:val="22"/>
              </w:rPr>
            </w:pPr>
            <w:r w:rsidRPr="008B5425">
              <w:rPr>
                <w:sz w:val="22"/>
                <w:szCs w:val="22"/>
              </w:rPr>
              <w:t>7</w:t>
            </w:r>
          </w:p>
        </w:tc>
        <w:tc>
          <w:tcPr>
            <w:tcW w:w="7500" w:type="dxa"/>
          </w:tcPr>
          <w:p w14:paraId="0DF66CE9" w14:textId="77777777" w:rsidR="002010FC" w:rsidRPr="008B5425" w:rsidRDefault="00E57D20" w:rsidP="008B5425">
            <w:pPr>
              <w:rPr>
                <w:sz w:val="22"/>
                <w:szCs w:val="22"/>
              </w:rPr>
            </w:pPr>
            <w:r w:rsidRPr="008B5425">
              <w:rPr>
                <w:sz w:val="22"/>
                <w:szCs w:val="22"/>
              </w:rPr>
              <w:t>Conclusion</w:t>
            </w:r>
          </w:p>
        </w:tc>
      </w:tr>
    </w:tbl>
    <w:p w14:paraId="0464D04F" w14:textId="77777777" w:rsidR="002010FC" w:rsidRPr="008B5425" w:rsidRDefault="00E57D20" w:rsidP="008B5425">
      <w:pPr>
        <w:rPr>
          <w:sz w:val="22"/>
          <w:szCs w:val="22"/>
        </w:rPr>
      </w:pPr>
      <w:r w:rsidRPr="008B5425">
        <w:rPr>
          <w:sz w:val="22"/>
          <w:szCs w:val="22"/>
        </w:rPr>
        <w:br w:type="page"/>
      </w:r>
    </w:p>
    <w:p w14:paraId="2A981E73" w14:textId="77777777" w:rsidR="002010FC" w:rsidRPr="008B5425" w:rsidRDefault="00E57D20" w:rsidP="008B5425">
      <w:pPr>
        <w:rPr>
          <w:b/>
          <w:bCs/>
          <w:sz w:val="28"/>
          <w:szCs w:val="28"/>
        </w:rPr>
      </w:pPr>
      <w:r w:rsidRPr="008B5425">
        <w:rPr>
          <w:b/>
          <w:bCs/>
          <w:sz w:val="28"/>
          <w:szCs w:val="28"/>
        </w:rPr>
        <w:lastRenderedPageBreak/>
        <w:t>1. Introduction</w:t>
      </w:r>
    </w:p>
    <w:p w14:paraId="28D4DAA6" w14:textId="77777777" w:rsidR="002010FC" w:rsidRPr="008B5425" w:rsidRDefault="00E57D20" w:rsidP="008B5425">
      <w:pPr>
        <w:rPr>
          <w:sz w:val="22"/>
          <w:szCs w:val="22"/>
        </w:rPr>
      </w:pPr>
      <w:r w:rsidRPr="008B5425">
        <w:rPr>
          <w:sz w:val="22"/>
          <w:szCs w:val="22"/>
        </w:rPr>
        <w:t>1.1 Case Citation and Jurisdiction</w:t>
      </w:r>
    </w:p>
    <w:p w14:paraId="08D4E6FA" w14:textId="77777777" w:rsidR="002010FC" w:rsidRPr="008B5425" w:rsidRDefault="00E57D20" w:rsidP="008B5425">
      <w:pPr>
        <w:rPr>
          <w:sz w:val="22"/>
          <w:szCs w:val="22"/>
        </w:rPr>
      </w:pPr>
      <w:r w:rsidRPr="008B5425">
        <w:rPr>
          <w:sz w:val="22"/>
          <w:szCs w:val="22"/>
        </w:rPr>
        <w:t xml:space="preserve">Case name: Justice K.S. </w:t>
      </w:r>
      <w:proofErr w:type="spellStart"/>
      <w:r w:rsidRPr="008B5425">
        <w:rPr>
          <w:sz w:val="22"/>
          <w:szCs w:val="22"/>
        </w:rPr>
        <w:t>Puttaswamy</w:t>
      </w:r>
      <w:proofErr w:type="spellEnd"/>
      <w:r w:rsidRPr="008B5425">
        <w:rPr>
          <w:sz w:val="22"/>
          <w:szCs w:val="22"/>
        </w:rPr>
        <w:t xml:space="preserve"> (Retd.) &amp; </w:t>
      </w:r>
      <w:proofErr w:type="spellStart"/>
      <w:r w:rsidRPr="008B5425">
        <w:rPr>
          <w:sz w:val="22"/>
          <w:szCs w:val="22"/>
        </w:rPr>
        <w:t>Anr</w:t>
      </w:r>
      <w:proofErr w:type="spellEnd"/>
      <w:r w:rsidRPr="008B5425">
        <w:rPr>
          <w:sz w:val="22"/>
          <w:szCs w:val="22"/>
        </w:rPr>
        <w:t>. v. Union of India &amp; Ors. Citation: (2017) 10 SCC 1; AIR 2017 SC 4161. The matter was decided by a nine-judge Constitution Bench of the Supreme Court of India on 24 August 2017. Widely referred to as the 'Right to Privacy' or 'Aadhaar' judgment, this ruling stands as India's leading constitutional authority for the proposition that privacy is a fundamental right under the Constitution, and it continues to be the most influential Indian judicial pronouncement on data protection, pers</w:t>
      </w:r>
      <w:r w:rsidRPr="008B5425">
        <w:rPr>
          <w:sz w:val="22"/>
          <w:szCs w:val="22"/>
        </w:rPr>
        <w:t>onal autonomy, and informational privacy in the digital age.</w:t>
      </w:r>
    </w:p>
    <w:p w14:paraId="6AADC209" w14:textId="77777777" w:rsidR="002010FC" w:rsidRPr="008B5425" w:rsidRDefault="00E57D20" w:rsidP="008B5425">
      <w:pPr>
        <w:rPr>
          <w:sz w:val="22"/>
          <w:szCs w:val="22"/>
        </w:rPr>
      </w:pPr>
      <w:r w:rsidRPr="008B5425">
        <w:rPr>
          <w:sz w:val="22"/>
          <w:szCs w:val="22"/>
        </w:rPr>
        <w:t>1.2 Overview of the Case</w:t>
      </w:r>
    </w:p>
    <w:p w14:paraId="26F9BC79" w14:textId="77777777" w:rsidR="002010FC" w:rsidRPr="008B5425" w:rsidRDefault="00E57D20" w:rsidP="008B5425">
      <w:pPr>
        <w:rPr>
          <w:sz w:val="22"/>
          <w:szCs w:val="22"/>
        </w:rPr>
      </w:pPr>
      <w:r w:rsidRPr="008B5425">
        <w:rPr>
          <w:sz w:val="22"/>
          <w:szCs w:val="22"/>
        </w:rPr>
        <w:t>The dispute originated from a constitutional challenge filed by Justice K.S. Puttaswamy, a former judge of the Karnataka High Court, against the Aadhaar programme — a government initiative requiring residents to enrol for a unique identity number by submitting demographic and biometric details such as fingerprints and iris scans. The petitioner argued that compulsorily gathering such sensitive data, and deploying it across an ever-widening range of public and private services, violated the fundamental right</w:t>
      </w:r>
      <w:r w:rsidRPr="008B5425">
        <w:rPr>
          <w:sz w:val="22"/>
          <w:szCs w:val="22"/>
        </w:rPr>
        <w:t xml:space="preserve"> to privacy. Since earlier Supreme Court rulings had taken inconsistent positions on whether privacy qualified as a fundamental right at all, a special nine-judge Constitution Bench was assembled specifically to resolve this threshold constitutional question before the Aadhaar challenge itself could be examined on its merits.</w:t>
      </w:r>
    </w:p>
    <w:p w14:paraId="55C02255" w14:textId="77777777" w:rsidR="002010FC" w:rsidRPr="008B5425" w:rsidRDefault="00E57D20" w:rsidP="008B5425">
      <w:pPr>
        <w:rPr>
          <w:b/>
          <w:bCs/>
          <w:sz w:val="28"/>
          <w:szCs w:val="28"/>
        </w:rPr>
      </w:pPr>
      <w:r w:rsidRPr="008B5425">
        <w:rPr>
          <w:b/>
          <w:bCs/>
          <w:sz w:val="28"/>
          <w:szCs w:val="28"/>
        </w:rPr>
        <w:t>2. Facts of the Case</w:t>
      </w:r>
    </w:p>
    <w:p w14:paraId="46F1EF72" w14:textId="77777777" w:rsidR="002010FC" w:rsidRPr="008B5425" w:rsidRDefault="00E57D20" w:rsidP="008B5425">
      <w:pPr>
        <w:rPr>
          <w:sz w:val="22"/>
          <w:szCs w:val="22"/>
        </w:rPr>
      </w:pPr>
      <w:r w:rsidRPr="008B5425">
        <w:rPr>
          <w:sz w:val="22"/>
          <w:szCs w:val="22"/>
        </w:rPr>
        <w:t>2.1 Chronological Summary of Events</w:t>
      </w:r>
    </w:p>
    <w:p w14:paraId="4A7BB6B7" w14:textId="77777777" w:rsidR="002010FC" w:rsidRPr="008B5425" w:rsidRDefault="00E57D20" w:rsidP="008B5425">
      <w:pPr>
        <w:rPr>
          <w:sz w:val="22"/>
          <w:szCs w:val="22"/>
        </w:rPr>
      </w:pPr>
      <w:r w:rsidRPr="008B5425">
        <w:rPr>
          <w:sz w:val="22"/>
          <w:szCs w:val="22"/>
        </w:rPr>
        <w:t>The Government of India launched the Aadhaar scheme, enrolling residents and issuing each a twelve-digit identification number tied to demographic information and biometric data such as fingerprints and iris scans, all stored in a central database.</w:t>
      </w:r>
    </w:p>
    <w:p w14:paraId="071D5D35" w14:textId="77777777" w:rsidR="002010FC" w:rsidRPr="008B5425" w:rsidRDefault="00E57D20" w:rsidP="008B5425">
      <w:pPr>
        <w:rPr>
          <w:sz w:val="22"/>
          <w:szCs w:val="22"/>
        </w:rPr>
      </w:pPr>
      <w:r w:rsidRPr="008B5425">
        <w:rPr>
          <w:sz w:val="22"/>
          <w:szCs w:val="22"/>
        </w:rPr>
        <w:t>Over time, Aadhaar enrolment and linkage became mandatory, or a practical necessity, to access a growing list of services — welfare subsidies, banking facilities, mobile connections, and more.</w:t>
      </w:r>
    </w:p>
    <w:p w14:paraId="0C8D5BC0" w14:textId="77777777" w:rsidR="002010FC" w:rsidRPr="008B5425" w:rsidRDefault="00E57D20" w:rsidP="008B5425">
      <w:pPr>
        <w:rPr>
          <w:sz w:val="22"/>
          <w:szCs w:val="22"/>
        </w:rPr>
      </w:pPr>
      <w:r w:rsidRPr="008B5425">
        <w:rPr>
          <w:sz w:val="22"/>
          <w:szCs w:val="22"/>
        </w:rPr>
        <w:t xml:space="preserve">Justice K.S. </w:t>
      </w:r>
      <w:proofErr w:type="spellStart"/>
      <w:r w:rsidRPr="008B5425">
        <w:rPr>
          <w:sz w:val="22"/>
          <w:szCs w:val="22"/>
        </w:rPr>
        <w:t>Puttaswamy</w:t>
      </w:r>
      <w:proofErr w:type="spellEnd"/>
      <w:r w:rsidRPr="008B5425">
        <w:rPr>
          <w:sz w:val="22"/>
          <w:szCs w:val="22"/>
        </w:rPr>
        <w:t xml:space="preserve"> (Retd.), joined by other petitioners, moved the Supreme Court challenging the constitutional validity of Aadhaar, chiefly on the basis that compulsory collection and use of biometric and demographic data breached the fundamental right to privacy.</w:t>
      </w:r>
    </w:p>
    <w:p w14:paraId="26058FA5" w14:textId="77777777" w:rsidR="002010FC" w:rsidRPr="008B5425" w:rsidRDefault="00E57D20" w:rsidP="008B5425">
      <w:pPr>
        <w:rPr>
          <w:sz w:val="22"/>
          <w:szCs w:val="22"/>
        </w:rPr>
      </w:pPr>
      <w:r w:rsidRPr="008B5425">
        <w:rPr>
          <w:sz w:val="22"/>
          <w:szCs w:val="22"/>
        </w:rPr>
        <w:t xml:space="preserve">During the hearings, the Union of India contended, relying on the earlier eight-judge ruling in M.P. Sharma v. Satish Chandra and the six-judge ruling in </w:t>
      </w:r>
      <w:proofErr w:type="spellStart"/>
      <w:r w:rsidRPr="008B5425">
        <w:rPr>
          <w:sz w:val="22"/>
          <w:szCs w:val="22"/>
        </w:rPr>
        <w:t>Kharak</w:t>
      </w:r>
      <w:proofErr w:type="spellEnd"/>
      <w:r w:rsidRPr="008B5425">
        <w:rPr>
          <w:sz w:val="22"/>
          <w:szCs w:val="22"/>
        </w:rPr>
        <w:t xml:space="preserve"> Singh v. State of Uttar Pradesh, that the Constitution did not explicitly recognise a fundamental right to privacy.</w:t>
      </w:r>
    </w:p>
    <w:p w14:paraId="3E647DF0" w14:textId="77777777" w:rsidR="002010FC" w:rsidRPr="008B5425" w:rsidRDefault="00E57D20" w:rsidP="008B5425">
      <w:pPr>
        <w:rPr>
          <w:sz w:val="22"/>
          <w:szCs w:val="22"/>
        </w:rPr>
      </w:pPr>
      <w:r w:rsidRPr="008B5425">
        <w:rPr>
          <w:sz w:val="22"/>
          <w:szCs w:val="22"/>
        </w:rPr>
        <w:t>As these two larger-bench precedents had created uncertainty over privacy's status as a fundamental right, a three-judge bench referred the question to a larger Constitution Bench for a conclusive ruling.</w:t>
      </w:r>
    </w:p>
    <w:p w14:paraId="30404797" w14:textId="77777777" w:rsidR="002010FC" w:rsidRPr="008B5425" w:rsidRDefault="00E57D20" w:rsidP="008B5425">
      <w:pPr>
        <w:rPr>
          <w:sz w:val="22"/>
          <w:szCs w:val="22"/>
        </w:rPr>
      </w:pPr>
      <w:r w:rsidRPr="008B5425">
        <w:rPr>
          <w:sz w:val="22"/>
          <w:szCs w:val="22"/>
        </w:rPr>
        <w:t>Given the stakes involved, and the need to potentially revisit the earlier larger-bench decisions, a nine-judge Constitution Bench was formed to decide this preliminary constitutional issue.</w:t>
      </w:r>
    </w:p>
    <w:p w14:paraId="2D0738CF" w14:textId="77777777" w:rsidR="002010FC" w:rsidRPr="008B5425" w:rsidRDefault="00E57D20" w:rsidP="008B5425">
      <w:pPr>
        <w:rPr>
          <w:sz w:val="22"/>
          <w:szCs w:val="22"/>
        </w:rPr>
      </w:pPr>
      <w:r w:rsidRPr="008B5425">
        <w:rPr>
          <w:sz w:val="22"/>
          <w:szCs w:val="22"/>
        </w:rPr>
        <w:t>The nine-judge Bench considered detailed submissions from the petitioners, the Union of India, and various intervenors regarding the scope, source, and constitutional standing of the right to privacy.</w:t>
      </w:r>
    </w:p>
    <w:p w14:paraId="091B2595" w14:textId="77777777" w:rsidR="002010FC" w:rsidRPr="008B5425" w:rsidRDefault="00E57D20" w:rsidP="008B5425">
      <w:pPr>
        <w:rPr>
          <w:sz w:val="22"/>
          <w:szCs w:val="22"/>
        </w:rPr>
      </w:pPr>
      <w:r w:rsidRPr="008B5425">
        <w:rPr>
          <w:sz w:val="22"/>
          <w:szCs w:val="22"/>
        </w:rPr>
        <w:t>On 24 August 2017, the Bench unanimously ruled that privacy is a fundamental right under the Constitution of India, while referring the specific validity of Aadhaar's individual provisions to a smaller bench to be decided in light of this newly clarified constitutional position.</w:t>
      </w:r>
    </w:p>
    <w:p w14:paraId="717D8A6F" w14:textId="77777777" w:rsidR="002010FC" w:rsidRPr="008B5425" w:rsidRDefault="00E57D20" w:rsidP="008B5425">
      <w:pPr>
        <w:rPr>
          <w:sz w:val="22"/>
          <w:szCs w:val="22"/>
        </w:rPr>
      </w:pPr>
      <w:r w:rsidRPr="008B5425">
        <w:rPr>
          <w:sz w:val="22"/>
          <w:szCs w:val="22"/>
        </w:rPr>
        <w:t>2.2 Underlying Commercial Context</w:t>
      </w:r>
    </w:p>
    <w:p w14:paraId="7834C533" w14:textId="77777777" w:rsidR="002010FC" w:rsidRPr="008B5425" w:rsidRDefault="00E57D20" w:rsidP="008B5425">
      <w:pPr>
        <w:rPr>
          <w:sz w:val="22"/>
          <w:szCs w:val="22"/>
        </w:rPr>
      </w:pPr>
      <w:r w:rsidRPr="008B5425">
        <w:rPr>
          <w:sz w:val="22"/>
          <w:szCs w:val="22"/>
        </w:rPr>
        <w:t>Although this is fundamentally a constitutional rights case rather than a private commercial dispute, it grew out of, and carries significant consequences for, how personal and biometric data is collected, stored, and used across government service delivery and the wider digital economy — including banking, telecommunications, and financial technology. Aadhaar-based verification had become central to Know Your Customer (KYC) processes for opening bank accounts, issuing mobile SIM cards, and channelling gove</w:t>
      </w:r>
      <w:r w:rsidRPr="008B5425">
        <w:rPr>
          <w:sz w:val="22"/>
          <w:szCs w:val="22"/>
        </w:rPr>
        <w:t xml:space="preserve">rnment subsidies directly into beneficiaries' accounts, meaning the case had a direct bearing on the data-handling practices of banks, telecom operators, and fintech providers relying on Aadhaar authentication. By recognising informational privacy as a fundamental right, the judgment carries lasting </w:t>
      </w:r>
      <w:r w:rsidRPr="008B5425">
        <w:rPr>
          <w:sz w:val="22"/>
          <w:szCs w:val="22"/>
        </w:rPr>
        <w:lastRenderedPageBreak/>
        <w:t>significance for any organisation, particularly in FinTech, that gathers, processes, or retains sensitive personal or biometric data for identity checks, credit evaluation, or digital financial services.</w:t>
      </w:r>
    </w:p>
    <w:p w14:paraId="1B7E1F8E" w14:textId="77777777" w:rsidR="002010FC" w:rsidRPr="008B5425" w:rsidRDefault="00E57D20" w:rsidP="008B5425">
      <w:pPr>
        <w:rPr>
          <w:b/>
          <w:bCs/>
          <w:sz w:val="28"/>
          <w:szCs w:val="28"/>
        </w:rPr>
      </w:pPr>
      <w:r w:rsidRPr="008B5425">
        <w:rPr>
          <w:b/>
          <w:bCs/>
          <w:sz w:val="28"/>
          <w:szCs w:val="28"/>
        </w:rPr>
        <w:t>3. Legal Issue</w:t>
      </w:r>
    </w:p>
    <w:p w14:paraId="508D3EF6" w14:textId="77777777" w:rsidR="002010FC" w:rsidRPr="008B5425" w:rsidRDefault="00E57D20" w:rsidP="008B5425">
      <w:pPr>
        <w:rPr>
          <w:sz w:val="22"/>
          <w:szCs w:val="22"/>
        </w:rPr>
      </w:pPr>
      <w:r w:rsidRPr="008B5425">
        <w:rPr>
          <w:sz w:val="22"/>
          <w:szCs w:val="22"/>
        </w:rPr>
        <w:t>3.1 Central Question of Law</w:t>
      </w:r>
    </w:p>
    <w:p w14:paraId="55B53BEE" w14:textId="77777777" w:rsidR="002010FC" w:rsidRPr="008B5425" w:rsidRDefault="00E57D20" w:rsidP="008B5425">
      <w:pPr>
        <w:rPr>
          <w:sz w:val="22"/>
          <w:szCs w:val="22"/>
        </w:rPr>
      </w:pPr>
      <w:r w:rsidRPr="008B5425">
        <w:rPr>
          <w:sz w:val="22"/>
          <w:szCs w:val="22"/>
        </w:rPr>
        <w:t xml:space="preserve">The core question before the nine-judge Bench was whether the right to privacy forms part of the fundamental rights guaranteed under Part III of the Constitution, even though it is not spelt out as a distinct right in the constitutional text, and whether the earlier rulings in M.P. Sharma v. Satish Chandra and </w:t>
      </w:r>
      <w:proofErr w:type="spellStart"/>
      <w:r w:rsidRPr="008B5425">
        <w:rPr>
          <w:sz w:val="22"/>
          <w:szCs w:val="22"/>
        </w:rPr>
        <w:t>Kharak</w:t>
      </w:r>
      <w:proofErr w:type="spellEnd"/>
      <w:r w:rsidRPr="008B5425">
        <w:rPr>
          <w:sz w:val="22"/>
          <w:szCs w:val="22"/>
        </w:rPr>
        <w:t xml:space="preserve"> Singh v. State of Uttar Pradesh — which had doubted the existence of such a right — reflected the correct constitutional position or needed to be revisited.</w:t>
      </w:r>
    </w:p>
    <w:p w14:paraId="24C90E20" w14:textId="77777777" w:rsidR="002010FC" w:rsidRPr="008B5425" w:rsidRDefault="00E57D20" w:rsidP="008B5425">
      <w:pPr>
        <w:rPr>
          <w:sz w:val="22"/>
          <w:szCs w:val="22"/>
        </w:rPr>
      </w:pPr>
      <w:r w:rsidRPr="008B5425">
        <w:rPr>
          <w:sz w:val="22"/>
          <w:szCs w:val="22"/>
        </w:rPr>
        <w:t>3.2 Contentions of the Parties</w:t>
      </w:r>
    </w:p>
    <w:p w14:paraId="502FB458" w14:textId="77777777" w:rsidR="002010FC" w:rsidRPr="008B5425" w:rsidRDefault="00E57D20" w:rsidP="008B5425">
      <w:pPr>
        <w:rPr>
          <w:sz w:val="22"/>
          <w:szCs w:val="22"/>
        </w:rPr>
      </w:pPr>
      <w:r w:rsidRPr="008B5425">
        <w:rPr>
          <w:sz w:val="22"/>
          <w:szCs w:val="22"/>
        </w:rPr>
        <w:t>Petitioners' argument: The petitioners maintained that privacy is inherent in, and flows directly from, the guarantees under Article 21 (protection of life and personal liberty) as well as the freedoms under Article 19, and is indispensable to the meaningful exercise of dignity, autonomy, and liberty. They argued that mandatory collection of sensitive biometric data under Aadhaar, absent adequate safeguards, threatened this constitutionally protected zone of personal privacy and autonomy.</w:t>
      </w:r>
    </w:p>
    <w:p w14:paraId="51268230" w14:textId="77777777" w:rsidR="002010FC" w:rsidRPr="008B5425" w:rsidRDefault="00E57D20" w:rsidP="008B5425">
      <w:pPr>
        <w:rPr>
          <w:sz w:val="22"/>
          <w:szCs w:val="22"/>
        </w:rPr>
      </w:pPr>
      <w:r w:rsidRPr="008B5425">
        <w:rPr>
          <w:sz w:val="22"/>
          <w:szCs w:val="22"/>
        </w:rPr>
        <w:t xml:space="preserve">Union of India's argument: The government contended that privacy was, at most, a common-law right rather than a distinct fundamental right, drawing support from the earlier observations in M.P. Sharma and </w:t>
      </w:r>
      <w:proofErr w:type="spellStart"/>
      <w:r w:rsidRPr="008B5425">
        <w:rPr>
          <w:sz w:val="22"/>
          <w:szCs w:val="22"/>
        </w:rPr>
        <w:t>Kharak</w:t>
      </w:r>
      <w:proofErr w:type="spellEnd"/>
      <w:r w:rsidRPr="008B5425">
        <w:rPr>
          <w:sz w:val="22"/>
          <w:szCs w:val="22"/>
        </w:rPr>
        <w:t xml:space="preserve"> Singh. It argued that even where certain aspects of privacy received incidental constitutional protection, no free-standing fundamental right to privacy existed that could restrict the state's ability to design welfare and identification schemes such as Aadhaar aimed at ensuring efficient, targeted benefit delivery while curbing leakages and duplication in the welfare system.</w:t>
      </w:r>
    </w:p>
    <w:p w14:paraId="4D5D4CB2" w14:textId="77777777" w:rsidR="002010FC" w:rsidRPr="008B5425" w:rsidRDefault="00E57D20" w:rsidP="008B5425">
      <w:pPr>
        <w:rPr>
          <w:b/>
          <w:bCs/>
          <w:sz w:val="28"/>
          <w:szCs w:val="28"/>
        </w:rPr>
      </w:pPr>
      <w:r w:rsidRPr="008B5425">
        <w:rPr>
          <w:b/>
          <w:bCs/>
          <w:sz w:val="28"/>
          <w:szCs w:val="28"/>
        </w:rPr>
        <w:t>4. Judgment</w:t>
      </w:r>
    </w:p>
    <w:p w14:paraId="0F5419AA" w14:textId="77777777" w:rsidR="002010FC" w:rsidRPr="008B5425" w:rsidRDefault="00E57D20" w:rsidP="008B5425">
      <w:pPr>
        <w:rPr>
          <w:sz w:val="22"/>
          <w:szCs w:val="22"/>
        </w:rPr>
      </w:pPr>
      <w:r w:rsidRPr="008B5425">
        <w:rPr>
          <w:sz w:val="22"/>
          <w:szCs w:val="22"/>
        </w:rPr>
        <w:t>4.1 Decision of the Court</w:t>
      </w:r>
    </w:p>
    <w:p w14:paraId="28694FCC" w14:textId="77777777" w:rsidR="002010FC" w:rsidRPr="008B5425" w:rsidRDefault="00E57D20" w:rsidP="008B5425">
      <w:pPr>
        <w:rPr>
          <w:sz w:val="22"/>
          <w:szCs w:val="22"/>
        </w:rPr>
      </w:pPr>
      <w:r w:rsidRPr="008B5425">
        <w:rPr>
          <w:sz w:val="22"/>
          <w:szCs w:val="22"/>
        </w:rPr>
        <w:t xml:space="preserve">The nine-judge Constitution Bench unanimously ruled that the right to privacy is a fundamental right, forming an intrinsic part of the right to life and personal liberty under Article 21 and of the freedoms guaranteed under Part III of the Constitution. It overruled M.P. Sharma v. Satish Chandra and </w:t>
      </w:r>
      <w:proofErr w:type="spellStart"/>
      <w:r w:rsidRPr="008B5425">
        <w:rPr>
          <w:sz w:val="22"/>
          <w:szCs w:val="22"/>
        </w:rPr>
        <w:t>Kharak</w:t>
      </w:r>
      <w:proofErr w:type="spellEnd"/>
      <w:r w:rsidRPr="008B5425">
        <w:rPr>
          <w:sz w:val="22"/>
          <w:szCs w:val="22"/>
        </w:rPr>
        <w:t xml:space="preserve"> Singh v. State of Uttar Pradesh to the extent those decisions had suggested privacy lacked constitutional protection. The Bench left the specific question of Aadhaar's validity to be decided separately by a smaller bench, applying the newly affirmed privacy standard.</w:t>
      </w:r>
    </w:p>
    <w:p w14:paraId="6B27120F" w14:textId="77777777" w:rsidR="002010FC" w:rsidRPr="008B5425" w:rsidRDefault="00E57D20" w:rsidP="008B5425">
      <w:pPr>
        <w:rPr>
          <w:sz w:val="22"/>
          <w:szCs w:val="22"/>
        </w:rPr>
      </w:pPr>
      <w:r w:rsidRPr="008B5425">
        <w:rPr>
          <w:sz w:val="22"/>
          <w:szCs w:val="22"/>
        </w:rPr>
        <w:t>4.2 Ratio Decidendi (Reasoning of the Court)</w:t>
      </w:r>
    </w:p>
    <w:p w14:paraId="54ECB831" w14:textId="77777777" w:rsidR="002010FC" w:rsidRPr="008B5425" w:rsidRDefault="00E57D20" w:rsidP="008B5425">
      <w:pPr>
        <w:rPr>
          <w:sz w:val="22"/>
          <w:szCs w:val="22"/>
        </w:rPr>
      </w:pPr>
      <w:r w:rsidRPr="008B5425">
        <w:rPr>
          <w:sz w:val="22"/>
          <w:szCs w:val="22"/>
        </w:rPr>
        <w:t>The Court held that privacy is far more than a common-law notion of confidentiality or secrecy; it is a constitutionally protected dimension of human dignity, personal autonomy, and liberty — values central to Article 21 and woven through the other freedoms guaranteed under Part III. The various opinions delivered by the Bench stressed that privacy has multiple dimensions, including bodily integrity, control over one's own information, autonomy over intimate personal choices, and protection from unwarranted</w:t>
      </w:r>
      <w:r w:rsidRPr="008B5425">
        <w:rPr>
          <w:sz w:val="22"/>
          <w:szCs w:val="22"/>
        </w:rPr>
        <w:t xml:space="preserve"> interference by the state or private actors, all of which are essential to living with dignity in a free and democratic society.</w:t>
      </w:r>
    </w:p>
    <w:p w14:paraId="18631BA0" w14:textId="77777777" w:rsidR="002010FC" w:rsidRPr="008B5425" w:rsidRDefault="00E57D20" w:rsidP="008B5425">
      <w:pPr>
        <w:rPr>
          <w:sz w:val="22"/>
          <w:szCs w:val="22"/>
        </w:rPr>
      </w:pPr>
      <w:r w:rsidRPr="008B5425">
        <w:rPr>
          <w:sz w:val="22"/>
          <w:szCs w:val="22"/>
        </w:rPr>
        <w:t>The Court also clarified that the right to privacy, while fundamental, is not absolute. Like other fundamental rights, it can be reasonably restricted by the state provided any restriction meets a three-part test: legality (backed by a valid law), legitimate purpose (pursuing a genuine state interest such as national security or welfare delivery), and proportionality (the restriction must not exceed what is necessary to achieve that purpose). This proportionality standard was established as the benchmark ag</w:t>
      </w:r>
      <w:r w:rsidRPr="008B5425">
        <w:rPr>
          <w:sz w:val="22"/>
          <w:szCs w:val="22"/>
        </w:rPr>
        <w:t>ainst which any future law or state action affecting privacy — including individual provisions of the Aadhaar scheme — would have to be measured.</w:t>
      </w:r>
    </w:p>
    <w:p w14:paraId="2D278B37" w14:textId="77777777" w:rsidR="002010FC" w:rsidRPr="008B5425" w:rsidRDefault="00E57D20" w:rsidP="008B5425">
      <w:pPr>
        <w:rPr>
          <w:b/>
          <w:bCs/>
          <w:sz w:val="28"/>
          <w:szCs w:val="28"/>
        </w:rPr>
      </w:pPr>
      <w:r w:rsidRPr="008B5425">
        <w:rPr>
          <w:b/>
          <w:bCs/>
          <w:sz w:val="28"/>
          <w:szCs w:val="28"/>
        </w:rPr>
        <w:t>5. Legal Principle: Contract Formation Analysis</w:t>
      </w:r>
    </w:p>
    <w:p w14:paraId="61147866" w14:textId="77777777" w:rsidR="002010FC" w:rsidRPr="008B5425" w:rsidRDefault="00E57D20" w:rsidP="008B5425">
      <w:pPr>
        <w:rPr>
          <w:sz w:val="22"/>
          <w:szCs w:val="22"/>
        </w:rPr>
      </w:pPr>
      <w:r w:rsidRPr="008B5425">
        <w:rPr>
          <w:sz w:val="22"/>
          <w:szCs w:val="22"/>
        </w:rPr>
        <w:t xml:space="preserve">Although </w:t>
      </w:r>
      <w:proofErr w:type="spellStart"/>
      <w:r w:rsidRPr="008B5425">
        <w:rPr>
          <w:sz w:val="22"/>
          <w:szCs w:val="22"/>
        </w:rPr>
        <w:t>Puttaswamy</w:t>
      </w:r>
      <w:proofErr w:type="spellEnd"/>
      <w:r w:rsidRPr="008B5425">
        <w:rPr>
          <w:sz w:val="22"/>
          <w:szCs w:val="22"/>
        </w:rPr>
        <w:t xml:space="preserve"> is a constitutional rights case and not a private contractual dispute, its central findings on informational privacy and consent can usefully be viewed through the lens of offer, acceptance, and consideration, since the ruling effectively sets the terms on which an individual can be said to have genuinely 'consented' to the collection and use of personal data by both government and private actors.</w:t>
      </w:r>
    </w:p>
    <w:p w14:paraId="695BBC77" w14:textId="77777777" w:rsidR="002010FC" w:rsidRPr="008B5425" w:rsidRDefault="00E57D20" w:rsidP="008B5425">
      <w:pPr>
        <w:rPr>
          <w:sz w:val="22"/>
          <w:szCs w:val="22"/>
        </w:rPr>
      </w:pPr>
      <w:r w:rsidRPr="008B5425">
        <w:rPr>
          <w:sz w:val="22"/>
          <w:szCs w:val="22"/>
        </w:rPr>
        <w:lastRenderedPageBreak/>
        <w:t>5.1 Assessing a Valid Offer (Analogous to Consent for Data Collection)</w:t>
      </w:r>
    </w:p>
    <w:p w14:paraId="7F5A1225" w14:textId="77777777" w:rsidR="002010FC" w:rsidRPr="008B5425" w:rsidRDefault="00E57D20" w:rsidP="008B5425">
      <w:pPr>
        <w:rPr>
          <w:sz w:val="22"/>
          <w:szCs w:val="22"/>
        </w:rPr>
      </w:pPr>
      <w:r w:rsidRPr="008B5425">
        <w:rPr>
          <w:sz w:val="22"/>
          <w:szCs w:val="22"/>
        </w:rPr>
        <w:t xml:space="preserve">Just as a valid offer in contract law must be clear, specific, and open to informed acceptance, the </w:t>
      </w:r>
      <w:proofErr w:type="spellStart"/>
      <w:r w:rsidRPr="008B5425">
        <w:rPr>
          <w:sz w:val="22"/>
          <w:szCs w:val="22"/>
        </w:rPr>
        <w:t>Puttaswamy</w:t>
      </w:r>
      <w:proofErr w:type="spellEnd"/>
      <w:r w:rsidRPr="008B5425">
        <w:rPr>
          <w:sz w:val="22"/>
          <w:szCs w:val="22"/>
        </w:rPr>
        <w:t xml:space="preserve"> ruling implies that any request by the state or a private party to collect personal or biometric data must likewise be clear, specific, and tied to a disclosed, legitimate purpose rather than an open-ended or coercive demand. When enrolment in a scheme like Aadhaar becomes a practical precondition for accessing essential services, the individual's 'acceptance' risks losing its voluntary character, much as a contract signed under pressure or without real choice fails to reflect genuine offer-accep</w:t>
      </w:r>
      <w:r w:rsidRPr="008B5425">
        <w:rPr>
          <w:sz w:val="22"/>
          <w:szCs w:val="22"/>
        </w:rPr>
        <w:t>tance. The proportionality framework laid down in the judgment requires that this initial 'offer' to collect data be narrowly tailored and legally justified, rather than an unrestricted invitation to hand over broad categories of sensitive information.</w:t>
      </w:r>
    </w:p>
    <w:p w14:paraId="3D770B61" w14:textId="77777777" w:rsidR="002010FC" w:rsidRPr="008B5425" w:rsidRDefault="00E57D20" w:rsidP="008B5425">
      <w:pPr>
        <w:rPr>
          <w:sz w:val="22"/>
          <w:szCs w:val="22"/>
        </w:rPr>
      </w:pPr>
      <w:r w:rsidRPr="008B5425">
        <w:rPr>
          <w:sz w:val="22"/>
          <w:szCs w:val="22"/>
        </w:rPr>
        <w:t>5.2 Mechanics of Acceptance (Analogous to Informed Consent)</w:t>
      </w:r>
    </w:p>
    <w:p w14:paraId="1AFC5E7C" w14:textId="77777777" w:rsidR="002010FC" w:rsidRPr="008B5425" w:rsidRDefault="00E57D20" w:rsidP="008B5425">
      <w:pPr>
        <w:rPr>
          <w:sz w:val="22"/>
          <w:szCs w:val="22"/>
        </w:rPr>
      </w:pPr>
      <w:r w:rsidRPr="008B5425">
        <w:rPr>
          <w:sz w:val="22"/>
          <w:szCs w:val="22"/>
        </w:rPr>
        <w:t xml:space="preserve">The judgment's focus on informational self-determination mirrors the contractual requirement that acceptance be a genuine, informed, and voluntary act rather than a mere formality. Where a person is compelled — whether by law or practical necessity — to provide biometric or personal data to access basic services, that 'acceptance' cannot be treated as freely and knowingly given, in the sense the law expects of valid contractual acceptance. This is precisely why the Court required any restriction on privacy </w:t>
      </w:r>
      <w:r w:rsidRPr="008B5425">
        <w:rPr>
          <w:sz w:val="22"/>
          <w:szCs w:val="22"/>
        </w:rPr>
        <w:t>to satisfy legality, legitimate purpose, and proportionality — to ensure that apparent consent to data collection is not a coerced or uninformed formality but reflects a genuine and constitutionally sound arrangement between the individual and the state or service provider.</w:t>
      </w:r>
    </w:p>
    <w:p w14:paraId="5EC17125" w14:textId="77777777" w:rsidR="002010FC" w:rsidRPr="008B5425" w:rsidRDefault="00E57D20" w:rsidP="008B5425">
      <w:pPr>
        <w:rPr>
          <w:sz w:val="22"/>
          <w:szCs w:val="22"/>
        </w:rPr>
      </w:pPr>
      <w:r w:rsidRPr="008B5425">
        <w:rPr>
          <w:sz w:val="22"/>
          <w:szCs w:val="22"/>
        </w:rPr>
        <w:t>5.3 Supporting Elements of Formation</w:t>
      </w:r>
    </w:p>
    <w:p w14:paraId="3E1E77D3" w14:textId="77777777" w:rsidR="002010FC" w:rsidRPr="008B5425" w:rsidRDefault="00E57D20" w:rsidP="008B5425">
      <w:pPr>
        <w:rPr>
          <w:sz w:val="22"/>
          <w:szCs w:val="22"/>
        </w:rPr>
      </w:pPr>
      <w:r w:rsidRPr="008B5425">
        <w:rPr>
          <w:sz w:val="22"/>
          <w:szCs w:val="22"/>
        </w:rPr>
        <w:t xml:space="preserve">In place of consideration and intention to create legal relations, the </w:t>
      </w:r>
      <w:proofErr w:type="spellStart"/>
      <w:r w:rsidRPr="008B5425">
        <w:rPr>
          <w:sz w:val="22"/>
          <w:szCs w:val="22"/>
        </w:rPr>
        <w:t>Puttaswamy</w:t>
      </w:r>
      <w:proofErr w:type="spellEnd"/>
      <w:r w:rsidRPr="008B5425">
        <w:rPr>
          <w:sz w:val="22"/>
          <w:szCs w:val="22"/>
        </w:rPr>
        <w:t xml:space="preserve"> framework substitutes the supporting constitutional requirements of legality, legitimate state purpose, and proportionality, each of which must be met before any restriction on an individual's privacy — comparable to extracting a concession from a contracting party — can be considered validly imposed. Just as a contract without genuine consideration or contractual intent cannot be enforced, a data-collection measure or privacy restriction lacking a valid legal basis, a legitimate purpose, or prop</w:t>
      </w:r>
      <w:r w:rsidRPr="008B5425">
        <w:rPr>
          <w:sz w:val="22"/>
          <w:szCs w:val="22"/>
        </w:rPr>
        <w:t>ortionality to its stated goal fails the threshold set by the Court, rendering any resulting 'agreement' to give up personal data constitutionally unsound.</w:t>
      </w:r>
    </w:p>
    <w:p w14:paraId="31E7BC42" w14:textId="77777777" w:rsidR="002010FC" w:rsidRPr="008B5425" w:rsidRDefault="00E57D20" w:rsidP="008B5425">
      <w:pPr>
        <w:rPr>
          <w:b/>
          <w:bCs/>
          <w:sz w:val="28"/>
          <w:szCs w:val="28"/>
        </w:rPr>
      </w:pPr>
      <w:r w:rsidRPr="008B5425">
        <w:rPr>
          <w:b/>
          <w:bCs/>
          <w:sz w:val="28"/>
          <w:szCs w:val="28"/>
        </w:rPr>
        <w:t>6. Business Relevance</w:t>
      </w:r>
    </w:p>
    <w:p w14:paraId="222E0B51" w14:textId="77777777" w:rsidR="002010FC" w:rsidRPr="008B5425" w:rsidRDefault="00E57D20" w:rsidP="008B5425">
      <w:pPr>
        <w:rPr>
          <w:sz w:val="22"/>
          <w:szCs w:val="22"/>
        </w:rPr>
      </w:pPr>
      <w:r w:rsidRPr="008B5425">
        <w:rPr>
          <w:sz w:val="22"/>
          <w:szCs w:val="22"/>
        </w:rPr>
        <w:t>6.1 Application in Modern Business</w:t>
      </w:r>
    </w:p>
    <w:p w14:paraId="5B74E602" w14:textId="77777777" w:rsidR="002010FC" w:rsidRPr="008B5425" w:rsidRDefault="00E57D20" w:rsidP="008B5425">
      <w:pPr>
        <w:rPr>
          <w:sz w:val="22"/>
          <w:szCs w:val="22"/>
        </w:rPr>
      </w:pPr>
      <w:r w:rsidRPr="008B5425">
        <w:rPr>
          <w:sz w:val="22"/>
          <w:szCs w:val="22"/>
        </w:rPr>
        <w:t xml:space="preserve">The </w:t>
      </w:r>
      <w:proofErr w:type="spellStart"/>
      <w:r w:rsidRPr="008B5425">
        <w:rPr>
          <w:sz w:val="22"/>
          <w:szCs w:val="22"/>
        </w:rPr>
        <w:t>Puttaswamy</w:t>
      </w:r>
      <w:proofErr w:type="spellEnd"/>
      <w:r w:rsidRPr="008B5425">
        <w:rPr>
          <w:sz w:val="22"/>
          <w:szCs w:val="22"/>
        </w:rPr>
        <w:t xml:space="preserve"> judgment has reshaped data protection standards across India's technology, financial services, and FinTech industries. By elevating privacy to a fundamental right, the ruling laid the constitutional groundwork for later Indian data protection legislation, including the Digital Personal Data Protection Act, and has influenced how businesses design KYC processes, biometric authentication systems, credit-scoring algorithms, and digital payment platforms. FinTech firms, digital lenders, and AI-driven</w:t>
      </w:r>
      <w:r w:rsidRPr="008B5425">
        <w:rPr>
          <w:sz w:val="22"/>
          <w:szCs w:val="22"/>
        </w:rPr>
        <w:t xml:space="preserve"> credit assessment platforms handling sensitive customer data now operate under a constitutional and regulatory expectation that any collection, storage, or use of personal data must rest on a clear legal basis, serve a legitimate and disclosed purpose, and remain proportionate to that purpose — rather than gathering broad categories of personal data indiscriminately or for undisclosed secondary uses such as unrelated marketing or profiling.</w:t>
      </w:r>
    </w:p>
    <w:p w14:paraId="2EA8D4C9" w14:textId="77777777" w:rsidR="002010FC" w:rsidRPr="008B5425" w:rsidRDefault="00E57D20" w:rsidP="008B5425">
      <w:pPr>
        <w:rPr>
          <w:sz w:val="22"/>
          <w:szCs w:val="22"/>
        </w:rPr>
      </w:pPr>
      <w:r w:rsidRPr="008B5425">
        <w:rPr>
          <w:sz w:val="22"/>
          <w:szCs w:val="22"/>
        </w:rPr>
        <w:t>6.2 Risk Management and Operational Compliance</w:t>
      </w:r>
    </w:p>
    <w:p w14:paraId="1DF7F8BD" w14:textId="77777777" w:rsidR="002010FC" w:rsidRPr="008B5425" w:rsidRDefault="00E57D20" w:rsidP="008B5425">
      <w:pPr>
        <w:rPr>
          <w:sz w:val="22"/>
          <w:szCs w:val="22"/>
        </w:rPr>
      </w:pPr>
      <w:r w:rsidRPr="008B5425">
        <w:rPr>
          <w:sz w:val="22"/>
          <w:szCs w:val="22"/>
        </w:rPr>
        <w:t>For FinTech and other technology-driven businesses looking to apply the lessons of Puttaswamy, several compliance takeaways stand out. First, organisations should establish a clear, specific, and purpose-limited legal basis for every category of personal or biometric data collected, avoiding vague, generic consent clauses that fail to disclose the actual purpose and scope of data use — consistent with the legality and legitimate-purpose limbs of the Court's proportionality test. Second, businesses should en</w:t>
      </w:r>
      <w:r w:rsidRPr="008B5425">
        <w:rPr>
          <w:sz w:val="22"/>
          <w:szCs w:val="22"/>
        </w:rPr>
        <w:t>sure data collection and processing remain proportionate to their stated purpose, for instance, by using less intrusive verification methods (such as a one-time password or standard document-based KYC) instead of biometric data where sufficient, and by adopting data minimisation and retention limitation policies. Third, compliance and product teams should build strong data security, access control, and breach-</w:t>
      </w:r>
      <w:r w:rsidRPr="008B5425">
        <w:rPr>
          <w:sz w:val="22"/>
          <w:szCs w:val="22"/>
        </w:rPr>
        <w:lastRenderedPageBreak/>
        <w:t>notification mechanisms to safeguard lawfully collected data, and should maintain clear internal re</w:t>
      </w:r>
      <w:r w:rsidRPr="008B5425">
        <w:rPr>
          <w:sz w:val="22"/>
          <w:szCs w:val="22"/>
        </w:rPr>
        <w:t>cords documenting the legal basis, purpose, and proportionality of each data-processing activity — both to withstand regulatory scrutiny and to defend against privacy-related litigation in a legal landscape now firmly anchored by a constitutional right to privacy.</w:t>
      </w:r>
    </w:p>
    <w:p w14:paraId="4D0E3CB5" w14:textId="77777777" w:rsidR="002010FC" w:rsidRPr="008B5425" w:rsidRDefault="00E57D20" w:rsidP="008B5425">
      <w:pPr>
        <w:rPr>
          <w:b/>
          <w:bCs/>
          <w:sz w:val="28"/>
          <w:szCs w:val="28"/>
        </w:rPr>
      </w:pPr>
      <w:r w:rsidRPr="008B5425">
        <w:rPr>
          <w:b/>
          <w:bCs/>
          <w:sz w:val="28"/>
          <w:szCs w:val="28"/>
        </w:rPr>
        <w:t>7. Conclusion</w:t>
      </w:r>
    </w:p>
    <w:p w14:paraId="363BC19F" w14:textId="77777777" w:rsidR="002010FC" w:rsidRPr="008B5425" w:rsidRDefault="00E57D20" w:rsidP="008B5425">
      <w:pPr>
        <w:rPr>
          <w:sz w:val="22"/>
          <w:szCs w:val="22"/>
        </w:rPr>
      </w:pPr>
      <w:r w:rsidRPr="008B5425">
        <w:rPr>
          <w:sz w:val="22"/>
          <w:szCs w:val="22"/>
        </w:rPr>
        <w:t>7.1 Personal Learning and Observations</w:t>
      </w:r>
    </w:p>
    <w:p w14:paraId="2D7FD0BF" w14:textId="77777777" w:rsidR="002010FC" w:rsidRPr="008B5425" w:rsidRDefault="00E57D20" w:rsidP="008B5425">
      <w:pPr>
        <w:rPr>
          <w:sz w:val="22"/>
          <w:szCs w:val="22"/>
        </w:rPr>
      </w:pPr>
      <w:r w:rsidRPr="008B5425">
        <w:rPr>
          <w:sz w:val="22"/>
          <w:szCs w:val="22"/>
        </w:rPr>
        <w:t xml:space="preserve">Studying K.S. </w:t>
      </w:r>
      <w:proofErr w:type="spellStart"/>
      <w:r w:rsidRPr="008B5425">
        <w:rPr>
          <w:sz w:val="22"/>
          <w:szCs w:val="22"/>
        </w:rPr>
        <w:t>Puttaswamy</w:t>
      </w:r>
      <w:proofErr w:type="spellEnd"/>
      <w:r w:rsidRPr="008B5425">
        <w:rPr>
          <w:sz w:val="22"/>
          <w:szCs w:val="22"/>
        </w:rPr>
        <w:t xml:space="preserve"> v. Union of India provides valuable insight into how constitutional law evolves to safeguard individual dignity and autonomy in an era shaped by digital identification, biometric authentication, and large-scale data collection by both governments and private enterprises. The case shows that privacy is not a peripheral or purely technical legal concept but a foundational value closely tied to human dignity, liberty, and an individual's ability to exercise meaningful control over personal informati</w:t>
      </w:r>
      <w:r w:rsidRPr="008B5425">
        <w:rPr>
          <w:sz w:val="22"/>
          <w:szCs w:val="22"/>
        </w:rPr>
        <w:t xml:space="preserve">on and life choices. From a professional standpoint, especially for those working in FinTech, AI, or digitally driven financial services, this case highlights the importance of designing systems and processes that handle personal data responsibly, transparently, and proportionately, rather than treating data collection as an unrestricted business convenience. Ultimately, </w:t>
      </w:r>
      <w:proofErr w:type="spellStart"/>
      <w:r w:rsidRPr="008B5425">
        <w:rPr>
          <w:sz w:val="22"/>
          <w:szCs w:val="22"/>
        </w:rPr>
        <w:t>Puttaswamy</w:t>
      </w:r>
      <w:proofErr w:type="spellEnd"/>
      <w:r w:rsidRPr="008B5425">
        <w:rPr>
          <w:sz w:val="22"/>
          <w:szCs w:val="22"/>
        </w:rPr>
        <w:t xml:space="preserve"> serves as a landmark reminder that technological progress and efficient service delivery, whether by government or private ente</w:t>
      </w:r>
      <w:r w:rsidRPr="008B5425">
        <w:rPr>
          <w:sz w:val="22"/>
          <w:szCs w:val="22"/>
        </w:rPr>
        <w:t>rprise, must always be balanced against, and constrained by, the enduring constitutional commitment to individual privacy and dignity.</w:t>
      </w:r>
    </w:p>
    <w:p w14:paraId="1B77FD04" w14:textId="77777777" w:rsidR="002010FC" w:rsidRPr="008B5425" w:rsidRDefault="00E57D20" w:rsidP="008B5425">
      <w:pPr>
        <w:rPr>
          <w:b/>
          <w:bCs/>
          <w:sz w:val="28"/>
          <w:szCs w:val="28"/>
        </w:rPr>
      </w:pPr>
      <w:r w:rsidRPr="008B5425">
        <w:rPr>
          <w:b/>
          <w:bCs/>
          <w:sz w:val="28"/>
          <w:szCs w:val="28"/>
        </w:rPr>
        <w:t>References</w:t>
      </w:r>
    </w:p>
    <w:p w14:paraId="65323CD2" w14:textId="77777777" w:rsidR="002010FC" w:rsidRPr="008B5425" w:rsidRDefault="00E57D20" w:rsidP="008B5425">
      <w:pPr>
        <w:rPr>
          <w:sz w:val="22"/>
          <w:szCs w:val="22"/>
        </w:rPr>
      </w:pPr>
      <w:r w:rsidRPr="008B5425">
        <w:rPr>
          <w:sz w:val="22"/>
          <w:szCs w:val="22"/>
        </w:rPr>
        <w:t xml:space="preserve">Justice K.S. </w:t>
      </w:r>
      <w:proofErr w:type="spellStart"/>
      <w:r w:rsidRPr="008B5425">
        <w:rPr>
          <w:sz w:val="22"/>
          <w:szCs w:val="22"/>
        </w:rPr>
        <w:t>Puttaswamy</w:t>
      </w:r>
      <w:proofErr w:type="spellEnd"/>
      <w:r w:rsidRPr="008B5425">
        <w:rPr>
          <w:sz w:val="22"/>
          <w:szCs w:val="22"/>
        </w:rPr>
        <w:t xml:space="preserve"> (Retd.) &amp; </w:t>
      </w:r>
      <w:proofErr w:type="spellStart"/>
      <w:r w:rsidRPr="008B5425">
        <w:rPr>
          <w:sz w:val="22"/>
          <w:szCs w:val="22"/>
        </w:rPr>
        <w:t>Anr</w:t>
      </w:r>
      <w:proofErr w:type="spellEnd"/>
      <w:r w:rsidRPr="008B5425">
        <w:rPr>
          <w:sz w:val="22"/>
          <w:szCs w:val="22"/>
        </w:rPr>
        <w:t>. v. Union of India &amp; Ors., (2017) 10 SCC 1; AIR 2017 SC 4161, Supreme Court of India (nine-judge Constitution Bench).</w:t>
      </w:r>
    </w:p>
    <w:p w14:paraId="5354313C" w14:textId="77777777" w:rsidR="002010FC" w:rsidRPr="008B5425" w:rsidRDefault="00E57D20" w:rsidP="008B5425">
      <w:pPr>
        <w:rPr>
          <w:sz w:val="22"/>
          <w:szCs w:val="22"/>
        </w:rPr>
      </w:pPr>
      <w:r w:rsidRPr="008B5425">
        <w:rPr>
          <w:sz w:val="22"/>
          <w:szCs w:val="22"/>
        </w:rPr>
        <w:t>The Constitution of India, Articles 19, 21, Part III.</w:t>
      </w:r>
    </w:p>
    <w:p w14:paraId="5FF1A8AE" w14:textId="77777777" w:rsidR="002010FC" w:rsidRPr="008B5425" w:rsidRDefault="00E57D20" w:rsidP="008B5425">
      <w:pPr>
        <w:rPr>
          <w:sz w:val="22"/>
          <w:szCs w:val="22"/>
        </w:rPr>
      </w:pPr>
      <w:r w:rsidRPr="008B5425">
        <w:rPr>
          <w:sz w:val="22"/>
          <w:szCs w:val="22"/>
        </w:rPr>
        <w:t>M.P. Sharma v. Satish Chandra, AIR 1954 SC 300 (overruled in part by Puttaswamy).</w:t>
      </w:r>
    </w:p>
    <w:p w14:paraId="54E10BE7" w14:textId="77777777" w:rsidR="002010FC" w:rsidRPr="008B5425" w:rsidRDefault="00E57D20" w:rsidP="008B5425">
      <w:pPr>
        <w:rPr>
          <w:sz w:val="22"/>
          <w:szCs w:val="22"/>
        </w:rPr>
      </w:pPr>
      <w:proofErr w:type="spellStart"/>
      <w:r w:rsidRPr="008B5425">
        <w:rPr>
          <w:sz w:val="22"/>
          <w:szCs w:val="22"/>
        </w:rPr>
        <w:t>Kharak</w:t>
      </w:r>
      <w:proofErr w:type="spellEnd"/>
      <w:r w:rsidRPr="008B5425">
        <w:rPr>
          <w:sz w:val="22"/>
          <w:szCs w:val="22"/>
        </w:rPr>
        <w:t xml:space="preserve"> Singh v. State of Uttar Pradesh, AIR 1963 SC 1295 (overruled in part by Puttaswamy).</w:t>
      </w:r>
    </w:p>
    <w:p w14:paraId="58927DF3" w14:textId="77777777" w:rsidR="002010FC" w:rsidRPr="008B5425" w:rsidRDefault="00E57D20" w:rsidP="008B5425">
      <w:pPr>
        <w:rPr>
          <w:sz w:val="22"/>
          <w:szCs w:val="22"/>
        </w:rPr>
      </w:pPr>
      <w:r w:rsidRPr="008B5425">
        <w:rPr>
          <w:sz w:val="22"/>
          <w:szCs w:val="22"/>
        </w:rPr>
        <w:t xml:space="preserve">"AADHAR CASE – K.S. </w:t>
      </w:r>
      <w:proofErr w:type="spellStart"/>
      <w:r w:rsidRPr="008B5425">
        <w:rPr>
          <w:sz w:val="22"/>
          <w:szCs w:val="22"/>
        </w:rPr>
        <w:t>Puttaswamy</w:t>
      </w:r>
      <w:proofErr w:type="spellEnd"/>
      <w:r w:rsidRPr="008B5425">
        <w:rPr>
          <w:sz w:val="22"/>
          <w:szCs w:val="22"/>
        </w:rPr>
        <w:t xml:space="preserve"> v. Union of India | Legal Jurisprudence #righttoprivacy" (video summary reference).</w:t>
      </w:r>
    </w:p>
    <w:sectPr w:rsidR="002010FC" w:rsidRPr="008B54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D777F"/>
    <w:multiLevelType w:val="hybridMultilevel"/>
    <w:tmpl w:val="4DDEB5F6"/>
    <w:lvl w:ilvl="0" w:tplc="50428B56">
      <w:start w:val="1"/>
      <w:numFmt w:val="bullet"/>
      <w:lvlText w:val="●"/>
      <w:lvlJc w:val="left"/>
      <w:pPr>
        <w:ind w:left="720" w:hanging="360"/>
      </w:pPr>
    </w:lvl>
    <w:lvl w:ilvl="1" w:tplc="DDB4CFB4">
      <w:start w:val="1"/>
      <w:numFmt w:val="bullet"/>
      <w:lvlText w:val="○"/>
      <w:lvlJc w:val="left"/>
      <w:pPr>
        <w:ind w:left="1440" w:hanging="360"/>
      </w:pPr>
    </w:lvl>
    <w:lvl w:ilvl="2" w:tplc="A6BAD9FE">
      <w:start w:val="1"/>
      <w:numFmt w:val="bullet"/>
      <w:lvlText w:val="■"/>
      <w:lvlJc w:val="left"/>
      <w:pPr>
        <w:ind w:left="2160" w:hanging="360"/>
      </w:pPr>
    </w:lvl>
    <w:lvl w:ilvl="3" w:tplc="838E5D32">
      <w:start w:val="1"/>
      <w:numFmt w:val="bullet"/>
      <w:lvlText w:val="●"/>
      <w:lvlJc w:val="left"/>
      <w:pPr>
        <w:ind w:left="2880" w:hanging="360"/>
      </w:pPr>
    </w:lvl>
    <w:lvl w:ilvl="4" w:tplc="BD46DFBC">
      <w:start w:val="1"/>
      <w:numFmt w:val="bullet"/>
      <w:lvlText w:val="○"/>
      <w:lvlJc w:val="left"/>
      <w:pPr>
        <w:ind w:left="3600" w:hanging="360"/>
      </w:pPr>
    </w:lvl>
    <w:lvl w:ilvl="5" w:tplc="E8523EFA">
      <w:start w:val="1"/>
      <w:numFmt w:val="bullet"/>
      <w:lvlText w:val="■"/>
      <w:lvlJc w:val="left"/>
      <w:pPr>
        <w:ind w:left="4320" w:hanging="360"/>
      </w:pPr>
    </w:lvl>
    <w:lvl w:ilvl="6" w:tplc="5F5E306C">
      <w:start w:val="1"/>
      <w:numFmt w:val="bullet"/>
      <w:lvlText w:val="●"/>
      <w:lvlJc w:val="left"/>
      <w:pPr>
        <w:ind w:left="5040" w:hanging="360"/>
      </w:pPr>
    </w:lvl>
    <w:lvl w:ilvl="7" w:tplc="0E122770">
      <w:start w:val="1"/>
      <w:numFmt w:val="bullet"/>
      <w:lvlText w:val="●"/>
      <w:lvlJc w:val="left"/>
      <w:pPr>
        <w:ind w:left="5760" w:hanging="360"/>
      </w:pPr>
    </w:lvl>
    <w:lvl w:ilvl="8" w:tplc="64A21EF0">
      <w:start w:val="1"/>
      <w:numFmt w:val="bullet"/>
      <w:lvlText w:val="●"/>
      <w:lvlJc w:val="left"/>
      <w:pPr>
        <w:ind w:left="6480" w:hanging="360"/>
      </w:pPr>
    </w:lvl>
  </w:abstractNum>
  <w:num w:numId="1" w16cid:durableId="2107117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FC"/>
    <w:rsid w:val="002010FC"/>
    <w:rsid w:val="005F45BC"/>
    <w:rsid w:val="008B5425"/>
    <w:rsid w:val="00E5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5005"/>
  <w15:docId w15:val="{9A36910B-837E-4F34-9638-81C61987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2357</Words>
  <Characters>13437</Characters>
  <Application>Microsoft Office Word</Application>
  <DocSecurity>0</DocSecurity>
  <Lines>111</Lines>
  <Paragraphs>31</Paragraphs>
  <ScaleCrop>false</ScaleCrop>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.k</cp:lastModifiedBy>
  <cp:revision>2</cp:revision>
  <dcterms:created xsi:type="dcterms:W3CDTF">2026-09-15T08:24:00Z</dcterms:created>
  <dcterms:modified xsi:type="dcterms:W3CDTF">2026-09-15T08:24:00Z</dcterms:modified>
</cp:coreProperties>
</file>