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AA56EF" w14:textId="77777777" w:rsidR="00A10627" w:rsidRDefault="00A10627" w:rsidP="00A10627">
      <w:pPr>
        <w:tabs>
          <w:tab w:val="left" w:pos="1440"/>
        </w:tabs>
        <w:spacing w:after="400"/>
        <w:rPr>
          <w:i/>
          <w:iCs/>
          <w:sz w:val="44"/>
          <w:szCs w:val="44"/>
        </w:rPr>
      </w:pPr>
      <w:r>
        <w:rPr>
          <w:i/>
          <w:iCs/>
          <w:sz w:val="44"/>
          <w:szCs w:val="44"/>
        </w:rPr>
        <w:tab/>
        <w:t xml:space="preserve">      </w:t>
      </w:r>
    </w:p>
    <w:p w14:paraId="75C9F2A8" w14:textId="1BD69BCB" w:rsidR="00A10627" w:rsidRPr="00A10627" w:rsidRDefault="00A10627" w:rsidP="00A10627">
      <w:pPr>
        <w:tabs>
          <w:tab w:val="left" w:pos="1440"/>
        </w:tabs>
        <w:spacing w:after="400"/>
        <w:rPr>
          <w:b/>
          <w:bCs/>
          <w:sz w:val="28"/>
          <w:szCs w:val="28"/>
        </w:rPr>
      </w:pPr>
      <w:r>
        <w:rPr>
          <w:i/>
          <w:iCs/>
          <w:sz w:val="44"/>
          <w:szCs w:val="44"/>
        </w:rPr>
        <w:t xml:space="preserve">                   </w:t>
      </w:r>
      <w:r w:rsidRPr="00A10627">
        <w:rPr>
          <w:b/>
          <w:bCs/>
          <w:sz w:val="28"/>
          <w:szCs w:val="28"/>
        </w:rPr>
        <w:t>CASE ANALYSIS REPORT </w:t>
      </w:r>
    </w:p>
    <w:p w14:paraId="5F6F1C41" w14:textId="4A1B77F6" w:rsidR="00A10627" w:rsidRPr="00A10627" w:rsidRDefault="00A10627" w:rsidP="00A10627">
      <w:pPr>
        <w:tabs>
          <w:tab w:val="left" w:pos="1440"/>
        </w:tabs>
        <w:spacing w:after="400"/>
        <w:rPr>
          <w:b/>
          <w:bCs/>
          <w:sz w:val="28"/>
          <w:szCs w:val="28"/>
        </w:rPr>
      </w:pPr>
      <w:r>
        <w:rPr>
          <w:b/>
          <w:bCs/>
          <w:sz w:val="28"/>
          <w:szCs w:val="28"/>
        </w:rPr>
        <w:t xml:space="preserve">      </w:t>
      </w:r>
      <w:r w:rsidRPr="00A10627">
        <w:rPr>
          <w:b/>
          <w:bCs/>
          <w:sz w:val="28"/>
          <w:szCs w:val="28"/>
        </w:rPr>
        <w:t>ICICI Bank v. Shanti Devi Sharma &amp; Others (2008 INSC 686) </w:t>
      </w:r>
    </w:p>
    <w:p w14:paraId="449BC1F4" w14:textId="77777777" w:rsidR="00A10627" w:rsidRPr="00A10627" w:rsidRDefault="00A10627" w:rsidP="00A10627">
      <w:pPr>
        <w:tabs>
          <w:tab w:val="left" w:pos="1440"/>
        </w:tabs>
        <w:spacing w:after="400"/>
        <w:rPr>
          <w:b/>
          <w:bCs/>
          <w:sz w:val="28"/>
          <w:szCs w:val="28"/>
        </w:rPr>
      </w:pPr>
      <w:r w:rsidRPr="00A10627">
        <w:rPr>
          <w:b/>
          <w:bCs/>
          <w:sz w:val="28"/>
          <w:szCs w:val="28"/>
        </w:rPr>
        <w:t> </w:t>
      </w:r>
    </w:p>
    <w:p w14:paraId="266C8D67" w14:textId="77777777" w:rsidR="00A10627" w:rsidRPr="00A10627" w:rsidRDefault="00A10627" w:rsidP="00A10627">
      <w:pPr>
        <w:tabs>
          <w:tab w:val="left" w:pos="1440"/>
        </w:tabs>
        <w:spacing w:after="400"/>
        <w:rPr>
          <w:i/>
          <w:iCs/>
          <w:sz w:val="28"/>
          <w:szCs w:val="28"/>
        </w:rPr>
      </w:pPr>
      <w:r w:rsidRPr="00A10627">
        <w:rPr>
          <w:i/>
          <w:iCs/>
          <w:sz w:val="28"/>
          <w:szCs w:val="28"/>
        </w:rPr>
        <w:t> </w:t>
      </w:r>
    </w:p>
    <w:p w14:paraId="2D796124" w14:textId="77777777" w:rsidR="00A10627" w:rsidRPr="00A10627" w:rsidRDefault="00A10627" w:rsidP="00A10627">
      <w:pPr>
        <w:tabs>
          <w:tab w:val="left" w:pos="1440"/>
        </w:tabs>
        <w:spacing w:after="400"/>
        <w:rPr>
          <w:i/>
          <w:iCs/>
          <w:sz w:val="28"/>
          <w:szCs w:val="28"/>
        </w:rPr>
      </w:pPr>
      <w:r w:rsidRPr="00A10627">
        <w:rPr>
          <w:i/>
          <w:iCs/>
          <w:sz w:val="28"/>
          <w:szCs w:val="28"/>
        </w:rPr>
        <w:t> </w:t>
      </w:r>
    </w:p>
    <w:p w14:paraId="249068D0" w14:textId="77777777" w:rsidR="00A10627" w:rsidRPr="00A10627" w:rsidRDefault="00A10627" w:rsidP="00A10627">
      <w:pPr>
        <w:tabs>
          <w:tab w:val="left" w:pos="1440"/>
        </w:tabs>
        <w:spacing w:after="400"/>
        <w:rPr>
          <w:i/>
          <w:iCs/>
          <w:sz w:val="28"/>
          <w:szCs w:val="28"/>
        </w:rPr>
      </w:pPr>
      <w:r w:rsidRPr="00A10627">
        <w:rPr>
          <w:i/>
          <w:iCs/>
          <w:sz w:val="28"/>
          <w:szCs w:val="28"/>
        </w:rPr>
        <w:t> </w:t>
      </w:r>
    </w:p>
    <w:p w14:paraId="5311B905" w14:textId="3A5FBEB8" w:rsidR="00A10627" w:rsidRPr="00A10627" w:rsidRDefault="00A10627" w:rsidP="00A10627">
      <w:pPr>
        <w:tabs>
          <w:tab w:val="left" w:pos="1440"/>
        </w:tabs>
        <w:spacing w:after="400"/>
        <w:rPr>
          <w:sz w:val="28"/>
          <w:szCs w:val="28"/>
        </w:rPr>
      </w:pPr>
      <w:r>
        <w:rPr>
          <w:b/>
          <w:bCs/>
          <w:i/>
          <w:iCs/>
          <w:sz w:val="28"/>
          <w:szCs w:val="28"/>
        </w:rPr>
        <w:t xml:space="preserve">                                </w:t>
      </w:r>
      <w:r w:rsidRPr="00A10627">
        <w:rPr>
          <w:b/>
          <w:bCs/>
          <w:sz w:val="28"/>
          <w:szCs w:val="28"/>
        </w:rPr>
        <w:t>Student Name:  </w:t>
      </w:r>
      <w:r>
        <w:rPr>
          <w:sz w:val="28"/>
          <w:szCs w:val="28"/>
        </w:rPr>
        <w:t xml:space="preserve">HARIPRASATH </w:t>
      </w:r>
      <w:r w:rsidR="00B120E5">
        <w:rPr>
          <w:sz w:val="28"/>
          <w:szCs w:val="28"/>
        </w:rPr>
        <w:t>K</w:t>
      </w:r>
    </w:p>
    <w:p w14:paraId="69F3DD44" w14:textId="78D016E3" w:rsidR="00A10627" w:rsidRPr="00A10627" w:rsidRDefault="00A10627" w:rsidP="00A10627">
      <w:pPr>
        <w:tabs>
          <w:tab w:val="left" w:pos="1440"/>
        </w:tabs>
        <w:spacing w:after="400"/>
        <w:rPr>
          <w:sz w:val="28"/>
          <w:szCs w:val="28"/>
        </w:rPr>
      </w:pPr>
      <w:r w:rsidRPr="00A10627">
        <w:rPr>
          <w:b/>
          <w:bCs/>
          <w:sz w:val="28"/>
          <w:szCs w:val="28"/>
        </w:rPr>
        <w:t xml:space="preserve">                               </w:t>
      </w:r>
      <w:r w:rsidRPr="00A10627">
        <w:rPr>
          <w:b/>
          <w:bCs/>
          <w:sz w:val="28"/>
          <w:szCs w:val="28"/>
        </w:rPr>
        <w:t>Register Number:  </w:t>
      </w:r>
      <w:r w:rsidRPr="00A10627">
        <w:rPr>
          <w:sz w:val="28"/>
          <w:szCs w:val="28"/>
        </w:rPr>
        <w:t>527251020</w:t>
      </w:r>
      <w:r w:rsidR="00B120E5">
        <w:rPr>
          <w:sz w:val="28"/>
          <w:szCs w:val="28"/>
        </w:rPr>
        <w:t>4</w:t>
      </w:r>
    </w:p>
    <w:p w14:paraId="4B7C5B7C" w14:textId="3F1F311A" w:rsidR="00A10627" w:rsidRPr="00A10627" w:rsidRDefault="00A10627" w:rsidP="00A10627">
      <w:pPr>
        <w:tabs>
          <w:tab w:val="left" w:pos="1440"/>
        </w:tabs>
        <w:spacing w:after="400"/>
        <w:rPr>
          <w:sz w:val="28"/>
          <w:szCs w:val="28"/>
        </w:rPr>
      </w:pPr>
      <w:r w:rsidRPr="00A10627">
        <w:rPr>
          <w:b/>
          <w:bCs/>
          <w:sz w:val="28"/>
          <w:szCs w:val="28"/>
        </w:rPr>
        <w:t xml:space="preserve">                              </w:t>
      </w:r>
      <w:r w:rsidRPr="00A10627">
        <w:rPr>
          <w:b/>
          <w:bCs/>
          <w:sz w:val="28"/>
          <w:szCs w:val="28"/>
        </w:rPr>
        <w:t>Course:  </w:t>
      </w:r>
      <w:r w:rsidRPr="00A10627">
        <w:rPr>
          <w:sz w:val="28"/>
          <w:szCs w:val="28"/>
        </w:rPr>
        <w:t>B.com Fintech with AI </w:t>
      </w:r>
    </w:p>
    <w:p w14:paraId="7CCE7F75" w14:textId="77777777" w:rsidR="00A10627" w:rsidRPr="00A10627" w:rsidRDefault="00A10627" w:rsidP="00A10627">
      <w:pPr>
        <w:tabs>
          <w:tab w:val="left" w:pos="1440"/>
        </w:tabs>
        <w:spacing w:after="400"/>
        <w:rPr>
          <w:sz w:val="28"/>
          <w:szCs w:val="28"/>
        </w:rPr>
      </w:pPr>
      <w:r w:rsidRPr="00A10627">
        <w:rPr>
          <w:sz w:val="28"/>
          <w:szCs w:val="28"/>
        </w:rPr>
        <w:t> </w:t>
      </w:r>
    </w:p>
    <w:p w14:paraId="5F5ED7DC" w14:textId="18FC9C6C" w:rsidR="00A10627" w:rsidRPr="00A10627" w:rsidRDefault="00A10627" w:rsidP="00A10627">
      <w:pPr>
        <w:tabs>
          <w:tab w:val="left" w:pos="1440"/>
        </w:tabs>
        <w:spacing w:after="400"/>
        <w:rPr>
          <w:i/>
          <w:iCs/>
          <w:sz w:val="28"/>
          <w:szCs w:val="28"/>
        </w:rPr>
      </w:pPr>
    </w:p>
    <w:p w14:paraId="1B1477D4" w14:textId="77777777" w:rsidR="00A10627" w:rsidRPr="00A10627" w:rsidRDefault="00A10627">
      <w:pPr>
        <w:spacing w:after="400"/>
        <w:jc w:val="center"/>
        <w:rPr>
          <w:i/>
          <w:iCs/>
          <w:sz w:val="44"/>
          <w:szCs w:val="44"/>
        </w:rPr>
      </w:pPr>
    </w:p>
    <w:p w14:paraId="3D374C9C" w14:textId="77777777" w:rsidR="00A10627" w:rsidRPr="00A10627" w:rsidRDefault="00A10627">
      <w:pPr>
        <w:spacing w:after="400"/>
        <w:jc w:val="center"/>
        <w:rPr>
          <w:i/>
          <w:iCs/>
          <w:sz w:val="44"/>
          <w:szCs w:val="44"/>
        </w:rPr>
      </w:pPr>
    </w:p>
    <w:p w14:paraId="6C8692A0" w14:textId="77777777" w:rsidR="00A10627" w:rsidRPr="00A10627" w:rsidRDefault="00A10627">
      <w:pPr>
        <w:spacing w:after="400"/>
        <w:jc w:val="center"/>
        <w:rPr>
          <w:i/>
          <w:iCs/>
          <w:sz w:val="44"/>
          <w:szCs w:val="44"/>
        </w:rPr>
      </w:pPr>
    </w:p>
    <w:p w14:paraId="7061EFEB" w14:textId="77777777" w:rsidR="00A10627" w:rsidRDefault="00A10627">
      <w:pPr>
        <w:spacing w:after="400"/>
        <w:jc w:val="center"/>
        <w:rPr>
          <w:i/>
          <w:iCs/>
          <w:sz w:val="24"/>
          <w:szCs w:val="24"/>
        </w:rPr>
      </w:pPr>
    </w:p>
    <w:p w14:paraId="7C45D363" w14:textId="77777777" w:rsidR="00A10627" w:rsidRDefault="00A10627">
      <w:pPr>
        <w:spacing w:after="400"/>
        <w:jc w:val="center"/>
        <w:rPr>
          <w:i/>
          <w:iCs/>
          <w:sz w:val="24"/>
          <w:szCs w:val="24"/>
        </w:rPr>
      </w:pPr>
    </w:p>
    <w:p w14:paraId="1FED0AA2" w14:textId="77777777" w:rsidR="00A10627" w:rsidRDefault="00A10627">
      <w:pPr>
        <w:spacing w:after="400"/>
        <w:jc w:val="center"/>
        <w:rPr>
          <w:i/>
          <w:iCs/>
          <w:sz w:val="24"/>
          <w:szCs w:val="24"/>
        </w:rPr>
      </w:pPr>
    </w:p>
    <w:p w14:paraId="14C49CD5" w14:textId="77777777" w:rsidR="00A10627" w:rsidRPr="00A10627" w:rsidRDefault="00A10627" w:rsidP="00A10627">
      <w:pPr>
        <w:spacing w:after="400"/>
        <w:jc w:val="center"/>
        <w:rPr>
          <w:b/>
          <w:bCs/>
          <w:sz w:val="28"/>
          <w:szCs w:val="28"/>
        </w:rPr>
      </w:pPr>
      <w:r w:rsidRPr="00A10627">
        <w:rPr>
          <w:b/>
          <w:bCs/>
          <w:sz w:val="28"/>
          <w:szCs w:val="28"/>
        </w:rPr>
        <w:t>Table of Content</w:t>
      </w:r>
    </w:p>
    <w:p w14:paraId="55C140F7" w14:textId="77777777" w:rsidR="00A10627" w:rsidRPr="00A10627" w:rsidRDefault="00A10627" w:rsidP="00A10627">
      <w:pPr>
        <w:spacing w:after="400"/>
        <w:jc w:val="center"/>
        <w:rPr>
          <w:b/>
          <w:bCs/>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874"/>
        <w:gridCol w:w="8330"/>
      </w:tblGrid>
      <w:tr w:rsidR="00A10627" w:rsidRPr="00A10627" w14:paraId="48966F30" w14:textId="77777777" w:rsidTr="00A1062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E6164C" w14:textId="77777777" w:rsidR="00A10627" w:rsidRPr="00A10627" w:rsidRDefault="00A10627" w:rsidP="00A10627">
            <w:pPr>
              <w:spacing w:after="400"/>
              <w:jc w:val="center"/>
              <w:rPr>
                <w:b/>
                <w:bCs/>
                <w:sz w:val="24"/>
                <w:szCs w:val="24"/>
              </w:rPr>
            </w:pPr>
            <w:r w:rsidRPr="00A10627">
              <w:rPr>
                <w:b/>
                <w:bCs/>
                <w:sz w:val="24"/>
                <w:szCs w:val="24"/>
              </w:rPr>
              <w:t>S.NO  </w:t>
            </w:r>
          </w:p>
        </w:tc>
        <w:tc>
          <w:tcPr>
            <w:tcW w:w="83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F26842" w14:textId="77777777" w:rsidR="00A10627" w:rsidRPr="00A10627" w:rsidRDefault="00A10627" w:rsidP="00A10627">
            <w:pPr>
              <w:spacing w:after="400"/>
              <w:jc w:val="center"/>
              <w:rPr>
                <w:b/>
                <w:bCs/>
                <w:sz w:val="24"/>
                <w:szCs w:val="24"/>
              </w:rPr>
            </w:pPr>
            <w:r w:rsidRPr="00A10627">
              <w:rPr>
                <w:b/>
                <w:bCs/>
                <w:sz w:val="24"/>
                <w:szCs w:val="24"/>
              </w:rPr>
              <w:t>Topics  </w:t>
            </w:r>
          </w:p>
        </w:tc>
      </w:tr>
      <w:tr w:rsidR="00A10627" w:rsidRPr="00A10627" w14:paraId="0CE58373" w14:textId="77777777" w:rsidTr="00A1062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345BA7" w14:textId="77777777" w:rsidR="00A10627" w:rsidRPr="00A10627" w:rsidRDefault="00A10627" w:rsidP="00A10627">
            <w:pPr>
              <w:spacing w:after="400"/>
              <w:jc w:val="center"/>
              <w:rPr>
                <w:b/>
                <w:bCs/>
                <w:sz w:val="24"/>
                <w:szCs w:val="24"/>
              </w:rPr>
            </w:pPr>
            <w:r w:rsidRPr="00A10627">
              <w:rPr>
                <w:b/>
                <w:bCs/>
                <w:sz w:val="24"/>
                <w:szCs w:val="24"/>
              </w:rPr>
              <w:t>1</w:t>
            </w:r>
          </w:p>
        </w:tc>
        <w:tc>
          <w:tcPr>
            <w:tcW w:w="83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ACFFFE" w14:textId="77777777" w:rsidR="00A10627" w:rsidRPr="00A10627" w:rsidRDefault="00A10627" w:rsidP="00A10627">
            <w:pPr>
              <w:spacing w:after="400"/>
              <w:jc w:val="center"/>
              <w:rPr>
                <w:b/>
                <w:bCs/>
                <w:sz w:val="24"/>
                <w:szCs w:val="24"/>
              </w:rPr>
            </w:pPr>
            <w:r w:rsidRPr="00A10627">
              <w:rPr>
                <w:b/>
                <w:bCs/>
                <w:sz w:val="24"/>
                <w:szCs w:val="24"/>
              </w:rPr>
              <w:t>Introduction  </w:t>
            </w:r>
          </w:p>
        </w:tc>
      </w:tr>
      <w:tr w:rsidR="00A10627" w:rsidRPr="00A10627" w14:paraId="6E5A3B02" w14:textId="77777777" w:rsidTr="00A1062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F093E3" w14:textId="77777777" w:rsidR="00A10627" w:rsidRPr="00A10627" w:rsidRDefault="00A10627" w:rsidP="00A10627">
            <w:pPr>
              <w:spacing w:after="400"/>
              <w:jc w:val="center"/>
              <w:rPr>
                <w:b/>
                <w:bCs/>
                <w:sz w:val="24"/>
                <w:szCs w:val="24"/>
              </w:rPr>
            </w:pPr>
            <w:r w:rsidRPr="00A10627">
              <w:rPr>
                <w:b/>
                <w:bCs/>
                <w:sz w:val="24"/>
                <w:szCs w:val="24"/>
              </w:rPr>
              <w:t>2</w:t>
            </w:r>
          </w:p>
        </w:tc>
        <w:tc>
          <w:tcPr>
            <w:tcW w:w="83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6665C0" w14:textId="77777777" w:rsidR="00A10627" w:rsidRPr="00A10627" w:rsidRDefault="00A10627" w:rsidP="00A10627">
            <w:pPr>
              <w:spacing w:after="400"/>
              <w:jc w:val="center"/>
              <w:rPr>
                <w:b/>
                <w:bCs/>
                <w:sz w:val="24"/>
                <w:szCs w:val="24"/>
              </w:rPr>
            </w:pPr>
            <w:r w:rsidRPr="00A10627">
              <w:rPr>
                <w:b/>
                <w:bCs/>
                <w:sz w:val="24"/>
                <w:szCs w:val="24"/>
              </w:rPr>
              <w:t>Facts of the case  </w:t>
            </w:r>
          </w:p>
        </w:tc>
      </w:tr>
      <w:tr w:rsidR="00A10627" w:rsidRPr="00A10627" w14:paraId="57874BE5" w14:textId="77777777" w:rsidTr="00A1062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96A7C7" w14:textId="77777777" w:rsidR="00A10627" w:rsidRPr="00A10627" w:rsidRDefault="00A10627" w:rsidP="00A10627">
            <w:pPr>
              <w:spacing w:after="400"/>
              <w:jc w:val="center"/>
              <w:rPr>
                <w:b/>
                <w:bCs/>
                <w:sz w:val="24"/>
                <w:szCs w:val="24"/>
              </w:rPr>
            </w:pPr>
            <w:r w:rsidRPr="00A10627">
              <w:rPr>
                <w:b/>
                <w:bCs/>
                <w:sz w:val="24"/>
                <w:szCs w:val="24"/>
              </w:rPr>
              <w:t>3</w:t>
            </w:r>
          </w:p>
        </w:tc>
        <w:tc>
          <w:tcPr>
            <w:tcW w:w="83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AF2E13" w14:textId="77777777" w:rsidR="00A10627" w:rsidRPr="00A10627" w:rsidRDefault="00A10627" w:rsidP="00A10627">
            <w:pPr>
              <w:spacing w:after="400"/>
              <w:jc w:val="center"/>
              <w:rPr>
                <w:b/>
                <w:bCs/>
                <w:sz w:val="24"/>
                <w:szCs w:val="24"/>
              </w:rPr>
            </w:pPr>
            <w:r w:rsidRPr="00A10627">
              <w:rPr>
                <w:b/>
                <w:bCs/>
                <w:sz w:val="24"/>
                <w:szCs w:val="24"/>
              </w:rPr>
              <w:t>Legal Issue  </w:t>
            </w:r>
          </w:p>
        </w:tc>
      </w:tr>
      <w:tr w:rsidR="00A10627" w:rsidRPr="00A10627" w14:paraId="1C7C1940" w14:textId="77777777" w:rsidTr="00A1062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77647B" w14:textId="77777777" w:rsidR="00A10627" w:rsidRPr="00A10627" w:rsidRDefault="00A10627" w:rsidP="00A10627">
            <w:pPr>
              <w:spacing w:after="400"/>
              <w:jc w:val="center"/>
              <w:rPr>
                <w:b/>
                <w:bCs/>
                <w:sz w:val="24"/>
                <w:szCs w:val="24"/>
              </w:rPr>
            </w:pPr>
            <w:r w:rsidRPr="00A10627">
              <w:rPr>
                <w:b/>
                <w:bCs/>
                <w:sz w:val="24"/>
                <w:szCs w:val="24"/>
              </w:rPr>
              <w:t>4</w:t>
            </w:r>
          </w:p>
        </w:tc>
        <w:tc>
          <w:tcPr>
            <w:tcW w:w="83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56D027" w14:textId="77777777" w:rsidR="00A10627" w:rsidRPr="00A10627" w:rsidRDefault="00A10627" w:rsidP="00A10627">
            <w:pPr>
              <w:spacing w:after="400"/>
              <w:jc w:val="center"/>
              <w:rPr>
                <w:b/>
                <w:bCs/>
                <w:sz w:val="24"/>
                <w:szCs w:val="24"/>
              </w:rPr>
            </w:pPr>
            <w:r w:rsidRPr="00A10627">
              <w:rPr>
                <w:b/>
                <w:bCs/>
                <w:sz w:val="24"/>
                <w:szCs w:val="24"/>
              </w:rPr>
              <w:t>Judgement  </w:t>
            </w:r>
          </w:p>
        </w:tc>
      </w:tr>
      <w:tr w:rsidR="00A10627" w:rsidRPr="00A10627" w14:paraId="75A7A755" w14:textId="77777777" w:rsidTr="00A1062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E15EC0" w14:textId="77777777" w:rsidR="00A10627" w:rsidRPr="00A10627" w:rsidRDefault="00A10627" w:rsidP="00A10627">
            <w:pPr>
              <w:spacing w:after="400"/>
              <w:jc w:val="center"/>
              <w:rPr>
                <w:b/>
                <w:bCs/>
                <w:sz w:val="24"/>
                <w:szCs w:val="24"/>
              </w:rPr>
            </w:pPr>
            <w:r w:rsidRPr="00A10627">
              <w:rPr>
                <w:b/>
                <w:bCs/>
                <w:sz w:val="24"/>
                <w:szCs w:val="24"/>
              </w:rPr>
              <w:t>5</w:t>
            </w:r>
          </w:p>
        </w:tc>
        <w:tc>
          <w:tcPr>
            <w:tcW w:w="83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FCD5EC" w14:textId="77777777" w:rsidR="00A10627" w:rsidRPr="00A10627" w:rsidRDefault="00A10627" w:rsidP="00A10627">
            <w:pPr>
              <w:spacing w:after="400"/>
              <w:jc w:val="center"/>
              <w:rPr>
                <w:b/>
                <w:bCs/>
                <w:sz w:val="24"/>
                <w:szCs w:val="24"/>
              </w:rPr>
            </w:pPr>
            <w:r w:rsidRPr="00A10627">
              <w:rPr>
                <w:b/>
                <w:bCs/>
                <w:sz w:val="24"/>
                <w:szCs w:val="24"/>
              </w:rPr>
              <w:t>Legal Principle: Contract Formation Analysis  </w:t>
            </w:r>
          </w:p>
        </w:tc>
      </w:tr>
      <w:tr w:rsidR="00A10627" w:rsidRPr="00A10627" w14:paraId="408BA64A" w14:textId="77777777" w:rsidTr="00A1062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CB5799" w14:textId="77777777" w:rsidR="00A10627" w:rsidRPr="00A10627" w:rsidRDefault="00A10627" w:rsidP="00A10627">
            <w:pPr>
              <w:spacing w:after="400"/>
              <w:jc w:val="center"/>
              <w:rPr>
                <w:b/>
                <w:bCs/>
                <w:sz w:val="24"/>
                <w:szCs w:val="24"/>
              </w:rPr>
            </w:pPr>
            <w:r w:rsidRPr="00A10627">
              <w:rPr>
                <w:b/>
                <w:bCs/>
                <w:sz w:val="24"/>
                <w:szCs w:val="24"/>
              </w:rPr>
              <w:t>6</w:t>
            </w:r>
          </w:p>
        </w:tc>
        <w:tc>
          <w:tcPr>
            <w:tcW w:w="83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EC5BD5" w14:textId="77777777" w:rsidR="00A10627" w:rsidRPr="00A10627" w:rsidRDefault="00A10627" w:rsidP="00A10627">
            <w:pPr>
              <w:spacing w:after="400"/>
              <w:jc w:val="center"/>
              <w:rPr>
                <w:b/>
                <w:bCs/>
                <w:sz w:val="24"/>
                <w:szCs w:val="24"/>
              </w:rPr>
            </w:pPr>
            <w:r w:rsidRPr="00A10627">
              <w:rPr>
                <w:b/>
                <w:bCs/>
                <w:sz w:val="24"/>
                <w:szCs w:val="24"/>
              </w:rPr>
              <w:t>Business Relevance  </w:t>
            </w:r>
          </w:p>
        </w:tc>
      </w:tr>
      <w:tr w:rsidR="00A10627" w:rsidRPr="00A10627" w14:paraId="7E928CB1" w14:textId="77777777" w:rsidTr="00A1062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77294B" w14:textId="77777777" w:rsidR="00A10627" w:rsidRPr="00A10627" w:rsidRDefault="00A10627" w:rsidP="00A10627">
            <w:pPr>
              <w:spacing w:after="400"/>
              <w:jc w:val="center"/>
              <w:rPr>
                <w:b/>
                <w:bCs/>
                <w:sz w:val="24"/>
                <w:szCs w:val="24"/>
              </w:rPr>
            </w:pPr>
            <w:r w:rsidRPr="00A10627">
              <w:rPr>
                <w:b/>
                <w:bCs/>
                <w:sz w:val="24"/>
                <w:szCs w:val="24"/>
              </w:rPr>
              <w:t>7</w:t>
            </w:r>
          </w:p>
        </w:tc>
        <w:tc>
          <w:tcPr>
            <w:tcW w:w="83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780CDF" w14:textId="77777777" w:rsidR="00A10627" w:rsidRPr="00A10627" w:rsidRDefault="00A10627" w:rsidP="00A10627">
            <w:pPr>
              <w:spacing w:after="400"/>
              <w:jc w:val="center"/>
              <w:rPr>
                <w:b/>
                <w:bCs/>
                <w:sz w:val="24"/>
                <w:szCs w:val="24"/>
              </w:rPr>
            </w:pPr>
            <w:r w:rsidRPr="00A10627">
              <w:rPr>
                <w:b/>
                <w:bCs/>
                <w:sz w:val="24"/>
                <w:szCs w:val="24"/>
              </w:rPr>
              <w:t>Conclusion  </w:t>
            </w:r>
          </w:p>
        </w:tc>
      </w:tr>
    </w:tbl>
    <w:p w14:paraId="7DE65FE1" w14:textId="77777777" w:rsidR="00A10627" w:rsidRPr="00A10627" w:rsidRDefault="00A10627">
      <w:pPr>
        <w:spacing w:after="400"/>
        <w:jc w:val="center"/>
        <w:rPr>
          <w:b/>
          <w:bCs/>
          <w:sz w:val="24"/>
          <w:szCs w:val="24"/>
        </w:rPr>
      </w:pPr>
    </w:p>
    <w:p w14:paraId="3A0C193A" w14:textId="77777777" w:rsidR="00A10627" w:rsidRPr="00A10627" w:rsidRDefault="00A10627">
      <w:pPr>
        <w:spacing w:after="400"/>
        <w:jc w:val="center"/>
        <w:rPr>
          <w:b/>
          <w:bCs/>
          <w:sz w:val="24"/>
          <w:szCs w:val="24"/>
        </w:rPr>
      </w:pPr>
    </w:p>
    <w:p w14:paraId="4B0F3ADD" w14:textId="77777777" w:rsidR="00A10627" w:rsidRPr="00A10627" w:rsidRDefault="00A10627">
      <w:pPr>
        <w:spacing w:after="400"/>
        <w:jc w:val="center"/>
        <w:rPr>
          <w:b/>
          <w:bCs/>
          <w:sz w:val="24"/>
          <w:szCs w:val="24"/>
        </w:rPr>
      </w:pPr>
    </w:p>
    <w:p w14:paraId="3F9D87D5" w14:textId="77777777" w:rsidR="00A10627" w:rsidRPr="00A10627" w:rsidRDefault="00A10627">
      <w:pPr>
        <w:spacing w:after="400"/>
        <w:jc w:val="center"/>
        <w:rPr>
          <w:b/>
          <w:bCs/>
          <w:sz w:val="24"/>
          <w:szCs w:val="24"/>
        </w:rPr>
      </w:pPr>
    </w:p>
    <w:p w14:paraId="1863C0D8" w14:textId="77777777" w:rsidR="00A10627" w:rsidRPr="00A10627" w:rsidRDefault="00A10627">
      <w:pPr>
        <w:spacing w:after="400"/>
        <w:jc w:val="center"/>
        <w:rPr>
          <w:b/>
          <w:bCs/>
          <w:sz w:val="24"/>
          <w:szCs w:val="24"/>
        </w:rPr>
      </w:pPr>
    </w:p>
    <w:p w14:paraId="3A2194CE" w14:textId="77777777" w:rsidR="00A10627" w:rsidRPr="00A10627" w:rsidRDefault="00A10627">
      <w:pPr>
        <w:spacing w:after="400"/>
        <w:jc w:val="center"/>
        <w:rPr>
          <w:b/>
          <w:bCs/>
          <w:sz w:val="24"/>
          <w:szCs w:val="24"/>
        </w:rPr>
      </w:pPr>
    </w:p>
    <w:p w14:paraId="78DF65FA" w14:textId="26099535" w:rsidR="00FF16CD" w:rsidRPr="00A10627" w:rsidRDefault="00D37076">
      <w:pPr>
        <w:pStyle w:val="Heading1"/>
        <w:spacing w:before="320" w:after="160"/>
        <w:rPr>
          <w:b/>
          <w:bCs/>
          <w:color w:val="000000" w:themeColor="text1"/>
          <w:sz w:val="28"/>
          <w:szCs w:val="28"/>
        </w:rPr>
      </w:pPr>
      <w:r w:rsidRPr="00A10627">
        <w:rPr>
          <w:b/>
          <w:bCs/>
          <w:color w:val="000000" w:themeColor="text1"/>
          <w:sz w:val="28"/>
          <w:szCs w:val="28"/>
        </w:rPr>
        <w:lastRenderedPageBreak/>
        <w:t>1. Introduction</w:t>
      </w:r>
    </w:p>
    <w:p w14:paraId="2D5826C0" w14:textId="77777777" w:rsidR="00FF16CD" w:rsidRPr="00A10627" w:rsidRDefault="00D37076">
      <w:pPr>
        <w:pStyle w:val="Heading2"/>
        <w:spacing w:before="240" w:after="120"/>
        <w:rPr>
          <w:color w:val="000000" w:themeColor="text1"/>
        </w:rPr>
      </w:pPr>
      <w:r w:rsidRPr="00A10627">
        <w:rPr>
          <w:color w:val="000000" w:themeColor="text1"/>
        </w:rPr>
        <w:t>1.1 Case Citation &amp; Jurisdiction</w:t>
      </w:r>
    </w:p>
    <w:p w14:paraId="29D36234" w14:textId="77777777" w:rsidR="00FF16CD" w:rsidRPr="00A10627" w:rsidRDefault="00D37076">
      <w:pPr>
        <w:spacing w:after="160" w:line="300" w:lineRule="auto"/>
        <w:jc w:val="both"/>
        <w:rPr>
          <w:color w:val="000000" w:themeColor="text1"/>
        </w:rPr>
      </w:pPr>
      <w:r w:rsidRPr="00A10627">
        <w:rPr>
          <w:color w:val="000000" w:themeColor="text1"/>
        </w:rPr>
        <w:t>Case Name: ICICI Bank Ltd. v. Shanti Devi Sharma &amp; Ors.</w:t>
      </w:r>
    </w:p>
    <w:p w14:paraId="2D6B1F30" w14:textId="77777777" w:rsidR="00FF16CD" w:rsidRPr="00A10627" w:rsidRDefault="00D37076">
      <w:pPr>
        <w:spacing w:after="160" w:line="300" w:lineRule="auto"/>
        <w:jc w:val="both"/>
        <w:rPr>
          <w:color w:val="000000" w:themeColor="text1"/>
        </w:rPr>
      </w:pPr>
      <w:r w:rsidRPr="00A10627">
        <w:rPr>
          <w:color w:val="000000" w:themeColor="text1"/>
        </w:rPr>
        <w:t>Citation: (2008) 2 SCC 367</w:t>
      </w:r>
    </w:p>
    <w:p w14:paraId="0198340E" w14:textId="77777777" w:rsidR="00FF16CD" w:rsidRPr="00A10627" w:rsidRDefault="00D37076">
      <w:pPr>
        <w:spacing w:after="160" w:line="300" w:lineRule="auto"/>
        <w:jc w:val="both"/>
        <w:rPr>
          <w:color w:val="000000" w:themeColor="text1"/>
        </w:rPr>
      </w:pPr>
      <w:r w:rsidRPr="00A10627">
        <w:rPr>
          <w:color w:val="000000" w:themeColor="text1"/>
        </w:rPr>
        <w:t>Court: Supreme Court of India</w:t>
      </w:r>
    </w:p>
    <w:p w14:paraId="4711B8BB" w14:textId="77777777" w:rsidR="00FF16CD" w:rsidRPr="00A10627" w:rsidRDefault="00D37076">
      <w:pPr>
        <w:spacing w:after="160" w:line="300" w:lineRule="auto"/>
        <w:jc w:val="both"/>
        <w:rPr>
          <w:color w:val="000000" w:themeColor="text1"/>
        </w:rPr>
      </w:pPr>
      <w:r w:rsidRPr="00A10627">
        <w:rPr>
          <w:color w:val="000000" w:themeColor="text1"/>
        </w:rPr>
        <w:t>Year: 2008</w:t>
      </w:r>
    </w:p>
    <w:p w14:paraId="0DE8A7E4" w14:textId="77777777" w:rsidR="00FF16CD" w:rsidRPr="00A10627" w:rsidRDefault="00D37076">
      <w:pPr>
        <w:spacing w:after="160" w:line="300" w:lineRule="auto"/>
        <w:jc w:val="both"/>
        <w:rPr>
          <w:color w:val="000000" w:themeColor="text1"/>
        </w:rPr>
      </w:pPr>
      <w:r w:rsidRPr="00A10627">
        <w:rPr>
          <w:color w:val="000000" w:themeColor="text1"/>
        </w:rPr>
        <w:t xml:space="preserve">Judges: Justice </w:t>
      </w:r>
      <w:proofErr w:type="spellStart"/>
      <w:r w:rsidRPr="00A10627">
        <w:rPr>
          <w:color w:val="000000" w:themeColor="text1"/>
        </w:rPr>
        <w:t>Dalveer</w:t>
      </w:r>
      <w:proofErr w:type="spellEnd"/>
      <w:r w:rsidRPr="00A10627">
        <w:rPr>
          <w:color w:val="000000" w:themeColor="text1"/>
        </w:rPr>
        <w:t xml:space="preserve"> Bhandari and Justice Tarun Chatterjee</w:t>
      </w:r>
    </w:p>
    <w:p w14:paraId="317D9F7C" w14:textId="77777777" w:rsidR="00FF16CD" w:rsidRPr="00A10627" w:rsidRDefault="00D37076">
      <w:pPr>
        <w:spacing w:after="160" w:line="300" w:lineRule="auto"/>
        <w:jc w:val="both"/>
        <w:rPr>
          <w:color w:val="000000" w:themeColor="text1"/>
        </w:rPr>
      </w:pPr>
      <w:r w:rsidRPr="00A10627">
        <w:rPr>
          <w:color w:val="000000" w:themeColor="text1"/>
        </w:rPr>
        <w:t>The matter reached the Supreme Court after earlier proceedings before the Delhi High Court, and the Supreme Court delivered its judgment on 15 May 2008.</w:t>
      </w:r>
    </w:p>
    <w:p w14:paraId="3B5C20BA" w14:textId="77777777" w:rsidR="00FF16CD" w:rsidRPr="00A10627" w:rsidRDefault="00D37076">
      <w:pPr>
        <w:pStyle w:val="Heading2"/>
        <w:spacing w:before="240" w:after="120"/>
        <w:rPr>
          <w:color w:val="000000" w:themeColor="text1"/>
        </w:rPr>
      </w:pPr>
      <w:r w:rsidRPr="00A10627">
        <w:rPr>
          <w:color w:val="000000" w:themeColor="text1"/>
        </w:rPr>
        <w:t>1.2 Overview of the Case</w:t>
      </w:r>
    </w:p>
    <w:p w14:paraId="586060C0" w14:textId="77777777" w:rsidR="00FF16CD" w:rsidRPr="00A10627" w:rsidRDefault="00D37076">
      <w:pPr>
        <w:spacing w:after="160" w:line="300" w:lineRule="auto"/>
        <w:jc w:val="both"/>
        <w:rPr>
          <w:color w:val="000000" w:themeColor="text1"/>
        </w:rPr>
      </w:pPr>
      <w:r w:rsidRPr="00A10627">
        <w:rPr>
          <w:color w:val="000000" w:themeColor="text1"/>
        </w:rPr>
        <w:t>ICICI Bank Ltd. v. Shanti Devi Sharma is a significant ruling on how banks may go about recovering money from borrowers who default on their loans.</w:t>
      </w:r>
    </w:p>
    <w:p w14:paraId="046C9625" w14:textId="77777777" w:rsidR="00FF16CD" w:rsidRPr="00A10627" w:rsidRDefault="00D37076">
      <w:pPr>
        <w:spacing w:after="160" w:line="300" w:lineRule="auto"/>
        <w:jc w:val="both"/>
        <w:rPr>
          <w:color w:val="000000" w:themeColor="text1"/>
        </w:rPr>
      </w:pPr>
      <w:r w:rsidRPr="00A10627">
        <w:rPr>
          <w:color w:val="000000" w:themeColor="text1"/>
        </w:rPr>
        <w:t>The dispute arose after a young borrower allegedly died by suicide following the repossession of his motorcycle by recovery agents acting for ICICI Bank. His mother, Shanti Devi Sharma, approached the Delhi High Court to complain about the conduct of these agents.</w:t>
      </w:r>
    </w:p>
    <w:p w14:paraId="54C8CE99" w14:textId="77777777" w:rsidR="00FF16CD" w:rsidRPr="00A10627" w:rsidRDefault="00D37076">
      <w:pPr>
        <w:spacing w:after="160" w:line="300" w:lineRule="auto"/>
        <w:jc w:val="both"/>
        <w:rPr>
          <w:color w:val="000000" w:themeColor="text1"/>
        </w:rPr>
      </w:pPr>
      <w:r w:rsidRPr="00A10627">
        <w:rPr>
          <w:color w:val="000000" w:themeColor="text1"/>
        </w:rPr>
        <w:t xml:space="preserve">The Delhi High Court made pointed observations about the use of force and intimidation by recovery agents. Unhappy </w:t>
      </w:r>
      <w:r w:rsidRPr="00A10627">
        <w:rPr>
          <w:color w:val="000000" w:themeColor="text1"/>
        </w:rPr>
        <w:t>with these remarks, ICICI Bank approached the Supreme Court seeking to have them removed or clarified.</w:t>
      </w:r>
    </w:p>
    <w:p w14:paraId="36AAB686" w14:textId="77777777" w:rsidR="00FF16CD" w:rsidRPr="00A10627" w:rsidRDefault="00D37076">
      <w:pPr>
        <w:spacing w:after="160" w:line="300" w:lineRule="auto"/>
        <w:jc w:val="both"/>
        <w:rPr>
          <w:color w:val="000000" w:themeColor="text1"/>
        </w:rPr>
      </w:pPr>
      <w:r w:rsidRPr="00A10627">
        <w:rPr>
          <w:color w:val="000000" w:themeColor="text1"/>
        </w:rPr>
        <w:t>While the specific question before the Supreme Court was whether the High Court's observations should stay on record, the Court used the occasion to lay down a broader principle: banks are entitled to recover genuine dues, but only through lawful and reasonable means.</w:t>
      </w:r>
    </w:p>
    <w:p w14:paraId="4E28FE95" w14:textId="77777777" w:rsidR="00FF16CD" w:rsidRPr="00A10627" w:rsidRDefault="00D37076">
      <w:pPr>
        <w:spacing w:after="160" w:line="300" w:lineRule="auto"/>
        <w:jc w:val="both"/>
        <w:rPr>
          <w:color w:val="000000" w:themeColor="text1"/>
        </w:rPr>
      </w:pPr>
      <w:r w:rsidRPr="00A10627">
        <w:rPr>
          <w:color w:val="000000" w:themeColor="text1"/>
        </w:rPr>
        <w:t>The judgment therefore carries weight well beyond banking law — it speaks directly to consumer protection and business ethics, making clear that a borrower's default does not entitle a bank or its agents to threaten, humiliate or intimidate that borrower.</w:t>
      </w:r>
    </w:p>
    <w:p w14:paraId="15BB740C" w14:textId="77777777" w:rsidR="00FF16CD" w:rsidRPr="00A10627" w:rsidRDefault="00D37076">
      <w:pPr>
        <w:pStyle w:val="Heading1"/>
        <w:spacing w:before="320" w:after="160"/>
        <w:rPr>
          <w:b/>
          <w:bCs/>
          <w:color w:val="000000" w:themeColor="text1"/>
          <w:sz w:val="28"/>
          <w:szCs w:val="28"/>
        </w:rPr>
      </w:pPr>
      <w:r w:rsidRPr="00A10627">
        <w:rPr>
          <w:b/>
          <w:bCs/>
          <w:color w:val="000000" w:themeColor="text1"/>
          <w:sz w:val="28"/>
          <w:szCs w:val="28"/>
        </w:rPr>
        <w:t>2. Facts of the Case</w:t>
      </w:r>
    </w:p>
    <w:p w14:paraId="535FA2A3" w14:textId="77777777" w:rsidR="00FF16CD" w:rsidRPr="00A10627" w:rsidRDefault="00D37076">
      <w:pPr>
        <w:pStyle w:val="Heading2"/>
        <w:spacing w:before="240" w:after="120"/>
        <w:rPr>
          <w:color w:val="000000" w:themeColor="text1"/>
        </w:rPr>
      </w:pPr>
      <w:r w:rsidRPr="00A10627">
        <w:rPr>
          <w:color w:val="000000" w:themeColor="text1"/>
        </w:rPr>
        <w:t>2.1 Chronological Summary of Events</w:t>
      </w:r>
    </w:p>
    <w:p w14:paraId="16EF1C7C" w14:textId="77777777" w:rsidR="00FF16CD" w:rsidRPr="00A10627" w:rsidRDefault="00D37076">
      <w:pPr>
        <w:spacing w:after="160" w:line="300" w:lineRule="auto"/>
        <w:jc w:val="both"/>
        <w:rPr>
          <w:color w:val="000000" w:themeColor="text1"/>
        </w:rPr>
      </w:pPr>
      <w:r w:rsidRPr="00A10627">
        <w:rPr>
          <w:color w:val="000000" w:themeColor="text1"/>
        </w:rPr>
        <w:t>The respondent's son had taken a loan from ICICI Bank to purchase a two-wheeler, along with a separate personal loan. Over time, he reportedly fell behind on repayments for both.</w:t>
      </w:r>
    </w:p>
    <w:p w14:paraId="6E248FA5" w14:textId="77777777" w:rsidR="00FF16CD" w:rsidRPr="00A10627" w:rsidRDefault="00D37076">
      <w:pPr>
        <w:spacing w:after="160" w:line="300" w:lineRule="auto"/>
        <w:jc w:val="both"/>
        <w:rPr>
          <w:color w:val="000000" w:themeColor="text1"/>
        </w:rPr>
      </w:pPr>
      <w:r w:rsidRPr="00A10627">
        <w:rPr>
          <w:color w:val="000000" w:themeColor="text1"/>
        </w:rPr>
        <w:t>According to the FIR filed by his mother, two recovery agents came to his residence on 16 October 2005 and took away his motorcycle. It was alleged that the agents entered his bedroom and repossessed the vehicle in front of his friends, causing him considerable embarrassment.</w:t>
      </w:r>
    </w:p>
    <w:p w14:paraId="0BA79B8A" w14:textId="77777777" w:rsidR="00FF16CD" w:rsidRPr="00A10627" w:rsidRDefault="00D37076">
      <w:pPr>
        <w:spacing w:after="160" w:line="300" w:lineRule="auto"/>
        <w:jc w:val="both"/>
        <w:rPr>
          <w:color w:val="000000" w:themeColor="text1"/>
        </w:rPr>
      </w:pPr>
      <w:r w:rsidRPr="00A10627">
        <w:rPr>
          <w:color w:val="000000" w:themeColor="text1"/>
        </w:rPr>
        <w:t>The motorcycle mattered to him beyond its resale value — he used it for his small restaurant business. After it was repossessed, he reportedly had to carry goods by hand, and his mother said neighbours made unkind remarks about his situation.</w:t>
      </w:r>
    </w:p>
    <w:p w14:paraId="3806B481" w14:textId="77777777" w:rsidR="00FF16CD" w:rsidRPr="00A10627" w:rsidRDefault="00D37076">
      <w:pPr>
        <w:spacing w:after="160" w:line="300" w:lineRule="auto"/>
        <w:jc w:val="both"/>
        <w:rPr>
          <w:color w:val="000000" w:themeColor="text1"/>
        </w:rPr>
      </w:pPr>
      <w:r w:rsidRPr="00A10627">
        <w:rPr>
          <w:color w:val="000000" w:themeColor="text1"/>
        </w:rPr>
        <w:lastRenderedPageBreak/>
        <w:t>He died by suicide later that same day.</w:t>
      </w:r>
    </w:p>
    <w:p w14:paraId="74479B9E" w14:textId="77777777" w:rsidR="00FF16CD" w:rsidRPr="00A10627" w:rsidRDefault="00D37076">
      <w:pPr>
        <w:spacing w:after="160" w:line="300" w:lineRule="auto"/>
        <w:jc w:val="both"/>
        <w:rPr>
          <w:color w:val="000000" w:themeColor="text1"/>
        </w:rPr>
      </w:pPr>
      <w:r w:rsidRPr="00A10627">
        <w:rPr>
          <w:color w:val="000000" w:themeColor="text1"/>
        </w:rPr>
        <w:t>His mother filed an FIR on 29 November 2005, alleging that the humiliation inflicted by the recovery agents had contributed to his death.</w:t>
      </w:r>
    </w:p>
    <w:p w14:paraId="7A29E5AB" w14:textId="77777777" w:rsidR="00FF16CD" w:rsidRPr="00A10627" w:rsidRDefault="00D37076">
      <w:pPr>
        <w:spacing w:after="160" w:line="300" w:lineRule="auto"/>
        <w:jc w:val="both"/>
        <w:rPr>
          <w:color w:val="000000" w:themeColor="text1"/>
        </w:rPr>
      </w:pPr>
      <w:r w:rsidRPr="00A10627">
        <w:rPr>
          <w:color w:val="000000" w:themeColor="text1"/>
        </w:rPr>
        <w:t>Shanti Devi Sharma then moved the Delhi High Court through a writ petition, asking the Court to direct the police to properly investigate the matter.</w:t>
      </w:r>
    </w:p>
    <w:p w14:paraId="345CD944" w14:textId="77777777" w:rsidR="00FF16CD" w:rsidRPr="00A10627" w:rsidRDefault="00D37076">
      <w:pPr>
        <w:spacing w:after="160" w:line="300" w:lineRule="auto"/>
        <w:jc w:val="both"/>
        <w:rPr>
          <w:color w:val="000000" w:themeColor="text1"/>
        </w:rPr>
      </w:pPr>
      <w:r w:rsidRPr="00A10627">
        <w:rPr>
          <w:color w:val="000000" w:themeColor="text1"/>
        </w:rPr>
        <w:t>Finding the pace of the investigation unsatisfactory, the Delhi High Court, on 13 July 2006, directed the investigating officer to complete the investigation and take appropriate action against anyone found to have abetted the suicide.</w:t>
      </w:r>
    </w:p>
    <w:p w14:paraId="6907E130" w14:textId="77777777" w:rsidR="00FF16CD" w:rsidRPr="00A10627" w:rsidRDefault="00D37076">
      <w:pPr>
        <w:spacing w:after="160" w:line="300" w:lineRule="auto"/>
        <w:jc w:val="both"/>
        <w:rPr>
          <w:color w:val="000000" w:themeColor="text1"/>
        </w:rPr>
      </w:pPr>
      <w:r w:rsidRPr="00A10627">
        <w:rPr>
          <w:color w:val="000000" w:themeColor="text1"/>
        </w:rPr>
        <w:t>The High Court also made strong observations about banks reportedly using “musclemen” for recovery, holding that even a defaulting borrower cannot lawfully be subjected to force or extra-legal pressure.</w:t>
      </w:r>
    </w:p>
    <w:p w14:paraId="6E56E652" w14:textId="77777777" w:rsidR="00FF16CD" w:rsidRPr="00A10627" w:rsidRDefault="00D37076">
      <w:pPr>
        <w:spacing w:after="160" w:line="300" w:lineRule="auto"/>
        <w:jc w:val="both"/>
        <w:rPr>
          <w:color w:val="000000" w:themeColor="text1"/>
        </w:rPr>
      </w:pPr>
      <w:r w:rsidRPr="00A10627">
        <w:rPr>
          <w:color w:val="000000" w:themeColor="text1"/>
        </w:rPr>
        <w:t>ICICI Bank objected, arguing that these comments had been made while the investigation was still pending and risked prejudicing the Bank and its employees.</w:t>
      </w:r>
    </w:p>
    <w:p w14:paraId="16CEC99C" w14:textId="77777777" w:rsidR="00FF16CD" w:rsidRPr="00A10627" w:rsidRDefault="00D37076">
      <w:pPr>
        <w:spacing w:after="160" w:line="300" w:lineRule="auto"/>
        <w:jc w:val="both"/>
        <w:rPr>
          <w:color w:val="000000" w:themeColor="text1"/>
        </w:rPr>
      </w:pPr>
      <w:r w:rsidRPr="00A10627">
        <w:rPr>
          <w:color w:val="000000" w:themeColor="text1"/>
        </w:rPr>
        <w:t>The Bank asked the High Court to delete or clarify the observations. The High Court declined to delete them but clarified that they would not influence any future proceedings against the Bank or its staff.</w:t>
      </w:r>
    </w:p>
    <w:p w14:paraId="161915DB" w14:textId="77777777" w:rsidR="00FF16CD" w:rsidRPr="00A10627" w:rsidRDefault="00D37076">
      <w:pPr>
        <w:spacing w:after="160" w:line="300" w:lineRule="auto"/>
        <w:jc w:val="both"/>
        <w:rPr>
          <w:color w:val="000000" w:themeColor="text1"/>
        </w:rPr>
      </w:pPr>
      <w:r w:rsidRPr="00A10627">
        <w:rPr>
          <w:color w:val="000000" w:themeColor="text1"/>
        </w:rPr>
        <w:t>ICICI Bank then appealed to the Supreme Court.</w:t>
      </w:r>
    </w:p>
    <w:p w14:paraId="5B681E2A" w14:textId="77777777" w:rsidR="00FF16CD" w:rsidRPr="00A10627" w:rsidRDefault="00D37076">
      <w:pPr>
        <w:pStyle w:val="Heading2"/>
        <w:spacing w:before="240" w:after="120"/>
        <w:rPr>
          <w:color w:val="000000" w:themeColor="text1"/>
        </w:rPr>
      </w:pPr>
      <w:r w:rsidRPr="00A10627">
        <w:rPr>
          <w:color w:val="000000" w:themeColor="text1"/>
        </w:rPr>
        <w:t>2.2 Commercial Context of the Case</w:t>
      </w:r>
    </w:p>
    <w:p w14:paraId="445A2685" w14:textId="77777777" w:rsidR="00FF16CD" w:rsidRPr="00A10627" w:rsidRDefault="00D37076">
      <w:pPr>
        <w:spacing w:after="160" w:line="300" w:lineRule="auto"/>
        <w:jc w:val="both"/>
        <w:rPr>
          <w:color w:val="000000" w:themeColor="text1"/>
        </w:rPr>
      </w:pPr>
      <w:r w:rsidRPr="00A10627">
        <w:rPr>
          <w:color w:val="000000" w:themeColor="text1"/>
        </w:rPr>
        <w:t>The case also brings into focus a recurring issue in the banking industry: the outsourcing of debt recovery.</w:t>
      </w:r>
    </w:p>
    <w:p w14:paraId="5184A06B" w14:textId="77777777" w:rsidR="00FF16CD" w:rsidRPr="00A10627" w:rsidRDefault="00D37076">
      <w:pPr>
        <w:spacing w:after="160" w:line="300" w:lineRule="auto"/>
        <w:jc w:val="both"/>
        <w:rPr>
          <w:color w:val="000000" w:themeColor="text1"/>
        </w:rPr>
      </w:pPr>
      <w:r w:rsidRPr="00A10627">
        <w:rPr>
          <w:color w:val="000000" w:themeColor="text1"/>
        </w:rPr>
        <w:t>Banks frequently engage third-party recovery agencies to contact defaulting borrowers and collect dues. Outsourcing can make recovery more efficient, but it also opens the door to improper conduct by agents who are not directly supervised by the bank.</w:t>
      </w:r>
    </w:p>
    <w:p w14:paraId="680B1C7C" w14:textId="77777777" w:rsidR="00FF16CD" w:rsidRPr="00A10627" w:rsidRDefault="00D37076">
      <w:pPr>
        <w:spacing w:after="160" w:line="300" w:lineRule="auto"/>
        <w:jc w:val="both"/>
        <w:rPr>
          <w:color w:val="000000" w:themeColor="text1"/>
        </w:rPr>
      </w:pPr>
      <w:r w:rsidRPr="00A10627">
        <w:rPr>
          <w:color w:val="000000" w:themeColor="text1"/>
        </w:rPr>
        <w:t>This raises an important question: can a bank distance itself from liability simply because the person at fault is an external agent rather than an employee?</w:t>
      </w:r>
    </w:p>
    <w:p w14:paraId="0D50A54E" w14:textId="77777777" w:rsidR="00FF16CD" w:rsidRPr="00A10627" w:rsidRDefault="00D37076">
      <w:pPr>
        <w:spacing w:after="160" w:line="300" w:lineRule="auto"/>
        <w:jc w:val="both"/>
        <w:rPr>
          <w:color w:val="000000" w:themeColor="text1"/>
        </w:rPr>
      </w:pPr>
      <w:r w:rsidRPr="00A10627">
        <w:rPr>
          <w:color w:val="000000" w:themeColor="text1"/>
        </w:rPr>
        <w:t>The case answers this in the negative — a bank cannot walk away from responsibility for the conduct of agents it has appointed to recover its money.</w:t>
      </w:r>
    </w:p>
    <w:p w14:paraId="69E25628" w14:textId="77777777" w:rsidR="00FF16CD" w:rsidRPr="00A10627" w:rsidRDefault="00D37076">
      <w:pPr>
        <w:spacing w:after="160" w:line="300" w:lineRule="auto"/>
        <w:jc w:val="both"/>
        <w:rPr>
          <w:color w:val="000000" w:themeColor="text1"/>
        </w:rPr>
      </w:pPr>
      <w:r w:rsidRPr="00A10627">
        <w:rPr>
          <w:color w:val="000000" w:themeColor="text1"/>
        </w:rPr>
        <w:t>This is especially relevant today, as banks, NBFCs and fintech companies increasingly rely on third-party agencies, call centres and technology-driven collection systems.</w:t>
      </w:r>
    </w:p>
    <w:p w14:paraId="2B103EE8" w14:textId="77777777" w:rsidR="00FF16CD" w:rsidRPr="00A10627" w:rsidRDefault="00D37076">
      <w:pPr>
        <w:pStyle w:val="Heading1"/>
        <w:spacing w:before="320" w:after="160"/>
        <w:rPr>
          <w:b/>
          <w:bCs/>
          <w:color w:val="000000" w:themeColor="text1"/>
          <w:sz w:val="28"/>
          <w:szCs w:val="28"/>
        </w:rPr>
      </w:pPr>
      <w:r w:rsidRPr="00A10627">
        <w:rPr>
          <w:b/>
          <w:bCs/>
          <w:color w:val="000000" w:themeColor="text1"/>
          <w:sz w:val="28"/>
          <w:szCs w:val="28"/>
        </w:rPr>
        <w:t>3. Legal Issue</w:t>
      </w:r>
    </w:p>
    <w:p w14:paraId="294A2638" w14:textId="77777777" w:rsidR="00FF16CD" w:rsidRPr="00A10627" w:rsidRDefault="00D37076">
      <w:pPr>
        <w:pStyle w:val="Heading2"/>
        <w:spacing w:before="240" w:after="120"/>
        <w:rPr>
          <w:color w:val="000000" w:themeColor="text1"/>
        </w:rPr>
      </w:pPr>
      <w:r w:rsidRPr="00A10627">
        <w:rPr>
          <w:color w:val="000000" w:themeColor="text1"/>
        </w:rPr>
        <w:t>3.1 Main Legal Question</w:t>
      </w:r>
    </w:p>
    <w:p w14:paraId="1CA90751" w14:textId="77777777" w:rsidR="00FF16CD" w:rsidRPr="00A10627" w:rsidRDefault="00D37076">
      <w:pPr>
        <w:spacing w:after="160" w:line="300" w:lineRule="auto"/>
        <w:jc w:val="both"/>
        <w:rPr>
          <w:color w:val="000000" w:themeColor="text1"/>
        </w:rPr>
      </w:pPr>
      <w:r w:rsidRPr="00A10627">
        <w:rPr>
          <w:color w:val="000000" w:themeColor="text1"/>
        </w:rPr>
        <w:t>The central question before the Supreme Court was whether the Delhi High Court's strong observations should be struck from its order while the criminal investigation was still ongoing.</w:t>
      </w:r>
    </w:p>
    <w:p w14:paraId="1B8A6128" w14:textId="77777777" w:rsidR="00FF16CD" w:rsidRPr="00A10627" w:rsidRDefault="00D37076">
      <w:pPr>
        <w:spacing w:after="160" w:line="300" w:lineRule="auto"/>
        <w:jc w:val="both"/>
        <w:rPr>
          <w:color w:val="000000" w:themeColor="text1"/>
        </w:rPr>
      </w:pPr>
      <w:r w:rsidRPr="00A10627">
        <w:rPr>
          <w:color w:val="000000" w:themeColor="text1"/>
        </w:rPr>
        <w:t>Put simply: can a court comment critically on a bank's conduct while an investigation is in progress, or should such comments be removed on the ground that they might prejudice the parties?</w:t>
      </w:r>
    </w:p>
    <w:p w14:paraId="26BDEDE3" w14:textId="77777777" w:rsidR="00FF16CD" w:rsidRPr="00A10627" w:rsidRDefault="00D37076">
      <w:pPr>
        <w:spacing w:after="160" w:line="300" w:lineRule="auto"/>
        <w:jc w:val="both"/>
        <w:rPr>
          <w:color w:val="000000" w:themeColor="text1"/>
        </w:rPr>
      </w:pPr>
      <w:r w:rsidRPr="00A10627">
        <w:rPr>
          <w:color w:val="000000" w:themeColor="text1"/>
        </w:rPr>
        <w:t>The Supreme Court had to weigh two competing interests. ICICI Bank argued that unproven allegations should not remain on record in a way that could damage its reputation. The respondents argued that the High Court was justified in stressing the seriousness of the allegations and the need for a proper investigation.</w:t>
      </w:r>
    </w:p>
    <w:p w14:paraId="5F5BD356" w14:textId="77777777" w:rsidR="00FF16CD" w:rsidRPr="00A10627" w:rsidRDefault="00D37076">
      <w:pPr>
        <w:pStyle w:val="Heading2"/>
        <w:spacing w:before="240" w:after="120"/>
        <w:rPr>
          <w:color w:val="000000" w:themeColor="text1"/>
        </w:rPr>
      </w:pPr>
      <w:r w:rsidRPr="00A10627">
        <w:rPr>
          <w:color w:val="000000" w:themeColor="text1"/>
        </w:rPr>
        <w:lastRenderedPageBreak/>
        <w:t>3.2 Arguments of ICICI Bank</w:t>
      </w:r>
    </w:p>
    <w:p w14:paraId="60C77B15" w14:textId="77777777" w:rsidR="00FF16CD" w:rsidRPr="00A10627" w:rsidRDefault="00D37076">
      <w:pPr>
        <w:spacing w:after="160" w:line="300" w:lineRule="auto"/>
        <w:jc w:val="both"/>
        <w:rPr>
          <w:color w:val="000000" w:themeColor="text1"/>
        </w:rPr>
      </w:pPr>
      <w:r w:rsidRPr="00A10627">
        <w:rPr>
          <w:color w:val="000000" w:themeColor="text1"/>
        </w:rPr>
        <w:t>ICICI Bank contended that the High Court's observations were not necessary to decide the actual question before it.</w:t>
      </w:r>
    </w:p>
    <w:p w14:paraId="5FC9C399" w14:textId="77777777" w:rsidR="00FF16CD" w:rsidRPr="00A10627" w:rsidRDefault="00D37076">
      <w:pPr>
        <w:spacing w:after="160" w:line="300" w:lineRule="auto"/>
        <w:jc w:val="both"/>
        <w:rPr>
          <w:color w:val="000000" w:themeColor="text1"/>
        </w:rPr>
      </w:pPr>
      <w:r w:rsidRPr="00A10627">
        <w:rPr>
          <w:color w:val="000000" w:themeColor="text1"/>
        </w:rPr>
        <w:t>Since the investigation was still underway and no one had been held guilty, the Bank argued that describing the recovery agents in strong terms and linking their conduct to the death could create an impression that guilt had already been established.</w:t>
      </w:r>
    </w:p>
    <w:p w14:paraId="5A619ECB" w14:textId="77777777" w:rsidR="00FF16CD" w:rsidRPr="00A10627" w:rsidRDefault="00D37076">
      <w:pPr>
        <w:spacing w:after="160" w:line="300" w:lineRule="auto"/>
        <w:jc w:val="both"/>
        <w:rPr>
          <w:color w:val="000000" w:themeColor="text1"/>
        </w:rPr>
      </w:pPr>
      <w:r w:rsidRPr="00A10627">
        <w:rPr>
          <w:color w:val="000000" w:themeColor="text1"/>
        </w:rPr>
        <w:t>It expressed concern that such remarks could harm its reputation and possibly influence future proceedings, and asked that the observations be deleted or, failing that, clarified so they would not be treated as findings of fact.</w:t>
      </w:r>
    </w:p>
    <w:p w14:paraId="6E15C642" w14:textId="77777777" w:rsidR="00FF16CD" w:rsidRPr="00A10627" w:rsidRDefault="00D37076">
      <w:pPr>
        <w:pStyle w:val="Heading2"/>
        <w:spacing w:before="240" w:after="120"/>
        <w:rPr>
          <w:color w:val="000000" w:themeColor="text1"/>
        </w:rPr>
      </w:pPr>
      <w:r w:rsidRPr="00A10627">
        <w:rPr>
          <w:color w:val="000000" w:themeColor="text1"/>
        </w:rPr>
        <w:t>3.3 Arguments of the Respondents</w:t>
      </w:r>
    </w:p>
    <w:p w14:paraId="5463BD20" w14:textId="77777777" w:rsidR="00FF16CD" w:rsidRPr="00A10627" w:rsidRDefault="00D37076">
      <w:pPr>
        <w:spacing w:after="160" w:line="300" w:lineRule="auto"/>
        <w:jc w:val="both"/>
        <w:rPr>
          <w:color w:val="000000" w:themeColor="text1"/>
        </w:rPr>
      </w:pPr>
      <w:r w:rsidRPr="00A10627">
        <w:rPr>
          <w:color w:val="000000" w:themeColor="text1"/>
        </w:rPr>
        <w:t>The respondents defended the High Court's observations, arguing that the Court had a duty to flag the seriousness of the allegations, particularly given the inadequacy of the police investigation.</w:t>
      </w:r>
    </w:p>
    <w:p w14:paraId="115B44E0" w14:textId="77777777" w:rsidR="00FF16CD" w:rsidRPr="00A10627" w:rsidRDefault="00D37076">
      <w:pPr>
        <w:spacing w:after="160" w:line="300" w:lineRule="auto"/>
        <w:jc w:val="both"/>
        <w:rPr>
          <w:color w:val="000000" w:themeColor="text1"/>
        </w:rPr>
      </w:pPr>
      <w:r w:rsidRPr="00A10627">
        <w:rPr>
          <w:color w:val="000000" w:themeColor="text1"/>
        </w:rPr>
        <w:t>They pointed out that the observations were not meant to determine anyone's guilt, and that the High Court had already clarified that its remarks would not affect the outcome of the investigation or any future proceedings.</w:t>
      </w:r>
    </w:p>
    <w:p w14:paraId="756E0D74" w14:textId="77777777" w:rsidR="00FF16CD" w:rsidRPr="00A10627" w:rsidRDefault="00D37076">
      <w:pPr>
        <w:spacing w:after="160" w:line="300" w:lineRule="auto"/>
        <w:jc w:val="both"/>
        <w:rPr>
          <w:color w:val="000000" w:themeColor="text1"/>
        </w:rPr>
      </w:pPr>
      <w:r w:rsidRPr="00A10627">
        <w:rPr>
          <w:color w:val="000000" w:themeColor="text1"/>
        </w:rPr>
        <w:t>They also raised the broader concern of aggressive recovery practices by banks, arguing that a loan default should never expose a borrower to intimidation.</w:t>
      </w:r>
    </w:p>
    <w:p w14:paraId="1A07114E" w14:textId="77777777" w:rsidR="00FF16CD" w:rsidRPr="00A10627" w:rsidRDefault="00D37076">
      <w:pPr>
        <w:pStyle w:val="Heading1"/>
        <w:spacing w:before="320" w:after="160"/>
        <w:rPr>
          <w:b/>
          <w:bCs/>
          <w:color w:val="000000" w:themeColor="text1"/>
          <w:sz w:val="28"/>
          <w:szCs w:val="28"/>
        </w:rPr>
      </w:pPr>
      <w:r w:rsidRPr="00A10627">
        <w:rPr>
          <w:b/>
          <w:bCs/>
          <w:color w:val="000000" w:themeColor="text1"/>
          <w:sz w:val="28"/>
          <w:szCs w:val="28"/>
        </w:rPr>
        <w:t>4. Judgment</w:t>
      </w:r>
    </w:p>
    <w:p w14:paraId="1C2FA20C" w14:textId="77777777" w:rsidR="00FF16CD" w:rsidRPr="00A10627" w:rsidRDefault="00D37076">
      <w:pPr>
        <w:pStyle w:val="Heading2"/>
        <w:spacing w:before="240" w:after="120"/>
        <w:rPr>
          <w:color w:val="000000" w:themeColor="text1"/>
        </w:rPr>
      </w:pPr>
      <w:r w:rsidRPr="00A10627">
        <w:rPr>
          <w:color w:val="000000" w:themeColor="text1"/>
        </w:rPr>
        <w:t>4.1 Decision of the Supreme Court</w:t>
      </w:r>
    </w:p>
    <w:p w14:paraId="6A686F7D" w14:textId="77777777" w:rsidR="00FF16CD" w:rsidRPr="00A10627" w:rsidRDefault="00D37076">
      <w:pPr>
        <w:spacing w:after="160" w:line="300" w:lineRule="auto"/>
        <w:jc w:val="both"/>
        <w:rPr>
          <w:color w:val="000000" w:themeColor="text1"/>
        </w:rPr>
      </w:pPr>
      <w:r w:rsidRPr="00A10627">
        <w:rPr>
          <w:color w:val="000000" w:themeColor="text1"/>
        </w:rPr>
        <w:t>The Supreme Court declined to delete the Delhi High Court's observations.</w:t>
      </w:r>
    </w:p>
    <w:p w14:paraId="4389F30A" w14:textId="77777777" w:rsidR="00FF16CD" w:rsidRPr="00A10627" w:rsidRDefault="00D37076">
      <w:pPr>
        <w:spacing w:after="160" w:line="300" w:lineRule="auto"/>
        <w:jc w:val="both"/>
        <w:rPr>
          <w:color w:val="000000" w:themeColor="text1"/>
        </w:rPr>
      </w:pPr>
      <w:r w:rsidRPr="00A10627">
        <w:rPr>
          <w:color w:val="000000" w:themeColor="text1"/>
        </w:rPr>
        <w:t>It did note, however, that the High Court could have been more careful given that the investigation was still pending, and that allegations should have been presented clearly as allegations rather than as established facts.</w:t>
      </w:r>
    </w:p>
    <w:p w14:paraId="1E3D9E4D" w14:textId="77777777" w:rsidR="00FF16CD" w:rsidRPr="00A10627" w:rsidRDefault="00D37076">
      <w:pPr>
        <w:spacing w:after="160" w:line="300" w:lineRule="auto"/>
        <w:jc w:val="both"/>
        <w:rPr>
          <w:color w:val="000000" w:themeColor="text1"/>
        </w:rPr>
      </w:pPr>
      <w:r w:rsidRPr="00A10627">
        <w:rPr>
          <w:color w:val="000000" w:themeColor="text1"/>
        </w:rPr>
        <w:t>At the same time, the Court took into account that the High Court had already clarified that its observations would not influence the investigation or subsequent proceedings. On that basis, the Bank was unable to show any real, practical prejudice that would justify removing the observations altogether.</w:t>
      </w:r>
    </w:p>
    <w:p w14:paraId="3CEEB761" w14:textId="77777777" w:rsidR="00FF16CD" w:rsidRPr="00A10627" w:rsidRDefault="00D37076">
      <w:pPr>
        <w:spacing w:after="160" w:line="300" w:lineRule="auto"/>
        <w:jc w:val="both"/>
        <w:rPr>
          <w:color w:val="000000" w:themeColor="text1"/>
        </w:rPr>
      </w:pPr>
      <w:r w:rsidRPr="00A10627">
        <w:rPr>
          <w:color w:val="000000" w:themeColor="text1"/>
        </w:rPr>
        <w:t>The Supreme Court directed that the investigation be completed within three months, with a report to be submitted to the High Court, and ordered ICICI Bank to pay Rs. 25,000 as costs to the respondents.</w:t>
      </w:r>
    </w:p>
    <w:p w14:paraId="2CFDE20D" w14:textId="77777777" w:rsidR="00FF16CD" w:rsidRPr="00A10627" w:rsidRDefault="00D37076">
      <w:pPr>
        <w:pStyle w:val="Heading2"/>
        <w:spacing w:before="240" w:after="120"/>
        <w:rPr>
          <w:color w:val="000000" w:themeColor="text1"/>
        </w:rPr>
      </w:pPr>
      <w:r w:rsidRPr="00A10627">
        <w:rPr>
          <w:color w:val="000000" w:themeColor="text1"/>
        </w:rPr>
        <w:t>4.2 Important Legal Reasoning</w:t>
      </w:r>
    </w:p>
    <w:p w14:paraId="22D5D016" w14:textId="77777777" w:rsidR="00FF16CD" w:rsidRPr="00A10627" w:rsidRDefault="00D37076">
      <w:pPr>
        <w:spacing w:after="160" w:line="300" w:lineRule="auto"/>
        <w:jc w:val="both"/>
        <w:rPr>
          <w:color w:val="000000" w:themeColor="text1"/>
        </w:rPr>
      </w:pPr>
      <w:r w:rsidRPr="00A10627">
        <w:rPr>
          <w:color w:val="000000" w:themeColor="text1"/>
        </w:rPr>
        <w:t>A key part of the judgment concerns the relationship between banks and borrowers. The Court made clear that banks and financial institutions must operate within the law even when dealing with a defaulting borrower — the right to recover a debt is not a licence to use any method whatsoever.</w:t>
      </w:r>
    </w:p>
    <w:p w14:paraId="7F9C9AC7" w14:textId="77777777" w:rsidR="00FF16CD" w:rsidRPr="00A10627" w:rsidRDefault="00D37076">
      <w:pPr>
        <w:spacing w:after="160" w:line="300" w:lineRule="auto"/>
        <w:jc w:val="both"/>
        <w:rPr>
          <w:color w:val="000000" w:themeColor="text1"/>
        </w:rPr>
      </w:pPr>
      <w:r w:rsidRPr="00A10627">
        <w:rPr>
          <w:color w:val="000000" w:themeColor="text1"/>
        </w:rPr>
        <w:t>The Court referred to the legal mechanisms available for enforcing security interests, including the Securitisation and Reconstruction of Financial Assets and Enforcement of Security Interest Act, 2002 (SARFAESI Act), as well as the Reserve Bank of India's guidelines on fair recovery practices.</w:t>
      </w:r>
    </w:p>
    <w:p w14:paraId="35EACCBD" w14:textId="77777777" w:rsidR="00FF16CD" w:rsidRPr="00A10627" w:rsidRDefault="00D37076">
      <w:pPr>
        <w:spacing w:after="160" w:line="300" w:lineRule="auto"/>
        <w:jc w:val="both"/>
        <w:rPr>
          <w:color w:val="000000" w:themeColor="text1"/>
        </w:rPr>
      </w:pPr>
      <w:r w:rsidRPr="00A10627">
        <w:rPr>
          <w:color w:val="000000" w:themeColor="text1"/>
        </w:rPr>
        <w:t>These RBI guidelines require recovery agents to conduct themselves properly — identifying themselves, contacting borrowers at reasonable times and places, and steering clear of harassment or force.</w:t>
      </w:r>
    </w:p>
    <w:p w14:paraId="0BBD3FA9" w14:textId="77777777" w:rsidR="00FF16CD" w:rsidRPr="00A10627" w:rsidRDefault="00D37076">
      <w:pPr>
        <w:spacing w:after="160" w:line="300" w:lineRule="auto"/>
        <w:jc w:val="both"/>
        <w:rPr>
          <w:color w:val="000000" w:themeColor="text1"/>
        </w:rPr>
      </w:pPr>
      <w:r w:rsidRPr="00A10627">
        <w:rPr>
          <w:color w:val="000000" w:themeColor="text1"/>
        </w:rPr>
        <w:lastRenderedPageBreak/>
        <w:t>The Court's message was direct: a loan default does not give a bank the right to recover money through intimidation or unlawful means.</w:t>
      </w:r>
    </w:p>
    <w:p w14:paraId="763FF76E" w14:textId="77777777" w:rsidR="00FF16CD" w:rsidRPr="00A10627" w:rsidRDefault="00D37076">
      <w:pPr>
        <w:pStyle w:val="Heading1"/>
        <w:spacing w:before="320" w:after="160"/>
        <w:rPr>
          <w:b/>
          <w:bCs/>
          <w:color w:val="000000" w:themeColor="text1"/>
          <w:sz w:val="28"/>
          <w:szCs w:val="28"/>
        </w:rPr>
      </w:pPr>
      <w:r w:rsidRPr="00A10627">
        <w:rPr>
          <w:b/>
          <w:bCs/>
          <w:color w:val="000000" w:themeColor="text1"/>
          <w:sz w:val="28"/>
          <w:szCs w:val="28"/>
        </w:rPr>
        <w:t>5. Legal Principle: Lawful Debt Recovery &amp; Bank Accountability for Recovery Agents</w:t>
      </w:r>
    </w:p>
    <w:p w14:paraId="0F042A47" w14:textId="77777777" w:rsidR="00FF16CD" w:rsidRPr="00A10627" w:rsidRDefault="00D37076">
      <w:pPr>
        <w:pStyle w:val="Heading2"/>
        <w:spacing w:before="240" w:after="120"/>
        <w:rPr>
          <w:color w:val="000000" w:themeColor="text1"/>
        </w:rPr>
      </w:pPr>
      <w:r w:rsidRPr="00A10627">
        <w:rPr>
          <w:color w:val="000000" w:themeColor="text1"/>
        </w:rPr>
        <w:t>5.1 Debt Recovery Must Follow the Law</w:t>
      </w:r>
    </w:p>
    <w:p w14:paraId="2DD6AE40" w14:textId="77777777" w:rsidR="00FF16CD" w:rsidRPr="00A10627" w:rsidRDefault="00D37076">
      <w:pPr>
        <w:spacing w:after="160" w:line="300" w:lineRule="auto"/>
        <w:jc w:val="both"/>
        <w:rPr>
          <w:color w:val="000000" w:themeColor="text1"/>
        </w:rPr>
      </w:pPr>
      <w:r w:rsidRPr="00A10627">
        <w:rPr>
          <w:color w:val="000000" w:themeColor="text1"/>
        </w:rPr>
        <w:t>A borrower who defaults may well owe a genuine debt, but that does not hand the lender unlimited power. Banks must rely on the legal and contractual remedies actually available to them.</w:t>
      </w:r>
    </w:p>
    <w:p w14:paraId="1FE79987" w14:textId="77777777" w:rsidR="00FF16CD" w:rsidRPr="00A10627" w:rsidRDefault="00D37076">
      <w:pPr>
        <w:spacing w:after="160" w:line="300" w:lineRule="auto"/>
        <w:jc w:val="both"/>
        <w:rPr>
          <w:color w:val="000000" w:themeColor="text1"/>
        </w:rPr>
      </w:pPr>
      <w:r w:rsidRPr="00A10627">
        <w:rPr>
          <w:color w:val="000000" w:themeColor="text1"/>
        </w:rPr>
        <w:t>A bank may, for instance, take lawful steps toward recovery or repossession where the loan agreement and the law permit it — but it cannot resort to threats, physical force, public humiliation or intimidation.</w:t>
      </w:r>
    </w:p>
    <w:p w14:paraId="12F9A670" w14:textId="77777777" w:rsidR="00FF16CD" w:rsidRPr="00A10627" w:rsidRDefault="00D37076">
      <w:pPr>
        <w:spacing w:after="160" w:line="300" w:lineRule="auto"/>
        <w:jc w:val="both"/>
        <w:rPr>
          <w:color w:val="000000" w:themeColor="text1"/>
        </w:rPr>
      </w:pPr>
      <w:r w:rsidRPr="00A10627">
        <w:rPr>
          <w:color w:val="000000" w:themeColor="text1"/>
        </w:rPr>
        <w:t>The key takeaway is that the validity of a debt and the method used to recover it are two separate questions. A borrower may genuinely owe the bank money, and the bank must still respect that borrower's legal rights.</w:t>
      </w:r>
    </w:p>
    <w:p w14:paraId="0E72DABA" w14:textId="77777777" w:rsidR="00FF16CD" w:rsidRPr="00A10627" w:rsidRDefault="00D37076">
      <w:pPr>
        <w:pStyle w:val="Heading2"/>
        <w:spacing w:before="240" w:after="120"/>
        <w:rPr>
          <w:color w:val="000000" w:themeColor="text1"/>
        </w:rPr>
      </w:pPr>
      <w:r w:rsidRPr="00A10627">
        <w:rPr>
          <w:color w:val="000000" w:themeColor="text1"/>
        </w:rPr>
        <w:t>5.2 Responsibility for Recovery Agents</w:t>
      </w:r>
    </w:p>
    <w:p w14:paraId="673DC259" w14:textId="77777777" w:rsidR="00FF16CD" w:rsidRPr="00A10627" w:rsidRDefault="00D37076">
      <w:pPr>
        <w:spacing w:after="160" w:line="300" w:lineRule="auto"/>
        <w:jc w:val="both"/>
        <w:rPr>
          <w:color w:val="000000" w:themeColor="text1"/>
        </w:rPr>
      </w:pPr>
      <w:r w:rsidRPr="00A10627">
        <w:rPr>
          <w:color w:val="000000" w:themeColor="text1"/>
        </w:rPr>
        <w:t>Banks may hand collection work to outside agencies, but outsourcing the task does not mean outsourcing responsibility for it.</w:t>
      </w:r>
    </w:p>
    <w:p w14:paraId="4755B3B0" w14:textId="77777777" w:rsidR="00FF16CD" w:rsidRPr="00A10627" w:rsidRDefault="00D37076">
      <w:pPr>
        <w:spacing w:after="160" w:line="300" w:lineRule="auto"/>
        <w:jc w:val="both"/>
        <w:rPr>
          <w:color w:val="000000" w:themeColor="text1"/>
        </w:rPr>
      </w:pPr>
      <w:r w:rsidRPr="00A10627">
        <w:rPr>
          <w:color w:val="000000" w:themeColor="text1"/>
        </w:rPr>
        <w:t>If an agent behaves improperly while acting on a bank's behalf, the bank can face serious legal, regulatory and reputational consequences — a point that matters greatly in a financial sector where banks and fintech companies rely heavily on external agencies for customer communication and collection.</w:t>
      </w:r>
    </w:p>
    <w:p w14:paraId="3DDB3B3B" w14:textId="77777777" w:rsidR="00FF16CD" w:rsidRPr="00A10627" w:rsidRDefault="00D37076">
      <w:pPr>
        <w:spacing w:after="160" w:line="300" w:lineRule="auto"/>
        <w:jc w:val="both"/>
        <w:rPr>
          <w:color w:val="000000" w:themeColor="text1"/>
        </w:rPr>
      </w:pPr>
      <w:r w:rsidRPr="00A10627">
        <w:rPr>
          <w:color w:val="000000" w:themeColor="text1"/>
        </w:rPr>
        <w:t>Financial institutions therefore need to carefully select, train and monitor the recovery agents acting in their name.</w:t>
      </w:r>
    </w:p>
    <w:p w14:paraId="1E7C2D8A" w14:textId="77777777" w:rsidR="00FF16CD" w:rsidRPr="00A10627" w:rsidRDefault="00D37076">
      <w:pPr>
        <w:pStyle w:val="Heading2"/>
        <w:spacing w:before="240" w:after="120"/>
        <w:rPr>
          <w:color w:val="000000" w:themeColor="text1"/>
        </w:rPr>
      </w:pPr>
      <w:r w:rsidRPr="00A10627">
        <w:rPr>
          <w:color w:val="000000" w:themeColor="text1"/>
        </w:rPr>
        <w:t>5.3 Importance of Fair Recovery Practices</w:t>
      </w:r>
    </w:p>
    <w:p w14:paraId="1CEBB837" w14:textId="77777777" w:rsidR="00FF16CD" w:rsidRPr="00A10627" w:rsidRDefault="00D37076">
      <w:pPr>
        <w:spacing w:after="160" w:line="300" w:lineRule="auto"/>
        <w:jc w:val="both"/>
        <w:rPr>
          <w:color w:val="000000" w:themeColor="text1"/>
        </w:rPr>
      </w:pPr>
      <w:r w:rsidRPr="00A10627">
        <w:rPr>
          <w:color w:val="000000" w:themeColor="text1"/>
        </w:rPr>
        <w:t>The case also underscores the importance of treating borrowers fairly. Recovery agents should avoid harassment and unnecessary pressure, communicating respectfully and in line with applicable regulatory requirements.</w:t>
      </w:r>
    </w:p>
    <w:p w14:paraId="1A06C87C" w14:textId="77777777" w:rsidR="00FF16CD" w:rsidRPr="00A10627" w:rsidRDefault="00D37076">
      <w:pPr>
        <w:spacing w:after="160" w:line="300" w:lineRule="auto"/>
        <w:jc w:val="both"/>
        <w:rPr>
          <w:color w:val="000000" w:themeColor="text1"/>
        </w:rPr>
      </w:pPr>
      <w:r w:rsidRPr="00A10627">
        <w:rPr>
          <w:color w:val="000000" w:themeColor="text1"/>
        </w:rPr>
        <w:t>This matters not only legally but commercially: a bank's relationship with a customer does not end the moment that customer runs into financial difficulty, and how a bank treats a financially stressed customer can significantly shape its reputation.</w:t>
      </w:r>
    </w:p>
    <w:p w14:paraId="114600DC" w14:textId="77777777" w:rsidR="00FF16CD" w:rsidRPr="00A10627" w:rsidRDefault="00D37076">
      <w:pPr>
        <w:pStyle w:val="Heading2"/>
        <w:spacing w:before="240" w:after="120"/>
        <w:rPr>
          <w:color w:val="000000" w:themeColor="text1"/>
        </w:rPr>
      </w:pPr>
      <w:r w:rsidRPr="00A10627">
        <w:rPr>
          <w:color w:val="000000" w:themeColor="text1"/>
        </w:rPr>
        <w:t>5.4 Judicial Comments and Pending Investigations</w:t>
      </w:r>
    </w:p>
    <w:p w14:paraId="459BBA29" w14:textId="77777777" w:rsidR="00FF16CD" w:rsidRPr="00A10627" w:rsidRDefault="00D37076">
      <w:pPr>
        <w:spacing w:after="160" w:line="300" w:lineRule="auto"/>
        <w:jc w:val="both"/>
        <w:rPr>
          <w:color w:val="000000" w:themeColor="text1"/>
        </w:rPr>
      </w:pPr>
      <w:r w:rsidRPr="00A10627">
        <w:rPr>
          <w:color w:val="000000" w:themeColor="text1"/>
        </w:rPr>
        <w:t>The case offers a useful lesson on judicial observations made during a pending investigation. The Supreme Court felt the High Court should have exercised more caution while discussing facts that had not yet been established.</w:t>
      </w:r>
    </w:p>
    <w:p w14:paraId="02418041" w14:textId="77777777" w:rsidR="00FF16CD" w:rsidRPr="00A10627" w:rsidRDefault="00D37076">
      <w:pPr>
        <w:spacing w:after="160" w:line="300" w:lineRule="auto"/>
        <w:jc w:val="both"/>
        <w:rPr>
          <w:color w:val="000000" w:themeColor="text1"/>
        </w:rPr>
      </w:pPr>
      <w:r w:rsidRPr="00A10627">
        <w:rPr>
          <w:color w:val="000000" w:themeColor="text1"/>
        </w:rPr>
        <w:t>At the same time, the Court did not think complete removal of the observations was warranted, given that the High Court had already clarified they would not affect the investigation.</w:t>
      </w:r>
    </w:p>
    <w:p w14:paraId="25E1EA6C" w14:textId="77777777" w:rsidR="00FF16CD" w:rsidRPr="00A10627" w:rsidRDefault="00D37076">
      <w:pPr>
        <w:spacing w:after="160" w:line="300" w:lineRule="auto"/>
        <w:jc w:val="both"/>
        <w:rPr>
          <w:color w:val="000000" w:themeColor="text1"/>
        </w:rPr>
      </w:pPr>
      <w:r w:rsidRPr="00A10627">
        <w:rPr>
          <w:color w:val="000000" w:themeColor="text1"/>
        </w:rPr>
        <w:t>This reflects a broader balancing act between judicial criticism, public interest and procedural fairness.</w:t>
      </w:r>
    </w:p>
    <w:p w14:paraId="66EAFC8A" w14:textId="77777777" w:rsidR="00FF16CD" w:rsidRPr="00A10627" w:rsidRDefault="00D37076">
      <w:pPr>
        <w:pStyle w:val="Heading1"/>
        <w:spacing w:before="320" w:after="160"/>
        <w:rPr>
          <w:b/>
          <w:bCs/>
          <w:color w:val="000000" w:themeColor="text1"/>
          <w:sz w:val="28"/>
          <w:szCs w:val="28"/>
        </w:rPr>
      </w:pPr>
      <w:r w:rsidRPr="00A10627">
        <w:rPr>
          <w:b/>
          <w:bCs/>
          <w:color w:val="000000" w:themeColor="text1"/>
          <w:sz w:val="28"/>
          <w:szCs w:val="28"/>
        </w:rPr>
        <w:t>6. Business Relevance</w:t>
      </w:r>
    </w:p>
    <w:p w14:paraId="5FE719AA" w14:textId="77777777" w:rsidR="00FF16CD" w:rsidRPr="00A10627" w:rsidRDefault="00D37076">
      <w:pPr>
        <w:pStyle w:val="Heading2"/>
        <w:spacing w:before="240" w:after="120"/>
        <w:rPr>
          <w:color w:val="000000" w:themeColor="text1"/>
        </w:rPr>
      </w:pPr>
      <w:r w:rsidRPr="00A10627">
        <w:rPr>
          <w:color w:val="000000" w:themeColor="text1"/>
        </w:rPr>
        <w:t>6.1 Importance for Modern Banks and Fintech Companies</w:t>
      </w:r>
    </w:p>
    <w:p w14:paraId="3FD07F4D" w14:textId="77777777" w:rsidR="00FF16CD" w:rsidRPr="00A10627" w:rsidRDefault="00D37076">
      <w:pPr>
        <w:spacing w:after="160" w:line="300" w:lineRule="auto"/>
        <w:jc w:val="both"/>
        <w:rPr>
          <w:color w:val="000000" w:themeColor="text1"/>
        </w:rPr>
      </w:pPr>
      <w:r w:rsidRPr="00A10627">
        <w:rPr>
          <w:color w:val="000000" w:themeColor="text1"/>
        </w:rPr>
        <w:lastRenderedPageBreak/>
        <w:t>The principles from this case remain highly relevant to today's financial sector, where banks, NBFCs and fintech companies routinely rely on third-party collection agencies, call centres and digital platforms to recover overdue payments.</w:t>
      </w:r>
    </w:p>
    <w:p w14:paraId="3CB08012" w14:textId="77777777" w:rsidR="00FF16CD" w:rsidRPr="00A10627" w:rsidRDefault="00D37076">
      <w:pPr>
        <w:spacing w:after="160" w:line="300" w:lineRule="auto"/>
        <w:jc w:val="both"/>
        <w:rPr>
          <w:color w:val="000000" w:themeColor="text1"/>
        </w:rPr>
      </w:pPr>
      <w:r w:rsidRPr="00A10627">
        <w:rPr>
          <w:color w:val="000000" w:themeColor="text1"/>
        </w:rPr>
        <w:t>A digital lending company, for example, might reach a customer through calls, SMS, email or an app. These tools can speed up collection, but they can equally be misused, so a company must ensure its methods never become threatening, humiliating or invasive.</w:t>
      </w:r>
    </w:p>
    <w:p w14:paraId="5A2DF6DF" w14:textId="77777777" w:rsidR="00FF16CD" w:rsidRPr="00A10627" w:rsidRDefault="00D37076">
      <w:pPr>
        <w:spacing w:after="160" w:line="300" w:lineRule="auto"/>
        <w:jc w:val="both"/>
        <w:rPr>
          <w:color w:val="000000" w:themeColor="text1"/>
        </w:rPr>
      </w:pPr>
      <w:r w:rsidRPr="00A10627">
        <w:rPr>
          <w:color w:val="000000" w:themeColor="text1"/>
        </w:rPr>
        <w:t>The underlying principle carries over regardless of the technology involved: the method of recovery may change, but the lender's legal responsibility does not.</w:t>
      </w:r>
    </w:p>
    <w:p w14:paraId="3064BC07" w14:textId="77777777" w:rsidR="00FF16CD" w:rsidRPr="00A10627" w:rsidRDefault="00D37076">
      <w:pPr>
        <w:pStyle w:val="Heading2"/>
        <w:spacing w:before="240" w:after="120"/>
        <w:rPr>
          <w:color w:val="000000" w:themeColor="text1"/>
        </w:rPr>
      </w:pPr>
      <w:r w:rsidRPr="00A10627">
        <w:rPr>
          <w:color w:val="000000" w:themeColor="text1"/>
        </w:rPr>
        <w:t>6.2 Risk Management and Compliance</w:t>
      </w:r>
    </w:p>
    <w:p w14:paraId="238E2B6A" w14:textId="77777777" w:rsidR="00FF16CD" w:rsidRPr="00A10627" w:rsidRDefault="00D37076">
      <w:pPr>
        <w:spacing w:after="160" w:line="300" w:lineRule="auto"/>
        <w:jc w:val="both"/>
        <w:rPr>
          <w:color w:val="000000" w:themeColor="text1"/>
        </w:rPr>
      </w:pPr>
      <w:r w:rsidRPr="00A10627">
        <w:rPr>
          <w:color w:val="000000" w:themeColor="text1"/>
        </w:rPr>
        <w:t>Financial institutions should build strong internal controls around recovery activities. Useful measures include:</w:t>
      </w:r>
    </w:p>
    <w:p w14:paraId="2024574E" w14:textId="77777777" w:rsidR="00FF16CD" w:rsidRPr="00A10627" w:rsidRDefault="00D37076">
      <w:pPr>
        <w:pStyle w:val="ListParagraph"/>
        <w:numPr>
          <w:ilvl w:val="0"/>
          <w:numId w:val="2"/>
        </w:numPr>
        <w:spacing w:after="100" w:line="300" w:lineRule="auto"/>
        <w:rPr>
          <w:color w:val="000000" w:themeColor="text1"/>
        </w:rPr>
      </w:pPr>
      <w:r w:rsidRPr="00A10627">
        <w:rPr>
          <w:color w:val="000000" w:themeColor="text1"/>
        </w:rPr>
        <w:t>Training recovery agents properly before they contact customers</w:t>
      </w:r>
    </w:p>
    <w:p w14:paraId="2D35FDFD" w14:textId="77777777" w:rsidR="00FF16CD" w:rsidRPr="00A10627" w:rsidRDefault="00D37076">
      <w:pPr>
        <w:pStyle w:val="ListParagraph"/>
        <w:numPr>
          <w:ilvl w:val="0"/>
          <w:numId w:val="2"/>
        </w:numPr>
        <w:spacing w:after="100" w:line="300" w:lineRule="auto"/>
        <w:rPr>
          <w:color w:val="000000" w:themeColor="text1"/>
        </w:rPr>
      </w:pPr>
      <w:r w:rsidRPr="00A10627">
        <w:rPr>
          <w:color w:val="000000" w:themeColor="text1"/>
        </w:rPr>
        <w:t>Ensuring agents clearly identify themselves and the institution they represent</w:t>
      </w:r>
    </w:p>
    <w:p w14:paraId="0B5DA4A9" w14:textId="77777777" w:rsidR="00FF16CD" w:rsidRPr="00A10627" w:rsidRDefault="00D37076">
      <w:pPr>
        <w:pStyle w:val="ListParagraph"/>
        <w:numPr>
          <w:ilvl w:val="0"/>
          <w:numId w:val="2"/>
        </w:numPr>
        <w:spacing w:after="100" w:line="300" w:lineRule="auto"/>
        <w:rPr>
          <w:color w:val="000000" w:themeColor="text1"/>
        </w:rPr>
      </w:pPr>
      <w:r w:rsidRPr="00A10627">
        <w:rPr>
          <w:color w:val="000000" w:themeColor="text1"/>
        </w:rPr>
        <w:t>Maintaining records of calls, visits and customer complaints</w:t>
      </w:r>
    </w:p>
    <w:p w14:paraId="2282A164" w14:textId="77777777" w:rsidR="00FF16CD" w:rsidRPr="00A10627" w:rsidRDefault="00D37076">
      <w:pPr>
        <w:pStyle w:val="ListParagraph"/>
        <w:numPr>
          <w:ilvl w:val="0"/>
          <w:numId w:val="2"/>
        </w:numPr>
        <w:spacing w:after="100" w:line="300" w:lineRule="auto"/>
        <w:rPr>
          <w:color w:val="000000" w:themeColor="text1"/>
        </w:rPr>
      </w:pPr>
      <w:r w:rsidRPr="00A10627">
        <w:rPr>
          <w:color w:val="000000" w:themeColor="text1"/>
        </w:rPr>
        <w:t>Regularly monitoring third-party recovery agencies</w:t>
      </w:r>
    </w:p>
    <w:p w14:paraId="08764370" w14:textId="77777777" w:rsidR="00FF16CD" w:rsidRPr="00A10627" w:rsidRDefault="00D37076">
      <w:pPr>
        <w:pStyle w:val="ListParagraph"/>
        <w:numPr>
          <w:ilvl w:val="0"/>
          <w:numId w:val="2"/>
        </w:numPr>
        <w:spacing w:after="100" w:line="300" w:lineRule="auto"/>
        <w:rPr>
          <w:color w:val="000000" w:themeColor="text1"/>
        </w:rPr>
      </w:pPr>
      <w:r w:rsidRPr="00A10627">
        <w:rPr>
          <w:color w:val="000000" w:themeColor="text1"/>
        </w:rPr>
        <w:t>Acting promptly on any customer report of harassment</w:t>
      </w:r>
    </w:p>
    <w:p w14:paraId="3C05C574" w14:textId="77777777" w:rsidR="00FF16CD" w:rsidRPr="00A10627" w:rsidRDefault="00D37076">
      <w:pPr>
        <w:pStyle w:val="ListParagraph"/>
        <w:numPr>
          <w:ilvl w:val="0"/>
          <w:numId w:val="2"/>
        </w:numPr>
        <w:spacing w:after="100" w:line="300" w:lineRule="auto"/>
        <w:rPr>
          <w:color w:val="000000" w:themeColor="text1"/>
        </w:rPr>
      </w:pPr>
      <w:r w:rsidRPr="00A10627">
        <w:rPr>
          <w:color w:val="000000" w:themeColor="text1"/>
        </w:rPr>
        <w:t>Setting clear rules on when and how borrowers may be contacted</w:t>
      </w:r>
    </w:p>
    <w:p w14:paraId="4474BB99" w14:textId="77777777" w:rsidR="00FF16CD" w:rsidRPr="00A10627" w:rsidRDefault="00D37076">
      <w:pPr>
        <w:pStyle w:val="ListParagraph"/>
        <w:numPr>
          <w:ilvl w:val="0"/>
          <w:numId w:val="2"/>
        </w:numPr>
        <w:spacing w:after="100" w:line="300" w:lineRule="auto"/>
        <w:rPr>
          <w:color w:val="000000" w:themeColor="text1"/>
        </w:rPr>
      </w:pPr>
      <w:r w:rsidRPr="00A10627">
        <w:rPr>
          <w:color w:val="000000" w:themeColor="text1"/>
        </w:rPr>
        <w:t>Auditing outsourced collection activities</w:t>
      </w:r>
    </w:p>
    <w:p w14:paraId="4D4DA8DC" w14:textId="77777777" w:rsidR="00FF16CD" w:rsidRPr="00A10627" w:rsidRDefault="00D37076">
      <w:pPr>
        <w:pStyle w:val="ListParagraph"/>
        <w:numPr>
          <w:ilvl w:val="0"/>
          <w:numId w:val="2"/>
        </w:numPr>
        <w:spacing w:after="100" w:line="300" w:lineRule="auto"/>
        <w:rPr>
          <w:color w:val="000000" w:themeColor="text1"/>
        </w:rPr>
      </w:pPr>
      <w:r w:rsidRPr="00A10627">
        <w:rPr>
          <w:color w:val="000000" w:themeColor="text1"/>
        </w:rPr>
        <w:t>Taking disciplinary action against agents who breach company policy</w:t>
      </w:r>
    </w:p>
    <w:p w14:paraId="3753D651" w14:textId="77777777" w:rsidR="00FF16CD" w:rsidRPr="00A10627" w:rsidRDefault="00D37076">
      <w:pPr>
        <w:spacing w:after="160" w:line="300" w:lineRule="auto"/>
        <w:jc w:val="both"/>
        <w:rPr>
          <w:color w:val="000000" w:themeColor="text1"/>
        </w:rPr>
      </w:pPr>
      <w:r w:rsidRPr="00A10627">
        <w:rPr>
          <w:color w:val="000000" w:themeColor="text1"/>
        </w:rPr>
        <w:t>These measures reduce legal exposure as well as reputational risk. For fintech companies especially, compliance is best built into the design of the collection process from the outset, rather than bolted on afterward.</w:t>
      </w:r>
    </w:p>
    <w:p w14:paraId="2651A576" w14:textId="77777777" w:rsidR="00FF16CD" w:rsidRPr="00A10627" w:rsidRDefault="00D37076">
      <w:pPr>
        <w:pStyle w:val="Heading1"/>
        <w:spacing w:before="320" w:after="160"/>
        <w:rPr>
          <w:b/>
          <w:bCs/>
          <w:color w:val="000000" w:themeColor="text1"/>
          <w:sz w:val="28"/>
          <w:szCs w:val="28"/>
        </w:rPr>
      </w:pPr>
      <w:r w:rsidRPr="00A10627">
        <w:rPr>
          <w:b/>
          <w:bCs/>
          <w:color w:val="000000" w:themeColor="text1"/>
          <w:sz w:val="28"/>
          <w:szCs w:val="28"/>
        </w:rPr>
        <w:t>7. Conclusion</w:t>
      </w:r>
    </w:p>
    <w:p w14:paraId="25457703" w14:textId="77777777" w:rsidR="00FF16CD" w:rsidRPr="00A10627" w:rsidRDefault="00D37076">
      <w:pPr>
        <w:pStyle w:val="Heading2"/>
        <w:spacing w:before="240" w:after="120"/>
        <w:rPr>
          <w:color w:val="000000" w:themeColor="text1"/>
        </w:rPr>
      </w:pPr>
      <w:r w:rsidRPr="00A10627">
        <w:rPr>
          <w:color w:val="000000" w:themeColor="text1"/>
        </w:rPr>
        <w:t>7.1 Personal Learning and Observation</w:t>
      </w:r>
    </w:p>
    <w:p w14:paraId="74F36B14" w14:textId="77777777" w:rsidR="00FF16CD" w:rsidRPr="00A10627" w:rsidRDefault="00D37076">
      <w:pPr>
        <w:spacing w:after="160" w:line="300" w:lineRule="auto"/>
        <w:jc w:val="both"/>
        <w:rPr>
          <w:color w:val="000000" w:themeColor="text1"/>
        </w:rPr>
      </w:pPr>
      <w:r w:rsidRPr="00A10627">
        <w:rPr>
          <w:color w:val="000000" w:themeColor="text1"/>
        </w:rPr>
        <w:t>This case made clear to me that banking is not just about lending money and recovering loans — it is equally about treating customers fairly and responsibly.</w:t>
      </w:r>
    </w:p>
    <w:p w14:paraId="395FD8ED" w14:textId="77777777" w:rsidR="00FF16CD" w:rsidRPr="00A10627" w:rsidRDefault="00D37076">
      <w:pPr>
        <w:spacing w:after="160" w:line="300" w:lineRule="auto"/>
        <w:jc w:val="both"/>
        <w:rPr>
          <w:color w:val="000000" w:themeColor="text1"/>
        </w:rPr>
      </w:pPr>
      <w:r w:rsidRPr="00A10627">
        <w:rPr>
          <w:color w:val="000000" w:themeColor="text1"/>
        </w:rPr>
        <w:t>The biggest lesson is that a bank's legal right to recover money must be exercised through lawful and respectful methods. A borrower who has defaulted does not thereby forfeit all legal rights, and banks must continue operating within the boundaries of the law.</w:t>
      </w:r>
    </w:p>
    <w:p w14:paraId="2D11BCEA" w14:textId="77777777" w:rsidR="00FF16CD" w:rsidRPr="00A10627" w:rsidRDefault="00D37076">
      <w:pPr>
        <w:spacing w:after="160" w:line="300" w:lineRule="auto"/>
        <w:jc w:val="both"/>
        <w:rPr>
          <w:color w:val="000000" w:themeColor="text1"/>
        </w:rPr>
      </w:pPr>
      <w:r w:rsidRPr="00A10627">
        <w:rPr>
          <w:color w:val="000000" w:themeColor="text1"/>
        </w:rPr>
        <w:t>The case also shows why recovery agents need proper oversight — a bank cannot simply appoint an outside agency and then look away from how that agency treats customers.</w:t>
      </w:r>
    </w:p>
    <w:p w14:paraId="1C89150F" w14:textId="77777777" w:rsidR="00FF16CD" w:rsidRPr="00A10627" w:rsidRDefault="00D37076">
      <w:pPr>
        <w:spacing w:after="160" w:line="300" w:lineRule="auto"/>
        <w:jc w:val="both"/>
        <w:rPr>
          <w:color w:val="000000" w:themeColor="text1"/>
        </w:rPr>
      </w:pPr>
      <w:r w:rsidRPr="00A10627">
        <w:rPr>
          <w:color w:val="000000" w:themeColor="text1"/>
        </w:rPr>
        <w:t>This is particularly relevant to the modern fintech industry, where automated calls, apps, data-driven collection systems and third-party agencies are increasingly common. These tools can improve efficiency, but they must still be used responsibly.</w:t>
      </w:r>
    </w:p>
    <w:p w14:paraId="51F98ED4" w14:textId="77777777" w:rsidR="00FF16CD" w:rsidRPr="00A10627" w:rsidRDefault="00D37076">
      <w:pPr>
        <w:spacing w:after="160" w:line="300" w:lineRule="auto"/>
        <w:jc w:val="both"/>
        <w:rPr>
          <w:color w:val="000000" w:themeColor="text1"/>
        </w:rPr>
      </w:pPr>
      <w:r w:rsidRPr="00A10627">
        <w:rPr>
          <w:color w:val="000000" w:themeColor="text1"/>
        </w:rPr>
        <w:lastRenderedPageBreak/>
        <w:t>For me, the central takeaway is that legal compliance and ethical business practice should go hand in hand. Recovering money is a legitimate and necessary part of banking, but it should never come at the cost of a customer's dignity or legal rights.</w:t>
      </w:r>
    </w:p>
    <w:p w14:paraId="6DE94590" w14:textId="77777777" w:rsidR="00FF16CD" w:rsidRPr="00A10627" w:rsidRDefault="00D37076">
      <w:pPr>
        <w:spacing w:after="160" w:line="300" w:lineRule="auto"/>
        <w:jc w:val="both"/>
        <w:rPr>
          <w:color w:val="000000" w:themeColor="text1"/>
        </w:rPr>
      </w:pPr>
      <w:r w:rsidRPr="00A10627">
        <w:rPr>
          <w:color w:val="000000" w:themeColor="text1"/>
        </w:rPr>
        <w:t>Ultimately, the case shows that financial institutions must balance commercial interests with their responsibility toward customers. Strong recovery systems, careful monitoring of agents and respect for the rule of law are all essential to building a trustworthy and sustainable financial sector.</w:t>
      </w:r>
    </w:p>
    <w:sectPr w:rsidR="00FF16CD" w:rsidRPr="00A1062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974E4"/>
    <w:multiLevelType w:val="hybridMultilevel"/>
    <w:tmpl w:val="228833FC"/>
    <w:lvl w:ilvl="0" w:tplc="A97A1924">
      <w:start w:val="1"/>
      <w:numFmt w:val="bullet"/>
      <w:lvlText w:val="•"/>
      <w:lvlJc w:val="left"/>
      <w:pPr>
        <w:ind w:left="504" w:hanging="288"/>
      </w:pPr>
    </w:lvl>
    <w:lvl w:ilvl="1" w:tplc="D4D69FCC">
      <w:numFmt w:val="decimal"/>
      <w:lvlText w:val=""/>
      <w:lvlJc w:val="left"/>
    </w:lvl>
    <w:lvl w:ilvl="2" w:tplc="E9829EE4">
      <w:numFmt w:val="decimal"/>
      <w:lvlText w:val=""/>
      <w:lvlJc w:val="left"/>
    </w:lvl>
    <w:lvl w:ilvl="3" w:tplc="0786182E">
      <w:numFmt w:val="decimal"/>
      <w:lvlText w:val=""/>
      <w:lvlJc w:val="left"/>
    </w:lvl>
    <w:lvl w:ilvl="4" w:tplc="133EA552">
      <w:numFmt w:val="decimal"/>
      <w:lvlText w:val=""/>
      <w:lvlJc w:val="left"/>
    </w:lvl>
    <w:lvl w:ilvl="5" w:tplc="B91E578C">
      <w:numFmt w:val="decimal"/>
      <w:lvlText w:val=""/>
      <w:lvlJc w:val="left"/>
    </w:lvl>
    <w:lvl w:ilvl="6" w:tplc="1E305F52">
      <w:numFmt w:val="decimal"/>
      <w:lvlText w:val=""/>
      <w:lvlJc w:val="left"/>
    </w:lvl>
    <w:lvl w:ilvl="7" w:tplc="31DAC68A">
      <w:numFmt w:val="decimal"/>
      <w:lvlText w:val=""/>
      <w:lvlJc w:val="left"/>
    </w:lvl>
    <w:lvl w:ilvl="8" w:tplc="3A8A133C">
      <w:numFmt w:val="decimal"/>
      <w:lvlText w:val=""/>
      <w:lvlJc w:val="left"/>
    </w:lvl>
  </w:abstractNum>
  <w:abstractNum w:abstractNumId="1" w15:restartNumberingAfterBreak="0">
    <w:nsid w:val="2089630B"/>
    <w:multiLevelType w:val="hybridMultilevel"/>
    <w:tmpl w:val="0B40DC7C"/>
    <w:lvl w:ilvl="0" w:tplc="11FC3152">
      <w:start w:val="1"/>
      <w:numFmt w:val="bullet"/>
      <w:lvlText w:val="●"/>
      <w:lvlJc w:val="left"/>
      <w:pPr>
        <w:ind w:left="720" w:hanging="360"/>
      </w:pPr>
    </w:lvl>
    <w:lvl w:ilvl="1" w:tplc="7AEE9B78">
      <w:start w:val="1"/>
      <w:numFmt w:val="bullet"/>
      <w:lvlText w:val="○"/>
      <w:lvlJc w:val="left"/>
      <w:pPr>
        <w:ind w:left="1440" w:hanging="360"/>
      </w:pPr>
    </w:lvl>
    <w:lvl w:ilvl="2" w:tplc="D41E1E58">
      <w:start w:val="1"/>
      <w:numFmt w:val="bullet"/>
      <w:lvlText w:val="■"/>
      <w:lvlJc w:val="left"/>
      <w:pPr>
        <w:ind w:left="2160" w:hanging="360"/>
      </w:pPr>
    </w:lvl>
    <w:lvl w:ilvl="3" w:tplc="9B162F00">
      <w:start w:val="1"/>
      <w:numFmt w:val="bullet"/>
      <w:lvlText w:val="●"/>
      <w:lvlJc w:val="left"/>
      <w:pPr>
        <w:ind w:left="2880" w:hanging="360"/>
      </w:pPr>
    </w:lvl>
    <w:lvl w:ilvl="4" w:tplc="6874BBD2">
      <w:start w:val="1"/>
      <w:numFmt w:val="bullet"/>
      <w:lvlText w:val="○"/>
      <w:lvlJc w:val="left"/>
      <w:pPr>
        <w:ind w:left="3600" w:hanging="360"/>
      </w:pPr>
    </w:lvl>
    <w:lvl w:ilvl="5" w:tplc="111E001A">
      <w:start w:val="1"/>
      <w:numFmt w:val="bullet"/>
      <w:lvlText w:val="■"/>
      <w:lvlJc w:val="left"/>
      <w:pPr>
        <w:ind w:left="4320" w:hanging="360"/>
      </w:pPr>
    </w:lvl>
    <w:lvl w:ilvl="6" w:tplc="5FFA8182">
      <w:start w:val="1"/>
      <w:numFmt w:val="bullet"/>
      <w:lvlText w:val="●"/>
      <w:lvlJc w:val="left"/>
      <w:pPr>
        <w:ind w:left="5040" w:hanging="360"/>
      </w:pPr>
    </w:lvl>
    <w:lvl w:ilvl="7" w:tplc="C0EC9D64">
      <w:start w:val="1"/>
      <w:numFmt w:val="bullet"/>
      <w:lvlText w:val="●"/>
      <w:lvlJc w:val="left"/>
      <w:pPr>
        <w:ind w:left="5760" w:hanging="360"/>
      </w:pPr>
    </w:lvl>
    <w:lvl w:ilvl="8" w:tplc="9E32721C">
      <w:start w:val="1"/>
      <w:numFmt w:val="bullet"/>
      <w:lvlText w:val="●"/>
      <w:lvlJc w:val="left"/>
      <w:pPr>
        <w:ind w:left="6480" w:hanging="360"/>
      </w:pPr>
    </w:lvl>
  </w:abstractNum>
  <w:num w:numId="1" w16cid:durableId="267586647">
    <w:abstractNumId w:val="1"/>
    <w:lvlOverride w:ilvl="0">
      <w:startOverride w:val="1"/>
    </w:lvlOverride>
  </w:num>
  <w:num w:numId="2" w16cid:durableId="46793841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16CD"/>
    <w:rsid w:val="00843F08"/>
    <w:rsid w:val="00A10627"/>
    <w:rsid w:val="00B120E5"/>
    <w:rsid w:val="00FF16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065B99"/>
  <w15:docId w15:val="{2934884C-49C1-4A23-A11F-2F8C4A48B7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2099</Words>
  <Characters>11970</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Harish .k</cp:lastModifiedBy>
  <cp:revision>2</cp:revision>
  <dcterms:created xsi:type="dcterms:W3CDTF">2026-08-31T15:40:00Z</dcterms:created>
  <dcterms:modified xsi:type="dcterms:W3CDTF">2026-08-31T15:40:00Z</dcterms:modified>
</cp:coreProperties>
</file>