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Case Analysis</w:t>
      </w:r>
    </w:p>
    <w:p>
      <w:pPr>
        <w:spacing w:after="20"/>
        <w:jc w:val="center"/>
      </w:pPr>
      <w:r>
        <w:rPr>
          <w:b/>
          <w:bCs/>
          <w:i/>
          <w:iCs/>
          <w:color w:val="2E5395"/>
          <w:sz w:val="32"/>
          <w:szCs w:val="32"/>
        </w:rPr>
        <w:t xml:space="preserve">Balfour v Balfour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[1919] 2 KB 571  |  Court of Appeal (England)</w:t>
      </w:r>
    </w:p>
    <w:p>
      <w:pPr>
        <w:pBdr>
          <w:bottom w:val="single" w:color="999999" w:sz="6" w:space="4"/>
        </w:pBdr>
        <w:spacing w:after="200" w:before="100"/>
      </w:pP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Topic</w:t>
      </w:r>
    </w:p>
    <w:p>
      <w:pPr>
        <w:spacing w:after="120" w:line="276"/>
      </w:pPr>
      <w:r>
        <w:t xml:space="preserve">English Contract Law — Intention to Create Legal Relations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I — Issue</w:t>
      </w:r>
    </w:p>
    <w:p>
      <w:pPr>
        <w:spacing w:after="120" w:line="276"/>
      </w:pPr>
      <w:r>
        <w:t xml:space="preserve">Was there a legally binding contract between Mr. and Mrs. Balfour? Specifically, did the parties possess the requisite intention to create legal relations when Mr. Balfour promised to pay his wife £30 a month?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R — Rule</w:t>
      </w:r>
    </w:p>
    <w:p>
      <w:pPr>
        <w:spacing w:after="120" w:line="276"/>
      </w:pPr>
      <w:r>
        <w:t xml:space="preserve">A valid contract requires four elements: offer, acceptance, consideration, and intention to create legal relations. This last element is not automatically presumed in every agreement — courts distinguish between: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Domestic/social agreements → presumption AGAINST legal intent (rebuttable)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Commercial/business agreements → presumption IN FAVOUR of legal intent (rebuttable)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A — Application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Mr. Balfour worked in Ceylon (now Sri Lanka); Mrs. Balfour remained in England for health reasons (arthritis).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Before returning to Ceylon, he promised her £30/month for maintenance.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relationship subsequently broke down and he stopped paying.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trial court initially held this was a binding contract and ruled for Mrs. Balfour.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 appeal, Atkin LJ reversed, reasoning that:</w:t>
      </w:r>
    </w:p>
    <w:p>
      <w:pPr>
        <w:pStyle w:val="ListParagraph"/>
        <w:numPr>
          <w:ilvl w:val="0"/>
          <w:numId w:val="2"/>
        </w:numPr>
        <w:spacing w:after="80" w:line="276"/>
        <w:ind w:left="900" w:hanging="270"/>
      </w:pPr>
      <w:r>
        <w:t xml:space="preserve">The promise arose from “natural love and affection,” not a bargained-for legal obligation.</w:t>
      </w:r>
    </w:p>
    <w:p>
      <w:pPr>
        <w:pStyle w:val="ListParagraph"/>
        <w:numPr>
          <w:ilvl w:val="0"/>
          <w:numId w:val="2"/>
        </w:numPr>
        <w:spacing w:after="80" w:line="276"/>
        <w:ind w:left="900" w:hanging="270"/>
      </w:pPr>
      <w:r>
        <w:t xml:space="preserve">Treating every domestic arrangement as an enforceable contract would flood the courts and burden family life.</w:t>
      </w:r>
    </w:p>
    <w:p>
      <w:pPr>
        <w:pStyle w:val="ListParagraph"/>
        <w:numPr>
          <w:ilvl w:val="0"/>
          <w:numId w:val="2"/>
        </w:numPr>
        <w:spacing w:after="120" w:line="276"/>
        <w:ind w:left="900" w:hanging="270"/>
      </w:pPr>
      <w:r>
        <w:t xml:space="preserve">Intent must be assessed at the time the promise was made — not retrospectively, after the relationship soured.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C — Conclusion</w:t>
      </w:r>
    </w:p>
    <w:p>
      <w:pPr>
        <w:spacing w:after="120" w:line="276"/>
      </w:pPr>
      <w:r>
        <w:t xml:space="preserve">Held: No enforceable contract existed. The appeal was allowed; Mrs. Balfour could not recover the payments. The agreement was domestic in nature and unsupported by an intention to create legal relations.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Key Quote (Atkin LJ)</w:t>
      </w:r>
    </w:p>
    <w:p>
      <w:pPr>
        <w:pBdr>
          <w:left w:val="single" w:color="2E5395" w:sz="12" w:space="8"/>
        </w:pBdr>
        <w:spacing w:after="200" w:before="100" w:line="276"/>
        <w:ind w:left="720" w:right="720"/>
      </w:pPr>
      <w:r>
        <w:rPr>
          <w:i/>
          <w:iCs/>
          <w:color w:val="444444"/>
        </w:rPr>
        <w:t xml:space="preserve">“Agreements such as these are not contracts because the parties did not intend that they should be attended by legal consequences.”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Legal Principle Established</w:t>
      </w:r>
    </w:p>
    <w:p>
      <w:pPr>
        <w:pBdr>
          <w:left w:val="single" w:color="2E5395" w:sz="12" w:space="8"/>
        </w:pBdr>
        <w:spacing w:after="200" w:before="100" w:line="276"/>
        <w:ind w:left="720" w:right="720"/>
      </w:pPr>
      <w:r>
        <w:rPr>
          <w:i/>
          <w:iCs/>
          <w:color w:val="444444"/>
        </w:rPr>
        <w:t xml:space="preserve">In domestic and social arrangements, there is a rebuttable presumption that the parties do NOT intend to create legal relations.</w:t>
      </w:r>
    </w:p>
    <w:p>
      <w:pPr>
        <w:spacing w:after="120" w:line="276"/>
      </w:pPr>
      <w:r>
        <w:t xml:space="preserve">This presumption can be displaced by clear evidence of contrary intent — for example, a formal, written separation agreement.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IRAC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Was there intention to create legal relations between husband and wife regarding the £30/month promise?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contract requires offer, acceptance, consideration, and intention to create legal relations. Domestic/social agreements are presumed NOT legally binding unless proven otherwise.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Application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Husband and wife; promise made during an intact marriage for maintenance while Mrs. Balfour recovered in England; no evidence either party intended legal consequences at the time.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Conclusion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contract existed. The promise was not enforceable; appeal allowed in favor of Mr. Balfour.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Related / Contrasting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354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Case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Facts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35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Different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Balfour v Balfour (1919)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Ongoing marriage; casual maintenance promise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binding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evidence of legal intent; relationship intact when promise made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Merritt v Merritt (1970)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Spouses already separated; written, signed agreement re: house payments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Binding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Relationship had broken down; formal written agreement showed genuine legal intent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Edwards v Skyways (1964)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Employer promised “ex gratia” payment to employee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Binding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Commercial context → presumption FOR legal intent, not rebutted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Criticism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domestic/commercial dichotomy is seen by some scholars as too rigid and formalistic — treating context as a bright-line rule rather than weighing the actual facts.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Modern courts (post-Merritt v Merritt) increasingly look at substance over category — asking whether a reasonable person would think the parties intended legal consequences.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Critics note the “presumption” language sometimes disguises what is really an evidentiary inference, dressed up as a formal legal rule.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Key Takeaway for Exams</w:t>
      </w:r>
    </w:p>
    <w:p>
      <w:pPr>
        <w:pBdr>
          <w:left w:val="single" w:color="2E5395" w:sz="12" w:space="8"/>
        </w:pBdr>
        <w:spacing w:after="200" w:before="100" w:line="276"/>
        <w:ind w:left="720" w:right="720"/>
      </w:pPr>
      <w:r>
        <w:rPr>
          <w:i/>
          <w:iCs/>
          <w:color w:val="444444"/>
        </w:rPr>
        <w:t xml:space="preserve">Balfour is the authority for: in domestic and social arrangements, there is a rebuttable presumption that parties do not intend to create legal relations.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2026-07-15T06:35:31.742Z</dcterms:created>
  <dcterms:modified xsi:type="dcterms:W3CDTF">2026-07-15T06:35:31.756Z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