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115A" w14:textId="77777777" w:rsidR="00847109" w:rsidRPr="00753727" w:rsidRDefault="00EA2AAA">
      <w:pPr>
        <w:pStyle w:val="Title"/>
        <w:rPr>
          <w:rFonts w:ascii="Times New Roman" w:hAnsi="Times New Roman" w:cs="Times New Roman"/>
          <w:color w:val="000000" w:themeColor="text1"/>
        </w:rPr>
      </w:pPr>
      <w:r w:rsidRPr="00753727">
        <w:rPr>
          <w:rFonts w:ascii="Times New Roman" w:hAnsi="Times New Roman" w:cs="Times New Roman"/>
          <w:color w:val="000000" w:themeColor="text1"/>
        </w:rPr>
        <w:t>Shreya Singhal v. Union of India</w:t>
      </w:r>
    </w:p>
    <w:p w14:paraId="05407A3F" w14:textId="77777777" w:rsidR="00847109" w:rsidRPr="00753727" w:rsidRDefault="00EA2AAA">
      <w:pPr>
        <w:pStyle w:val="Subtitle"/>
        <w:rPr>
          <w:rFonts w:ascii="Times New Roman" w:hAnsi="Times New Roman" w:cs="Times New Roman"/>
          <w:color w:val="000000" w:themeColor="text1"/>
        </w:rPr>
      </w:pPr>
      <w:r w:rsidRPr="00753727">
        <w:rPr>
          <w:rFonts w:ascii="Times New Roman" w:hAnsi="Times New Roman" w:cs="Times New Roman"/>
          <w:color w:val="000000" w:themeColor="text1"/>
        </w:rPr>
        <w:t>A Constitutional Case Study on Free Speech in the Digital Age</w:t>
      </w:r>
    </w:p>
    <w:p w14:paraId="1C5CEEA5" w14:textId="77777777" w:rsidR="00753727" w:rsidRPr="00753727" w:rsidRDefault="00753727">
      <w:pPr>
        <w:pStyle w:val="Subtitle"/>
        <w:rPr>
          <w:rFonts w:ascii="Times New Roman" w:hAnsi="Times New Roman" w:cs="Times New Roman"/>
          <w:color w:val="000000" w:themeColor="text1"/>
        </w:rPr>
      </w:pPr>
    </w:p>
    <w:p w14:paraId="783175CF" w14:textId="77777777" w:rsidR="00753727" w:rsidRPr="00753727" w:rsidRDefault="00753727">
      <w:pPr>
        <w:pStyle w:val="Subtitle"/>
        <w:rPr>
          <w:rFonts w:ascii="Times New Roman" w:hAnsi="Times New Roman" w:cs="Times New Roman"/>
          <w:color w:val="000000" w:themeColor="text1"/>
        </w:rPr>
      </w:pPr>
    </w:p>
    <w:p w14:paraId="2D5EEE00" w14:textId="77777777" w:rsidR="00753727" w:rsidRPr="00753727" w:rsidRDefault="00753727">
      <w:pPr>
        <w:pStyle w:val="Subtitle"/>
        <w:rPr>
          <w:rFonts w:ascii="Times New Roman" w:hAnsi="Times New Roman" w:cs="Times New Roman"/>
          <w:color w:val="000000" w:themeColor="text1"/>
        </w:rPr>
      </w:pPr>
    </w:p>
    <w:p w14:paraId="1C5B7327" w14:textId="77777777" w:rsidR="00753727" w:rsidRPr="00753727" w:rsidRDefault="00753727">
      <w:pPr>
        <w:pStyle w:val="Subtitle"/>
        <w:rPr>
          <w:rFonts w:ascii="Times New Roman" w:hAnsi="Times New Roman" w:cs="Times New Roman"/>
          <w:color w:val="000000" w:themeColor="text1"/>
        </w:rPr>
      </w:pPr>
    </w:p>
    <w:p w14:paraId="2FF0D118" w14:textId="5C8E42AE" w:rsidR="00753727" w:rsidRPr="00753727" w:rsidRDefault="00753727" w:rsidP="00753727">
      <w:pPr>
        <w:pStyle w:val="Subtitle"/>
        <w:rPr>
          <w:rFonts w:ascii="Times New Roman" w:hAnsi="Times New Roman" w:cs="Times New Roman"/>
          <w:color w:val="000000" w:themeColor="text1"/>
          <w:sz w:val="28"/>
          <w:szCs w:val="28"/>
        </w:rPr>
      </w:pPr>
      <w:r w:rsidRPr="00753727">
        <w:rPr>
          <w:rFonts w:ascii="Times New Roman" w:hAnsi="Times New Roman" w:cs="Times New Roman"/>
          <w:b/>
          <w:bCs/>
          <w:color w:val="000000" w:themeColor="text1"/>
          <w:sz w:val="28"/>
          <w:szCs w:val="28"/>
        </w:rPr>
        <w:t xml:space="preserve">                                                                         Student Name:  </w:t>
      </w:r>
      <w:r w:rsidRPr="00753727">
        <w:rPr>
          <w:rFonts w:ascii="Times New Roman" w:hAnsi="Times New Roman" w:cs="Times New Roman"/>
          <w:color w:val="000000" w:themeColor="text1"/>
          <w:sz w:val="28"/>
          <w:szCs w:val="28"/>
        </w:rPr>
        <w:t>Hariprasath k</w:t>
      </w:r>
    </w:p>
    <w:p w14:paraId="449265A1" w14:textId="3084A71E" w:rsidR="00753727" w:rsidRPr="00753727" w:rsidRDefault="00753727" w:rsidP="00753727">
      <w:pPr>
        <w:pStyle w:val="Subtitle"/>
        <w:rPr>
          <w:rFonts w:ascii="Times New Roman" w:hAnsi="Times New Roman" w:cs="Times New Roman"/>
          <w:color w:val="000000" w:themeColor="text1"/>
          <w:sz w:val="28"/>
          <w:szCs w:val="28"/>
        </w:rPr>
      </w:pPr>
      <w:r w:rsidRPr="00753727">
        <w:rPr>
          <w:rFonts w:ascii="Times New Roman" w:hAnsi="Times New Roman" w:cs="Times New Roman"/>
          <w:b/>
          <w:bCs/>
          <w:color w:val="000000" w:themeColor="text1"/>
          <w:sz w:val="28"/>
          <w:szCs w:val="28"/>
        </w:rPr>
        <w:t xml:space="preserve">                                                                                Register Number:  </w:t>
      </w:r>
      <w:r w:rsidRPr="00753727">
        <w:rPr>
          <w:rFonts w:ascii="Times New Roman" w:hAnsi="Times New Roman" w:cs="Times New Roman"/>
          <w:color w:val="000000" w:themeColor="text1"/>
          <w:sz w:val="28"/>
          <w:szCs w:val="28"/>
        </w:rPr>
        <w:t>5272510204 </w:t>
      </w:r>
    </w:p>
    <w:p w14:paraId="3F519825" w14:textId="77777777" w:rsidR="00753727" w:rsidRPr="00753727" w:rsidRDefault="00753727" w:rsidP="00753727">
      <w:pPr>
        <w:pStyle w:val="Subtitle"/>
        <w:rPr>
          <w:rFonts w:ascii="Times New Roman" w:hAnsi="Times New Roman" w:cs="Times New Roman"/>
          <w:color w:val="000000" w:themeColor="text1"/>
          <w:sz w:val="28"/>
          <w:szCs w:val="28"/>
        </w:rPr>
      </w:pPr>
      <w:r w:rsidRPr="00753727">
        <w:rPr>
          <w:rFonts w:ascii="Times New Roman" w:hAnsi="Times New Roman" w:cs="Times New Roman"/>
          <w:b/>
          <w:bCs/>
          <w:color w:val="000000" w:themeColor="text1"/>
          <w:sz w:val="28"/>
          <w:szCs w:val="28"/>
        </w:rPr>
        <w:t xml:space="preserve">                                                                                Course:  </w:t>
      </w:r>
      <w:r w:rsidRPr="00753727">
        <w:rPr>
          <w:rFonts w:ascii="Times New Roman" w:hAnsi="Times New Roman" w:cs="Times New Roman"/>
          <w:color w:val="000000" w:themeColor="text1"/>
          <w:sz w:val="28"/>
          <w:szCs w:val="28"/>
        </w:rPr>
        <w:t>B.com Fintech with AI</w:t>
      </w:r>
    </w:p>
    <w:p w14:paraId="49828FB8" w14:textId="77777777" w:rsidR="00753727" w:rsidRPr="00753727" w:rsidRDefault="00753727">
      <w:pPr>
        <w:pStyle w:val="Subtitle"/>
        <w:rPr>
          <w:rFonts w:ascii="Times New Roman" w:hAnsi="Times New Roman" w:cs="Times New Roman"/>
          <w:color w:val="000000" w:themeColor="text1"/>
          <w:sz w:val="28"/>
          <w:szCs w:val="28"/>
        </w:rPr>
      </w:pPr>
    </w:p>
    <w:p w14:paraId="47EA6C1B" w14:textId="77777777" w:rsidR="00753727" w:rsidRPr="00753727" w:rsidRDefault="00753727">
      <w:pPr>
        <w:pStyle w:val="Subtitle"/>
        <w:rPr>
          <w:rFonts w:ascii="Times New Roman" w:hAnsi="Times New Roman" w:cs="Times New Roman"/>
          <w:color w:val="000000" w:themeColor="text1"/>
        </w:rPr>
      </w:pPr>
    </w:p>
    <w:p w14:paraId="0CEF878D" w14:textId="77777777" w:rsidR="00753727" w:rsidRPr="00753727" w:rsidRDefault="00753727">
      <w:pPr>
        <w:pStyle w:val="Subtitle"/>
        <w:rPr>
          <w:rFonts w:ascii="Times New Roman" w:hAnsi="Times New Roman" w:cs="Times New Roman"/>
          <w:color w:val="000000" w:themeColor="text1"/>
        </w:rPr>
      </w:pPr>
    </w:p>
    <w:p w14:paraId="35F00D51" w14:textId="77777777" w:rsidR="00753727" w:rsidRPr="00753727" w:rsidRDefault="00753727">
      <w:pPr>
        <w:pStyle w:val="Subtitle"/>
        <w:rPr>
          <w:rFonts w:ascii="Times New Roman" w:hAnsi="Times New Roman" w:cs="Times New Roman"/>
          <w:color w:val="000000" w:themeColor="text1"/>
        </w:rPr>
      </w:pPr>
    </w:p>
    <w:p w14:paraId="6F395B75" w14:textId="77777777" w:rsidR="00753727" w:rsidRPr="00753727" w:rsidRDefault="00753727">
      <w:pPr>
        <w:pStyle w:val="Subtitle"/>
        <w:rPr>
          <w:rFonts w:ascii="Times New Roman" w:hAnsi="Times New Roman" w:cs="Times New Roman"/>
          <w:color w:val="000000" w:themeColor="text1"/>
        </w:rPr>
      </w:pPr>
    </w:p>
    <w:p w14:paraId="0E1CD2B6" w14:textId="77777777" w:rsidR="00753727" w:rsidRPr="00753727" w:rsidRDefault="00753727">
      <w:pPr>
        <w:pStyle w:val="Subtitle"/>
        <w:rPr>
          <w:rFonts w:ascii="Times New Roman" w:hAnsi="Times New Roman" w:cs="Times New Roman"/>
          <w:color w:val="000000" w:themeColor="text1"/>
        </w:rPr>
      </w:pPr>
    </w:p>
    <w:p w14:paraId="7329FA4A" w14:textId="77777777" w:rsidR="00753727" w:rsidRPr="00753727" w:rsidRDefault="00753727">
      <w:pPr>
        <w:pStyle w:val="Subtitle"/>
        <w:rPr>
          <w:rFonts w:ascii="Times New Roman" w:hAnsi="Times New Roman" w:cs="Times New Roman"/>
          <w:color w:val="000000" w:themeColor="text1"/>
        </w:rPr>
      </w:pPr>
    </w:p>
    <w:p w14:paraId="7609B681" w14:textId="77777777" w:rsidR="00753727" w:rsidRPr="00753727" w:rsidRDefault="00753727">
      <w:pPr>
        <w:pStyle w:val="Subtitle"/>
        <w:rPr>
          <w:rFonts w:ascii="Times New Roman" w:hAnsi="Times New Roman" w:cs="Times New Roman"/>
          <w:color w:val="000000" w:themeColor="text1"/>
        </w:rPr>
      </w:pPr>
    </w:p>
    <w:p w14:paraId="66D73492" w14:textId="77777777" w:rsidR="00753727" w:rsidRPr="00753727" w:rsidRDefault="00753727">
      <w:pPr>
        <w:pStyle w:val="Subtitle"/>
        <w:rPr>
          <w:rFonts w:ascii="Times New Roman" w:hAnsi="Times New Roman" w:cs="Times New Roman"/>
          <w:color w:val="000000" w:themeColor="text1"/>
        </w:rPr>
      </w:pPr>
    </w:p>
    <w:p w14:paraId="0EDA4057" w14:textId="77777777" w:rsidR="00753727" w:rsidRPr="00753727" w:rsidRDefault="00753727">
      <w:pPr>
        <w:pStyle w:val="Subtitle"/>
        <w:rPr>
          <w:rFonts w:ascii="Times New Roman" w:hAnsi="Times New Roman" w:cs="Times New Roman"/>
          <w:color w:val="000000" w:themeColor="text1"/>
        </w:rPr>
      </w:pPr>
    </w:p>
    <w:p w14:paraId="4F6D27CD" w14:textId="77777777" w:rsidR="00753727" w:rsidRPr="00753727" w:rsidRDefault="00753727">
      <w:pPr>
        <w:pStyle w:val="Subtitle"/>
        <w:rPr>
          <w:rFonts w:ascii="Times New Roman" w:hAnsi="Times New Roman" w:cs="Times New Roman"/>
          <w:color w:val="000000" w:themeColor="text1"/>
        </w:rPr>
      </w:pPr>
    </w:p>
    <w:p w14:paraId="7E59693F" w14:textId="77777777" w:rsidR="00753727" w:rsidRPr="00753727" w:rsidRDefault="00753727">
      <w:pPr>
        <w:pStyle w:val="Subtitle"/>
        <w:rPr>
          <w:rFonts w:ascii="Times New Roman" w:hAnsi="Times New Roman" w:cs="Times New Roman"/>
          <w:color w:val="000000" w:themeColor="text1"/>
        </w:rPr>
      </w:pPr>
    </w:p>
    <w:p w14:paraId="547684F2" w14:textId="77777777" w:rsidR="00753727" w:rsidRPr="00753727" w:rsidRDefault="00753727">
      <w:pPr>
        <w:pStyle w:val="Subtitle"/>
        <w:rPr>
          <w:rFonts w:ascii="Times New Roman" w:hAnsi="Times New Roman" w:cs="Times New Roman"/>
          <w:color w:val="000000" w:themeColor="text1"/>
        </w:rPr>
      </w:pPr>
    </w:p>
    <w:p w14:paraId="15E1A77B" w14:textId="77777777" w:rsidR="00753727" w:rsidRPr="00753727" w:rsidRDefault="00753727">
      <w:pPr>
        <w:pStyle w:val="Subtitle"/>
        <w:rPr>
          <w:rFonts w:ascii="Times New Roman" w:hAnsi="Times New Roman" w:cs="Times New Roman"/>
          <w:color w:val="000000" w:themeColor="text1"/>
        </w:rPr>
      </w:pPr>
    </w:p>
    <w:p w14:paraId="77B3E3B9" w14:textId="77777777" w:rsidR="00753727" w:rsidRPr="00753727" w:rsidRDefault="00753727">
      <w:pPr>
        <w:pStyle w:val="Subtitle"/>
        <w:rPr>
          <w:rFonts w:ascii="Times New Roman" w:hAnsi="Times New Roman" w:cs="Times New Roman"/>
          <w:color w:val="000000" w:themeColor="text1"/>
        </w:rPr>
      </w:pPr>
    </w:p>
    <w:p w14:paraId="733FC634" w14:textId="1F6A4B99" w:rsidR="00753727" w:rsidRPr="00753727" w:rsidRDefault="00753727" w:rsidP="00753727">
      <w:pPr>
        <w:pStyle w:val="Subtitle"/>
        <w:jc w:val="left"/>
        <w:rPr>
          <w:rFonts w:ascii="Times New Roman" w:hAnsi="Times New Roman" w:cs="Times New Roman"/>
          <w:b/>
          <w:bCs/>
          <w:i w:val="0"/>
          <w:iCs w:val="0"/>
          <w:color w:val="000000" w:themeColor="text1"/>
        </w:rPr>
      </w:pPr>
      <w:r>
        <w:rPr>
          <w:rFonts w:ascii="Times New Roman" w:hAnsi="Times New Roman" w:cs="Times New Roman"/>
          <w:b/>
          <w:bCs/>
          <w:color w:val="000000" w:themeColor="text1"/>
        </w:rPr>
        <w:t xml:space="preserve">                                            </w:t>
      </w:r>
      <w:r w:rsidRPr="00753727">
        <w:rPr>
          <w:rFonts w:ascii="Times New Roman" w:hAnsi="Times New Roman" w:cs="Times New Roman"/>
          <w:b/>
          <w:bCs/>
          <w:i w:val="0"/>
          <w:iCs w:val="0"/>
          <w:color w:val="000000" w:themeColor="text1"/>
        </w:rPr>
        <w:t>Table of Contents  </w:t>
      </w:r>
    </w:p>
    <w:p w14:paraId="70A39D71" w14:textId="77777777" w:rsidR="00753727" w:rsidRPr="00753727" w:rsidRDefault="00753727" w:rsidP="00753727">
      <w:pPr>
        <w:pStyle w:val="Subtitle"/>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br/>
      </w:r>
      <w:r w:rsidRPr="00753727">
        <w:rPr>
          <w:rFonts w:ascii="Times New Roman" w:hAnsi="Times New Roman" w:cs="Times New Roman"/>
          <w:b/>
          <w:bCs/>
          <w:i w:val="0"/>
          <w:iCs w:val="0"/>
          <w:color w:val="000000" w:themeColor="text1"/>
        </w:rPr>
        <w:br/>
      </w:r>
    </w:p>
    <w:tbl>
      <w:tblPr>
        <w:tblW w:w="0" w:type="auto"/>
        <w:tblCellMar>
          <w:top w:w="15" w:type="dxa"/>
          <w:left w:w="15" w:type="dxa"/>
          <w:bottom w:w="15" w:type="dxa"/>
          <w:right w:w="15" w:type="dxa"/>
        </w:tblCellMar>
        <w:tblLook w:val="04A0" w:firstRow="1" w:lastRow="0" w:firstColumn="1" w:lastColumn="0" w:noHBand="0" w:noVBand="1"/>
      </w:tblPr>
      <w:tblGrid>
        <w:gridCol w:w="1550"/>
        <w:gridCol w:w="7796"/>
      </w:tblGrid>
      <w:tr w:rsidR="00753727" w:rsidRPr="00753727" w14:paraId="3C52B1E7" w14:textId="77777777" w:rsidTr="00753727">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BEF43"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S.NO</w:t>
            </w:r>
          </w:p>
        </w:tc>
        <w:tc>
          <w:tcPr>
            <w:tcW w:w="7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6B6E1"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Topics  </w:t>
            </w:r>
          </w:p>
        </w:tc>
      </w:tr>
      <w:tr w:rsidR="00753727" w:rsidRPr="00753727" w14:paraId="2A2FFFC7" w14:textId="77777777" w:rsidTr="00753727">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FAE6E"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1</w:t>
            </w:r>
          </w:p>
        </w:tc>
        <w:tc>
          <w:tcPr>
            <w:tcW w:w="7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37EAF"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Introduction  </w:t>
            </w:r>
          </w:p>
        </w:tc>
      </w:tr>
      <w:tr w:rsidR="00753727" w:rsidRPr="00753727" w14:paraId="3C3C1C61" w14:textId="77777777" w:rsidTr="00753727">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4470B"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2</w:t>
            </w:r>
          </w:p>
        </w:tc>
        <w:tc>
          <w:tcPr>
            <w:tcW w:w="7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62AFE"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Facts of the case  </w:t>
            </w:r>
          </w:p>
        </w:tc>
      </w:tr>
      <w:tr w:rsidR="00753727" w:rsidRPr="00753727" w14:paraId="091DF597" w14:textId="77777777" w:rsidTr="00753727">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9815D"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3</w:t>
            </w:r>
          </w:p>
        </w:tc>
        <w:tc>
          <w:tcPr>
            <w:tcW w:w="7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4BB9B"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Legal Issue  </w:t>
            </w:r>
          </w:p>
        </w:tc>
      </w:tr>
      <w:tr w:rsidR="00753727" w:rsidRPr="00753727" w14:paraId="019646A5" w14:textId="77777777" w:rsidTr="00753727">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351E2"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4</w:t>
            </w:r>
          </w:p>
        </w:tc>
        <w:tc>
          <w:tcPr>
            <w:tcW w:w="7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93580"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Judgement  </w:t>
            </w:r>
          </w:p>
        </w:tc>
      </w:tr>
      <w:tr w:rsidR="00753727" w:rsidRPr="00753727" w14:paraId="5762669D" w14:textId="77777777" w:rsidTr="00753727">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0E4EE"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5</w:t>
            </w:r>
          </w:p>
        </w:tc>
        <w:tc>
          <w:tcPr>
            <w:tcW w:w="7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B791E"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Legal Principle: Contract Formation Analysis  </w:t>
            </w:r>
          </w:p>
        </w:tc>
      </w:tr>
      <w:tr w:rsidR="00753727" w:rsidRPr="00753727" w14:paraId="7BD9D5A6" w14:textId="77777777" w:rsidTr="00753727">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77278"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6</w:t>
            </w:r>
          </w:p>
        </w:tc>
        <w:tc>
          <w:tcPr>
            <w:tcW w:w="7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F52D7"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Business Relevance  </w:t>
            </w:r>
          </w:p>
        </w:tc>
      </w:tr>
      <w:tr w:rsidR="00753727" w:rsidRPr="00753727" w14:paraId="00B5061D" w14:textId="77777777" w:rsidTr="00753727">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62F72"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7</w:t>
            </w:r>
          </w:p>
        </w:tc>
        <w:tc>
          <w:tcPr>
            <w:tcW w:w="7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72938" w14:textId="77777777" w:rsidR="00753727" w:rsidRPr="00753727" w:rsidRDefault="00753727" w:rsidP="00753727">
            <w:pPr>
              <w:pStyle w:val="Subtitle"/>
              <w:jc w:val="left"/>
              <w:rPr>
                <w:rFonts w:ascii="Times New Roman" w:hAnsi="Times New Roman" w:cs="Times New Roman"/>
                <w:b/>
                <w:bCs/>
                <w:i w:val="0"/>
                <w:iCs w:val="0"/>
                <w:color w:val="000000" w:themeColor="text1"/>
              </w:rPr>
            </w:pPr>
            <w:r w:rsidRPr="00753727">
              <w:rPr>
                <w:rFonts w:ascii="Times New Roman" w:hAnsi="Times New Roman" w:cs="Times New Roman"/>
                <w:b/>
                <w:bCs/>
                <w:i w:val="0"/>
                <w:iCs w:val="0"/>
                <w:color w:val="000000" w:themeColor="text1"/>
              </w:rPr>
              <w:t>Conclusion  </w:t>
            </w:r>
          </w:p>
        </w:tc>
      </w:tr>
    </w:tbl>
    <w:p w14:paraId="711CA5B3" w14:textId="3BB845ED" w:rsidR="00753727" w:rsidRPr="00753727" w:rsidRDefault="00753727" w:rsidP="00753727">
      <w:pPr>
        <w:pStyle w:val="Subtitle"/>
        <w:jc w:val="left"/>
        <w:rPr>
          <w:rFonts w:ascii="Times New Roman" w:hAnsi="Times New Roman" w:cs="Times New Roman"/>
          <w:color w:val="000000" w:themeColor="text1"/>
        </w:rPr>
      </w:pP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r w:rsidRPr="00753727">
        <w:rPr>
          <w:rFonts w:ascii="Times New Roman" w:hAnsi="Times New Roman" w:cs="Times New Roman"/>
          <w:color w:val="000000" w:themeColor="text1"/>
        </w:rPr>
        <w:br/>
      </w:r>
    </w:p>
    <w:p w14:paraId="51BA0CE1" w14:textId="77777777" w:rsidR="00847109" w:rsidRDefault="00847109">
      <w:pPr>
        <w:spacing w:after="200"/>
        <w:rPr>
          <w:rFonts w:ascii="Times New Roman" w:hAnsi="Times New Roman" w:cs="Times New Roman"/>
          <w:color w:val="000000" w:themeColor="text1"/>
        </w:rPr>
      </w:pPr>
    </w:p>
    <w:p w14:paraId="6C69D86D" w14:textId="77777777" w:rsidR="00753727" w:rsidRDefault="00753727">
      <w:pPr>
        <w:spacing w:after="200"/>
        <w:rPr>
          <w:rFonts w:ascii="Times New Roman" w:hAnsi="Times New Roman" w:cs="Times New Roman"/>
          <w:color w:val="000000" w:themeColor="text1"/>
        </w:rPr>
      </w:pPr>
    </w:p>
    <w:p w14:paraId="3B126280" w14:textId="77777777" w:rsidR="00753727" w:rsidRDefault="00753727">
      <w:pPr>
        <w:spacing w:after="200"/>
        <w:rPr>
          <w:rFonts w:ascii="Times New Roman" w:hAnsi="Times New Roman" w:cs="Times New Roman"/>
          <w:color w:val="000000" w:themeColor="text1"/>
        </w:rPr>
      </w:pPr>
    </w:p>
    <w:p w14:paraId="458DF99E" w14:textId="77777777" w:rsidR="00753727" w:rsidRDefault="00753727">
      <w:pPr>
        <w:spacing w:after="200"/>
        <w:rPr>
          <w:rFonts w:ascii="Times New Roman" w:hAnsi="Times New Roman" w:cs="Times New Roman"/>
          <w:color w:val="000000" w:themeColor="text1"/>
        </w:rPr>
      </w:pPr>
    </w:p>
    <w:p w14:paraId="18B25653" w14:textId="77777777" w:rsidR="00753727" w:rsidRDefault="00753727">
      <w:pPr>
        <w:spacing w:after="200"/>
        <w:rPr>
          <w:rFonts w:ascii="Times New Roman" w:hAnsi="Times New Roman" w:cs="Times New Roman"/>
          <w:color w:val="000000" w:themeColor="text1"/>
        </w:rPr>
      </w:pPr>
    </w:p>
    <w:p w14:paraId="687492B5" w14:textId="77777777" w:rsidR="00753727" w:rsidRDefault="00753727">
      <w:pPr>
        <w:spacing w:after="200"/>
        <w:rPr>
          <w:rFonts w:ascii="Times New Roman" w:hAnsi="Times New Roman" w:cs="Times New Roman"/>
          <w:color w:val="000000" w:themeColor="text1"/>
        </w:rPr>
      </w:pPr>
    </w:p>
    <w:p w14:paraId="6AFAD85A" w14:textId="77777777" w:rsidR="00753727" w:rsidRDefault="00753727">
      <w:pPr>
        <w:spacing w:after="200"/>
        <w:rPr>
          <w:rFonts w:ascii="Times New Roman" w:hAnsi="Times New Roman" w:cs="Times New Roman"/>
          <w:color w:val="000000" w:themeColor="text1"/>
        </w:rPr>
      </w:pPr>
    </w:p>
    <w:p w14:paraId="3766128C" w14:textId="77777777" w:rsidR="00753727" w:rsidRDefault="00753727">
      <w:pPr>
        <w:spacing w:after="200"/>
        <w:rPr>
          <w:rFonts w:ascii="Times New Roman" w:hAnsi="Times New Roman" w:cs="Times New Roman"/>
          <w:color w:val="000000" w:themeColor="text1"/>
        </w:rPr>
      </w:pPr>
    </w:p>
    <w:p w14:paraId="44F5E396" w14:textId="77777777" w:rsidR="00753727" w:rsidRDefault="00753727">
      <w:pPr>
        <w:spacing w:after="200"/>
        <w:rPr>
          <w:rFonts w:ascii="Times New Roman" w:hAnsi="Times New Roman" w:cs="Times New Roman"/>
          <w:color w:val="000000" w:themeColor="text1"/>
        </w:rPr>
      </w:pPr>
    </w:p>
    <w:p w14:paraId="40832840" w14:textId="77777777" w:rsidR="00753727" w:rsidRDefault="00753727">
      <w:pPr>
        <w:spacing w:after="200"/>
        <w:rPr>
          <w:rFonts w:ascii="Times New Roman" w:hAnsi="Times New Roman" w:cs="Times New Roman"/>
          <w:color w:val="000000" w:themeColor="text1"/>
        </w:rPr>
      </w:pPr>
    </w:p>
    <w:p w14:paraId="181B7494" w14:textId="77777777" w:rsidR="00753727" w:rsidRDefault="00753727">
      <w:pPr>
        <w:spacing w:after="200"/>
        <w:rPr>
          <w:rFonts w:ascii="Times New Roman" w:hAnsi="Times New Roman" w:cs="Times New Roman"/>
          <w:color w:val="000000" w:themeColor="text1"/>
        </w:rPr>
      </w:pPr>
    </w:p>
    <w:p w14:paraId="61996CDD" w14:textId="77777777" w:rsidR="00753727" w:rsidRDefault="00753727">
      <w:pPr>
        <w:spacing w:after="200"/>
        <w:rPr>
          <w:rFonts w:ascii="Times New Roman" w:hAnsi="Times New Roman" w:cs="Times New Roman"/>
          <w:color w:val="000000" w:themeColor="text1"/>
        </w:rPr>
      </w:pPr>
    </w:p>
    <w:p w14:paraId="47818467" w14:textId="77777777" w:rsidR="00753727" w:rsidRDefault="00753727">
      <w:pPr>
        <w:spacing w:after="200"/>
        <w:rPr>
          <w:rFonts w:ascii="Times New Roman" w:hAnsi="Times New Roman" w:cs="Times New Roman"/>
          <w:color w:val="000000" w:themeColor="text1"/>
        </w:rPr>
      </w:pPr>
    </w:p>
    <w:p w14:paraId="63D9BB5B" w14:textId="77777777" w:rsidR="00753727" w:rsidRDefault="00753727">
      <w:pPr>
        <w:spacing w:after="200"/>
        <w:rPr>
          <w:rFonts w:ascii="Times New Roman" w:hAnsi="Times New Roman" w:cs="Times New Roman"/>
          <w:color w:val="000000" w:themeColor="text1"/>
        </w:rPr>
      </w:pPr>
    </w:p>
    <w:p w14:paraId="110770E1" w14:textId="77777777" w:rsidR="00753727" w:rsidRDefault="00753727">
      <w:pPr>
        <w:spacing w:after="200"/>
        <w:rPr>
          <w:rFonts w:ascii="Times New Roman" w:hAnsi="Times New Roman" w:cs="Times New Roman"/>
          <w:color w:val="000000" w:themeColor="text1"/>
        </w:rPr>
      </w:pPr>
    </w:p>
    <w:p w14:paraId="4B6C1DE0" w14:textId="77777777" w:rsidR="00753727" w:rsidRDefault="00753727">
      <w:pPr>
        <w:spacing w:after="200"/>
        <w:rPr>
          <w:rFonts w:ascii="Times New Roman" w:hAnsi="Times New Roman" w:cs="Times New Roman"/>
          <w:color w:val="000000" w:themeColor="text1"/>
        </w:rPr>
      </w:pPr>
    </w:p>
    <w:p w14:paraId="0D199CE5" w14:textId="77777777" w:rsidR="00753727" w:rsidRDefault="00753727">
      <w:pPr>
        <w:spacing w:after="200"/>
        <w:rPr>
          <w:rFonts w:ascii="Times New Roman" w:hAnsi="Times New Roman" w:cs="Times New Roman"/>
          <w:color w:val="000000" w:themeColor="text1"/>
        </w:rPr>
      </w:pPr>
    </w:p>
    <w:p w14:paraId="0B931C5D" w14:textId="77777777" w:rsidR="00753727" w:rsidRDefault="00753727">
      <w:pPr>
        <w:spacing w:after="200"/>
        <w:rPr>
          <w:rFonts w:ascii="Times New Roman" w:hAnsi="Times New Roman" w:cs="Times New Roman"/>
          <w:color w:val="000000" w:themeColor="text1"/>
        </w:rPr>
      </w:pPr>
    </w:p>
    <w:p w14:paraId="00E06F76" w14:textId="77777777" w:rsidR="00753727" w:rsidRDefault="00753727">
      <w:pPr>
        <w:spacing w:after="200"/>
        <w:rPr>
          <w:rFonts w:ascii="Times New Roman" w:hAnsi="Times New Roman" w:cs="Times New Roman"/>
          <w:color w:val="000000" w:themeColor="text1"/>
        </w:rPr>
      </w:pPr>
    </w:p>
    <w:p w14:paraId="29921163" w14:textId="77777777" w:rsidR="00753727" w:rsidRDefault="00753727">
      <w:pPr>
        <w:spacing w:after="200"/>
        <w:rPr>
          <w:rFonts w:ascii="Times New Roman" w:hAnsi="Times New Roman" w:cs="Times New Roman"/>
          <w:color w:val="000000" w:themeColor="text1"/>
        </w:rPr>
      </w:pPr>
    </w:p>
    <w:p w14:paraId="36C19B6B" w14:textId="77777777" w:rsidR="00753727" w:rsidRDefault="00753727">
      <w:pPr>
        <w:spacing w:after="200"/>
        <w:rPr>
          <w:rFonts w:ascii="Times New Roman" w:hAnsi="Times New Roman" w:cs="Times New Roman"/>
          <w:color w:val="000000" w:themeColor="text1"/>
        </w:rPr>
      </w:pPr>
    </w:p>
    <w:p w14:paraId="4EB29B29" w14:textId="77777777" w:rsidR="00753727" w:rsidRDefault="00753727">
      <w:pPr>
        <w:spacing w:after="200"/>
        <w:rPr>
          <w:rFonts w:ascii="Times New Roman" w:hAnsi="Times New Roman" w:cs="Times New Roman"/>
          <w:color w:val="000000" w:themeColor="text1"/>
        </w:rPr>
      </w:pPr>
    </w:p>
    <w:p w14:paraId="11B83114" w14:textId="77777777" w:rsidR="00753727" w:rsidRDefault="00753727">
      <w:pPr>
        <w:spacing w:after="200"/>
        <w:rPr>
          <w:rFonts w:ascii="Times New Roman" w:hAnsi="Times New Roman" w:cs="Times New Roman"/>
          <w:color w:val="000000" w:themeColor="text1"/>
        </w:rPr>
      </w:pPr>
    </w:p>
    <w:p w14:paraId="3C086BAF" w14:textId="77777777" w:rsidR="00753727" w:rsidRDefault="00753727">
      <w:pPr>
        <w:spacing w:after="200"/>
        <w:rPr>
          <w:rFonts w:ascii="Times New Roman" w:hAnsi="Times New Roman" w:cs="Times New Roman"/>
          <w:color w:val="000000" w:themeColor="text1"/>
        </w:rPr>
      </w:pPr>
    </w:p>
    <w:p w14:paraId="72378FA3" w14:textId="77777777" w:rsidR="00753727" w:rsidRDefault="00753727">
      <w:pPr>
        <w:spacing w:after="200"/>
        <w:rPr>
          <w:rFonts w:ascii="Times New Roman" w:hAnsi="Times New Roman" w:cs="Times New Roman"/>
          <w:color w:val="000000" w:themeColor="text1"/>
        </w:rPr>
      </w:pPr>
    </w:p>
    <w:p w14:paraId="66277C72" w14:textId="77777777" w:rsidR="00753727" w:rsidRDefault="00753727">
      <w:pPr>
        <w:spacing w:after="200"/>
        <w:rPr>
          <w:rFonts w:ascii="Times New Roman" w:hAnsi="Times New Roman" w:cs="Times New Roman"/>
          <w:color w:val="000000" w:themeColor="text1"/>
        </w:rPr>
      </w:pPr>
    </w:p>
    <w:p w14:paraId="4838C48D" w14:textId="77777777" w:rsidR="00753727" w:rsidRDefault="00753727">
      <w:pPr>
        <w:spacing w:after="200"/>
        <w:rPr>
          <w:rFonts w:ascii="Times New Roman" w:hAnsi="Times New Roman" w:cs="Times New Roman"/>
          <w:color w:val="000000" w:themeColor="text1"/>
        </w:rPr>
      </w:pPr>
    </w:p>
    <w:p w14:paraId="58B34438" w14:textId="77777777" w:rsidR="00753727" w:rsidRDefault="00753727">
      <w:pPr>
        <w:spacing w:after="200"/>
        <w:rPr>
          <w:rFonts w:ascii="Times New Roman" w:hAnsi="Times New Roman" w:cs="Times New Roman"/>
          <w:color w:val="000000" w:themeColor="text1"/>
        </w:rPr>
      </w:pPr>
    </w:p>
    <w:p w14:paraId="4763DE39" w14:textId="77777777" w:rsidR="00753727" w:rsidRPr="00753727" w:rsidRDefault="00753727">
      <w:pPr>
        <w:spacing w:after="200"/>
        <w:rPr>
          <w:rFonts w:ascii="Times New Roman" w:hAnsi="Times New Roman" w:cs="Times New Roman"/>
          <w:color w:val="000000" w:themeColor="text1"/>
        </w:rPr>
      </w:pPr>
    </w:p>
    <w:p w14:paraId="698CE961" w14:textId="77777777" w:rsidR="00847109" w:rsidRPr="00753727" w:rsidRDefault="00EA2AAA">
      <w:pPr>
        <w:pStyle w:val="Heading1"/>
        <w:spacing w:after="200"/>
        <w:rPr>
          <w:rFonts w:ascii="Times New Roman" w:hAnsi="Times New Roman" w:cs="Times New Roman"/>
          <w:color w:val="000000" w:themeColor="text1"/>
        </w:rPr>
      </w:pPr>
      <w:r w:rsidRPr="00753727">
        <w:rPr>
          <w:rFonts w:ascii="Times New Roman" w:hAnsi="Times New Roman" w:cs="Times New Roman"/>
          <w:color w:val="000000" w:themeColor="text1"/>
        </w:rPr>
        <w:t>1. Introduction</w:t>
      </w:r>
    </w:p>
    <w:p w14:paraId="5DE21FAE"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1.1 Overview</w:t>
      </w:r>
    </w:p>
    <w:p w14:paraId="46E63033"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Shreya Singhal v. Union of India is one of the most significant judgments on freedom of speech and expression on the internet in India. The case gained national attention after two young women were arrested over comments they posted on Facebook following the death of a political leader in Maharashtra. The police relied on Section 66A of the Information Technology Act, 2000, a provision that criminalised online communication considered “annoying” or “offensive.”</w:t>
      </w:r>
    </w:p>
    <w:p w14:paraId="07D3F424"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Shreya Singhal, then a law student, challenged the constitutional validity of Section 66A before the Supreme Court, arguing that the provision was vague, overly broad, and open to misuse against ordinary citizens expressing their opinions online.</w:t>
      </w:r>
    </w:p>
    <w:p w14:paraId="6949B3DC"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Supreme Court agreed and struck down Section 66A in its entirety, holding that freedom of speech does not disappear when a person moves from traditional media to the internet, and that online speech is equally protected under Article 19(1)(a) of the Constitution.</w:t>
      </w:r>
    </w:p>
    <w:p w14:paraId="4B85F442"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judgment is regarded as a landmark for digital rights in India: laws regulating online speech must respect constitutional freedoms and cannot rely on vague or subjective language to criminalise ordinary expression.</w:t>
      </w:r>
    </w:p>
    <w:p w14:paraId="6CF8730C" w14:textId="77777777" w:rsidR="00847109" w:rsidRPr="00753727" w:rsidRDefault="00EA2AAA">
      <w:pPr>
        <w:pStyle w:val="Heading1"/>
        <w:spacing w:after="200"/>
        <w:rPr>
          <w:rFonts w:ascii="Times New Roman" w:hAnsi="Times New Roman" w:cs="Times New Roman"/>
          <w:color w:val="000000" w:themeColor="text1"/>
        </w:rPr>
      </w:pPr>
      <w:r w:rsidRPr="00753727">
        <w:rPr>
          <w:rFonts w:ascii="Times New Roman" w:hAnsi="Times New Roman" w:cs="Times New Roman"/>
          <w:color w:val="000000" w:themeColor="text1"/>
        </w:rPr>
        <w:t>2. Facts of the Case</w:t>
      </w:r>
    </w:p>
    <w:p w14:paraId="126282DB"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2.1 Chronological Summary</w:t>
      </w:r>
    </w:p>
    <w:p w14:paraId="6842C9D2"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case arose after the death of a prominent political leader in Mumbai, following which a city-wide shutdown (“bandh”) disrupted normal life and business activity.</w:t>
      </w:r>
    </w:p>
    <w:p w14:paraId="65457B51"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Two young women expressed disagreement with the shutdown through Facebook comments, questioning whether closing an entire city was truly necessary.</w:t>
      </w:r>
    </w:p>
    <w:p w14:paraId="3598C032"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Acting on a complaint, the police arrested both women under Section 66A, which covered online messages deemed “grossly offensive,” “annoying,” “inconvenient,” or “menacing.”</w:t>
      </w:r>
    </w:p>
    <w:p w14:paraId="40121BF9"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arrests sparked widespread public debate, as the women appeared to have done no more than express a personal and political opinion; many viewed the use of criminal law against them as excessive.</w:t>
      </w:r>
    </w:p>
    <w:p w14:paraId="11C8092F"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Shreya Singhal subsequently filed a Public Interest Litigation before the Supreme Court, arguing that the provision's language was too subjective and unclear to serve as a basis for criminal liability.</w:t>
      </w:r>
    </w:p>
    <w:p w14:paraId="42150EDD"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Supreme Court examined Section 66A against the guarantee of free speech under Article 19(1)(a) and the permissible restrictions under Article 19(2), and in 2015 unanimously struck the provision down as unconstitutional.</w:t>
      </w:r>
    </w:p>
    <w:p w14:paraId="3CE8165E"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2.2 Digital and Constitutional Context</w:t>
      </w:r>
    </w:p>
    <w:p w14:paraId="2EAEE513"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case arose as internet and social media use in India was expanding rapidly, with people increasingly turning to platforms such as Facebook to share opinions and engage in political discussion.</w:t>
      </w:r>
    </w:p>
    <w:p w14:paraId="0696C3FA"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Much of India's earlier free-speech jurisprudence had developed around newspapers, books, and public meetings, raising a new question: do the same constitutional protections extend to speech on the internet? The Supreme Court answered this in the affirmative.</w:t>
      </w:r>
    </w:p>
    <w:p w14:paraId="60E8F887"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Court also flagged the danger of vague legal language: when people cannot predict what speech might attract criminal liability, they tend to self-censor — a phenomenon known as the “chilling effect” on free speech.</w:t>
      </w:r>
    </w:p>
    <w:p w14:paraId="64934169" w14:textId="77777777" w:rsidR="00847109" w:rsidRPr="00753727" w:rsidRDefault="00EA2AAA">
      <w:pPr>
        <w:pStyle w:val="Heading1"/>
        <w:spacing w:after="200"/>
        <w:rPr>
          <w:rFonts w:ascii="Times New Roman" w:hAnsi="Times New Roman" w:cs="Times New Roman"/>
          <w:color w:val="000000" w:themeColor="text1"/>
        </w:rPr>
      </w:pPr>
      <w:r w:rsidRPr="00753727">
        <w:rPr>
          <w:rFonts w:ascii="Times New Roman" w:hAnsi="Times New Roman" w:cs="Times New Roman"/>
          <w:color w:val="000000" w:themeColor="text1"/>
        </w:rPr>
        <w:t>3. Legal Issue</w:t>
      </w:r>
    </w:p>
    <w:p w14:paraId="00414858"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3.1 Primary Question of Law</w:t>
      </w:r>
    </w:p>
    <w:p w14:paraId="6380FA5C"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Whether Section 66A of the Information Technology Act, 2000 violated the fundamental right to freedom of speech and expression under Article 19(1)(a) of the Constitution, and whether it could be justified as a reasonable restriction under Article 19(2).</w:t>
      </w:r>
    </w:p>
    <w:p w14:paraId="66118392"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Related questions before the Court included:</w:t>
      </w:r>
    </w:p>
    <w:p w14:paraId="48F172B2"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Does Article 19(1)(a) apply equally to speech expressed through the internet and social media?</w:t>
      </w:r>
    </w:p>
    <w:p w14:paraId="71C9FDC3"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Are terms such as “annoying,” “inconvenient,” “grossly offensive,” and “menacing” too vague for a criminal statute?</w:t>
      </w:r>
    </w:p>
    <w:p w14:paraId="6D191FA4"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Could Section 66A be justified under any of the specific grounds listed in Article 19(2)?</w:t>
      </w:r>
    </w:p>
    <w:p w14:paraId="77DFD5E1"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Did the provision's broad wording create a chilling effect that discouraged people from expressing opinions online?</w:t>
      </w:r>
    </w:p>
    <w:p w14:paraId="611D09F4"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3.2 Arguments of the Petitioners</w:t>
      </w:r>
    </w:p>
    <w:p w14:paraId="3213C12A"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petitioners argued that Section 66A was unconstitutional because it relied on vague and subjective terms — what one person finds “annoying,” another may not, and what seems “grossly offensive” to one may be ordinary criticism to another.</w:t>
      </w:r>
    </w:p>
    <w:p w14:paraId="3AE634D6"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Without clear standards, they argued, police officers could apply the provision inconsistently, and the law could deter people from expressing political opinions, criticism, or dissent for fear of arrest.</w:t>
      </w:r>
    </w:p>
    <w:p w14:paraId="2C85C1A5"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They further argued that the restrictions in Section 66A did not fit within any of the specific grounds enumerated under Article 19(2).</w:t>
      </w:r>
    </w:p>
    <w:p w14:paraId="2262B0DC"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3.3 Arguments of the Union of India</w:t>
      </w:r>
    </w:p>
    <w:p w14:paraId="3F279A33"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Union Government defended Section 66A, arguing that the internet posed new challenges requiring dedicated regulation and that the provision was needed to address harmful online communication.</w:t>
      </w:r>
    </w:p>
    <w:p w14:paraId="6D536BCB"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It suggested that, rather than striking the provision down, the Court could read it narrowly so that only serious and genuinely harmful communications were covered.</w:t>
      </w:r>
    </w:p>
    <w:p w14:paraId="345B3FB6"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Supreme Court ultimately concluded that the defects in Section 66A's language were too fundamental to be cured through a narrower interpretation.</w:t>
      </w:r>
    </w:p>
    <w:p w14:paraId="2BA7F16D" w14:textId="77777777" w:rsidR="00847109" w:rsidRPr="00753727" w:rsidRDefault="00EA2AAA">
      <w:pPr>
        <w:pStyle w:val="Heading1"/>
        <w:spacing w:after="200"/>
        <w:rPr>
          <w:rFonts w:ascii="Times New Roman" w:hAnsi="Times New Roman" w:cs="Times New Roman"/>
          <w:color w:val="000000" w:themeColor="text1"/>
        </w:rPr>
      </w:pPr>
      <w:r w:rsidRPr="00753727">
        <w:rPr>
          <w:rFonts w:ascii="Times New Roman" w:hAnsi="Times New Roman" w:cs="Times New Roman"/>
          <w:color w:val="000000" w:themeColor="text1"/>
        </w:rPr>
        <w:t>4. Judgment</w:t>
      </w:r>
    </w:p>
    <w:p w14:paraId="64E5A0F0"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4.1 Decision of the Supreme Court</w:t>
      </w:r>
    </w:p>
    <w:p w14:paraId="585BF5D2"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Supreme Court unanimously struck down Section 66A in its entirety, holding that it violated Article 19(1)(a) and could not be saved as a reasonable restriction under Article 19(2).</w:t>
      </w:r>
    </w:p>
    <w:p w14:paraId="5AF262F0"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Rather than reading the provision down, the Court declared the whole section unconstitutional, principally because its language was so broad and unclear that it gave authorities excessive discretion to decide what online speech amounted to a criminal offence.</w:t>
      </w:r>
    </w:p>
    <w:p w14:paraId="1FCA6F60"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4.2 Ratio Decidendi</w:t>
      </w:r>
    </w:p>
    <w:p w14:paraId="341F75B7" w14:textId="77777777" w:rsidR="00847109" w:rsidRPr="00753727" w:rsidRDefault="00EA2AAA">
      <w:pPr>
        <w:spacing w:before="120" w:after="80"/>
        <w:rPr>
          <w:rFonts w:ascii="Times New Roman" w:hAnsi="Times New Roman" w:cs="Times New Roman"/>
          <w:color w:val="000000" w:themeColor="text1"/>
        </w:rPr>
      </w:pPr>
      <w:r w:rsidRPr="00753727">
        <w:rPr>
          <w:rFonts w:ascii="Times New Roman" w:hAnsi="Times New Roman" w:cs="Times New Roman"/>
          <w:b/>
          <w:bCs/>
          <w:color w:val="000000" w:themeColor="text1"/>
        </w:rPr>
        <w:t>Protection of Online Speech</w:t>
      </w:r>
    </w:p>
    <w:p w14:paraId="35F3BE08"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Court held that freedom of speech does not depend on the medium of communication. A person expressing an opinion online receives the same constitutional protection as one expressing an opinion through a newspaper, book, or public speech — an important recognition of the internet's role in modern life.</w:t>
      </w:r>
    </w:p>
    <w:p w14:paraId="62CDF67F" w14:textId="77777777" w:rsidR="00847109" w:rsidRPr="00753727" w:rsidRDefault="00EA2AAA">
      <w:pPr>
        <w:spacing w:before="120" w:after="80"/>
        <w:rPr>
          <w:rFonts w:ascii="Times New Roman" w:hAnsi="Times New Roman" w:cs="Times New Roman"/>
          <w:color w:val="000000" w:themeColor="text1"/>
        </w:rPr>
      </w:pPr>
      <w:r w:rsidRPr="00753727">
        <w:rPr>
          <w:rFonts w:ascii="Times New Roman" w:hAnsi="Times New Roman" w:cs="Times New Roman"/>
          <w:b/>
          <w:bCs/>
          <w:color w:val="000000" w:themeColor="text1"/>
        </w:rPr>
        <w:t>Vagueness of Section 66A</w:t>
      </w:r>
    </w:p>
    <w:p w14:paraId="12764BD1"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Court closely scrutinised terms such as “annoying,” “inconvenient,” “grossly offensive,” and “menacing,” finding that they lacked clear, objective boundaries. Because a criminal law that turns on personal feelings invites arbitrary enforcement, the Court held that Section 66A failed to give citizens or law enforcement sufficient clarity about what was actually prohibited.</w:t>
      </w:r>
    </w:p>
    <w:p w14:paraId="5F47570F" w14:textId="77777777" w:rsidR="00847109" w:rsidRPr="00753727" w:rsidRDefault="00EA2AAA">
      <w:pPr>
        <w:spacing w:before="120" w:after="80"/>
        <w:rPr>
          <w:rFonts w:ascii="Times New Roman" w:hAnsi="Times New Roman" w:cs="Times New Roman"/>
          <w:color w:val="000000" w:themeColor="text1"/>
        </w:rPr>
      </w:pPr>
      <w:r w:rsidRPr="00753727">
        <w:rPr>
          <w:rFonts w:ascii="Times New Roman" w:hAnsi="Times New Roman" w:cs="Times New Roman"/>
          <w:b/>
          <w:bCs/>
          <w:color w:val="000000" w:themeColor="text1"/>
        </w:rPr>
        <w:t>Chilling Effect on Free Speech</w:t>
      </w:r>
    </w:p>
    <w:p w14:paraId="4EE3B4E3"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Court also considered the broader effect of such a vague law: when people are unsure whether their comments might invite arrest or prosecution, they may simply avoid expressing themselves at all — even where their opinion is entirely legitimate. The Court recognised this chilling effect as a serious threat to freedom of expression.</w:t>
      </w:r>
    </w:p>
    <w:p w14:paraId="109F4B86" w14:textId="77777777" w:rsidR="00847109" w:rsidRPr="00753727" w:rsidRDefault="00EA2AAA">
      <w:pPr>
        <w:spacing w:before="120" w:after="80"/>
        <w:rPr>
          <w:rFonts w:ascii="Times New Roman" w:hAnsi="Times New Roman" w:cs="Times New Roman"/>
          <w:color w:val="000000" w:themeColor="text1"/>
        </w:rPr>
      </w:pPr>
      <w:r w:rsidRPr="00753727">
        <w:rPr>
          <w:rFonts w:ascii="Times New Roman" w:hAnsi="Times New Roman" w:cs="Times New Roman"/>
          <w:b/>
          <w:bCs/>
          <w:color w:val="000000" w:themeColor="text1"/>
        </w:rPr>
        <w:t>Article 19(2) Analysis</w:t>
      </w:r>
    </w:p>
    <w:p w14:paraId="4A210C1A"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Article 19(2) permits reasonable restrictions on speech only on specific grounds — such as public order, security of the State, decency or morality, defamation, and incitement to an offence. The Court found that the broad categories covered by Section 66A did not properly fall within these permitted grounds, so the provision could not be justified merely on the basis that it was useful for controlling harmful online communication.</w:t>
      </w:r>
    </w:p>
    <w:p w14:paraId="70DA12AA" w14:textId="77777777" w:rsidR="00847109" w:rsidRPr="00753727" w:rsidRDefault="00EA2AAA">
      <w:pPr>
        <w:pBdr>
          <w:left w:val="single" w:sz="12" w:space="8" w:color="8C1D18"/>
        </w:pBdr>
        <w:spacing w:before="120" w:after="160"/>
        <w:ind w:left="480" w:right="480"/>
        <w:rPr>
          <w:rFonts w:ascii="Times New Roman" w:hAnsi="Times New Roman" w:cs="Times New Roman"/>
          <w:color w:val="000000" w:themeColor="text1"/>
        </w:rPr>
      </w:pPr>
      <w:r w:rsidRPr="00753727">
        <w:rPr>
          <w:rFonts w:ascii="Times New Roman" w:hAnsi="Times New Roman" w:cs="Times New Roman"/>
          <w:i/>
          <w:iCs/>
          <w:color w:val="000000" w:themeColor="text1"/>
        </w:rPr>
        <w:t>“The public's right to know is directly affected by Section 66A.”</w:t>
      </w:r>
    </w:p>
    <w:p w14:paraId="790B0010"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Court's overall conclusion was that Section 66A was too vague, too broad, and too susceptible to misuse to survive constitutional scrutiny, and therefore had to be struck down in its entirety.</w:t>
      </w:r>
    </w:p>
    <w:p w14:paraId="360E4CD7" w14:textId="77777777" w:rsidR="00847109" w:rsidRPr="00753727" w:rsidRDefault="00EA2AAA">
      <w:pPr>
        <w:pStyle w:val="Heading1"/>
        <w:spacing w:after="200"/>
        <w:rPr>
          <w:rFonts w:ascii="Times New Roman" w:hAnsi="Times New Roman" w:cs="Times New Roman"/>
          <w:color w:val="000000" w:themeColor="text1"/>
        </w:rPr>
      </w:pPr>
      <w:r w:rsidRPr="00753727">
        <w:rPr>
          <w:rFonts w:ascii="Times New Roman" w:hAnsi="Times New Roman" w:cs="Times New Roman"/>
          <w:color w:val="000000" w:themeColor="text1"/>
        </w:rPr>
        <w:t>5. Legal Principle: Free Speech and the Doctrine of Vagueness</w:t>
      </w:r>
    </w:p>
    <w:p w14:paraId="5DA6A4A7"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5.1 Article 19(1)(a) and Reasonable Restrictions</w:t>
      </w:r>
    </w:p>
    <w:p w14:paraId="5D077E9F"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Article 19(1)(a) guarantees citizens the fundamental right to freedom of speech and expression, though this right is not absolute — Article 19(2) permits reasonable restrictions in specific circumstances, including:</w:t>
      </w:r>
    </w:p>
    <w:p w14:paraId="03917F72"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Sovereignty and integrity of India</w:t>
      </w:r>
    </w:p>
    <w:p w14:paraId="7FD2D82E"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Security of the State</w:t>
      </w:r>
    </w:p>
    <w:p w14:paraId="56BC5D83"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Public order</w:t>
      </w:r>
    </w:p>
    <w:p w14:paraId="135C4DB9"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Decency or morality</w:t>
      </w:r>
    </w:p>
    <w:p w14:paraId="571E7198"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Contempt of court</w:t>
      </w:r>
    </w:p>
    <w:p w14:paraId="45F8C7AF"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Defamation</w:t>
      </w:r>
    </w:p>
    <w:p w14:paraId="74115AE4"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Incitement to an offence</w:t>
      </w:r>
    </w:p>
    <w:p w14:paraId="58D8C042"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key takeaway from Shreya Singhal is that the government cannot restrict speech merely because it finds it inconvenient, unpopular, or unpleasant — any restriction must rest on a proper constitutional basis.</w:t>
      </w:r>
    </w:p>
    <w:p w14:paraId="0E547F51"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5.2 Vagueness and the Chilling Effect</w:t>
      </w:r>
    </w:p>
    <w:p w14:paraId="5AA50A03"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A central theme of the judgment is the doctrine of vagueness: a criminal law must be clear enough for an ordinary person to understand what conduct it prohibits. Section 66A failed this test because terms like “annoying” and “grossly offensive” are highly subjective.</w:t>
      </w:r>
    </w:p>
    <w:p w14:paraId="087DE8CA"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This uncertainty creates two related problems — ordinary people cannot be sure whether their speech is lawful, and police officers are left with excessive discretion to decide what counts as offensive or annoying. The result is self-censorship even of entirely legitimate speech, which is the essence of the chilling effect.</w:t>
      </w:r>
    </w:p>
    <w:p w14:paraId="61583CBC"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5.3 Other Notable Aspects of the Judgment</w:t>
      </w:r>
    </w:p>
    <w:p w14:paraId="111EF0B6"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Supreme Court did not strike down every provision of the IT Act. It upheld Section 69A, which provides a procedural framework for blocking online content, and interpreted Section 79 (on intermediary liability) in a manner that protects intermediaries while requiring action in circumstances recognised by law.</w:t>
      </w:r>
    </w:p>
    <w:p w14:paraId="6B05259F"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judgment has shaped later cases on internet rights and digital freedoms — for instance, in Anuradha Bhasin v. Union of India, the Supreme Court examined the relationship between internet access and freedom of speech and expression. Shreya Singhal therefore remains a foundational starting point for studying constitutional rights in India's digital environment.</w:t>
      </w:r>
    </w:p>
    <w:p w14:paraId="3F8124BF" w14:textId="77777777" w:rsidR="00847109" w:rsidRPr="00753727" w:rsidRDefault="00EA2AAA">
      <w:pPr>
        <w:pStyle w:val="Heading1"/>
        <w:spacing w:after="200"/>
        <w:rPr>
          <w:rFonts w:ascii="Times New Roman" w:hAnsi="Times New Roman" w:cs="Times New Roman"/>
          <w:color w:val="000000" w:themeColor="text1"/>
        </w:rPr>
      </w:pPr>
      <w:r w:rsidRPr="00753727">
        <w:rPr>
          <w:rFonts w:ascii="Times New Roman" w:hAnsi="Times New Roman" w:cs="Times New Roman"/>
          <w:color w:val="000000" w:themeColor="text1"/>
        </w:rPr>
        <w:t>6. Business Relevance</w:t>
      </w:r>
    </w:p>
    <w:p w14:paraId="586B8116"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6.1 Application in Modern Business</w:t>
      </w:r>
    </w:p>
    <w:p w14:paraId="2F4410B2"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Although primarily a constitutional law case, Shreya Singhal carries important implications for modern digital businesses that host user-generated content, including:</w:t>
      </w:r>
    </w:p>
    <w:p w14:paraId="61413F20"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Social media companies</w:t>
      </w:r>
    </w:p>
    <w:p w14:paraId="1F1F8CE3"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E-commerce platforms</w:t>
      </w:r>
    </w:p>
    <w:p w14:paraId="186CA746"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Fintech applications</w:t>
      </w:r>
    </w:p>
    <w:p w14:paraId="1B59F4DC"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Online marketplaces</w:t>
      </w:r>
    </w:p>
    <w:p w14:paraId="651359E3"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Digital payment platforms</w:t>
      </w:r>
    </w:p>
    <w:p w14:paraId="326C3B9F"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Online communities</w:t>
      </w:r>
    </w:p>
    <w:p w14:paraId="7D381AA6" w14:textId="77777777" w:rsidR="00847109" w:rsidRPr="00753727" w:rsidRDefault="00EA2AAA">
      <w:pPr>
        <w:pStyle w:val="ListParagraph"/>
        <w:numPr>
          <w:ilvl w:val="0"/>
          <w:numId w:val="2"/>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Businesses with customer-review sections</w:t>
      </w:r>
    </w:p>
    <w:p w14:paraId="6C6354FA"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Such businesses need content policies that are clear and reasonable. A company may legitimately prohibit threats, harassment, or fraud, but should avoid treating every negative comment or criticism as a policy violation simply because it is unwelcome.</w:t>
      </w:r>
    </w:p>
    <w:p w14:paraId="39BFF2A2"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For fintech companies in particular, this principle is directly relevant to designing communication features, customer forums, review systems, and complaint platforms — a customer should be able to criticise a financial service or complain about a transaction without being automatically flagged as violating policy.</w:t>
      </w:r>
    </w:p>
    <w:p w14:paraId="13CBF56A"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6.2 Risk Management and Compliance</w:t>
      </w:r>
    </w:p>
    <w:p w14:paraId="12929EB4"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judgment also offers practical lessons for digital businesses:</w:t>
      </w:r>
    </w:p>
    <w:p w14:paraId="1DDF25E7" w14:textId="77777777" w:rsidR="00847109" w:rsidRPr="00753727" w:rsidRDefault="00EA2AAA">
      <w:pPr>
        <w:pStyle w:val="ListParagraph"/>
        <w:numPr>
          <w:ilvl w:val="0"/>
          <w:numId w:val="1"/>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Create clear policies — explain what content is prohibited in concrete terms rather than vague labels like “bad content” or “offensive content.”</w:t>
      </w:r>
    </w:p>
    <w:p w14:paraId="14BDBF79" w14:textId="77777777" w:rsidR="00847109" w:rsidRPr="00753727" w:rsidRDefault="00EA2AAA">
      <w:pPr>
        <w:pStyle w:val="ListParagraph"/>
        <w:numPr>
          <w:ilvl w:val="0"/>
          <w:numId w:val="1"/>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Understand intermediary responsibilities — build proper systems for handling legally valid requests to remove content or provide information.</w:t>
      </w:r>
    </w:p>
    <w:p w14:paraId="4E675368" w14:textId="77777777" w:rsidR="00847109" w:rsidRPr="00753727" w:rsidRDefault="00EA2AAA">
      <w:pPr>
        <w:pStyle w:val="ListParagraph"/>
        <w:numPr>
          <w:ilvl w:val="0"/>
          <w:numId w:val="1"/>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Avoid over-moderation — do not remove content merely because it is unpopular or critical; distinguish genuinely harmful content from legitimate opinion.</w:t>
      </w:r>
    </w:p>
    <w:p w14:paraId="6CF79D70" w14:textId="77777777" w:rsidR="00847109" w:rsidRPr="00753727" w:rsidRDefault="00EA2AAA">
      <w:pPr>
        <w:pStyle w:val="ListParagraph"/>
        <w:numPr>
          <w:ilvl w:val="0"/>
          <w:numId w:val="1"/>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Keep up with legal developments — monitor evolving case law and regulation on internet usage, privacy, content moderation, and digital rights.</w:t>
      </w:r>
    </w:p>
    <w:p w14:paraId="725FB7AA" w14:textId="77777777" w:rsidR="00847109" w:rsidRPr="00753727" w:rsidRDefault="00EA2AAA">
      <w:pPr>
        <w:pStyle w:val="ListParagraph"/>
        <w:numPr>
          <w:ilvl w:val="0"/>
          <w:numId w:val="1"/>
        </w:numPr>
        <w:spacing w:after="90"/>
        <w:rPr>
          <w:rFonts w:ascii="Times New Roman" w:hAnsi="Times New Roman" w:cs="Times New Roman"/>
          <w:color w:val="000000" w:themeColor="text1"/>
        </w:rPr>
      </w:pPr>
      <w:r w:rsidRPr="00753727">
        <w:rPr>
          <w:rFonts w:ascii="Times New Roman" w:hAnsi="Times New Roman" w:cs="Times New Roman"/>
          <w:color w:val="000000" w:themeColor="text1"/>
        </w:rPr>
        <w:t>Maintain proper compliance procedures — verify that any government or law-enforcement request to remove content has proper legal authority and follows due process, reducing both legal and reputational risk.</w:t>
      </w:r>
    </w:p>
    <w:p w14:paraId="5D15D6D6" w14:textId="77777777" w:rsidR="00847109" w:rsidRPr="00753727" w:rsidRDefault="00EA2AAA">
      <w:pPr>
        <w:pStyle w:val="Heading1"/>
        <w:spacing w:after="200"/>
        <w:rPr>
          <w:rFonts w:ascii="Times New Roman" w:hAnsi="Times New Roman" w:cs="Times New Roman"/>
          <w:color w:val="000000" w:themeColor="text1"/>
        </w:rPr>
      </w:pPr>
      <w:r w:rsidRPr="00753727">
        <w:rPr>
          <w:rFonts w:ascii="Times New Roman" w:hAnsi="Times New Roman" w:cs="Times New Roman"/>
          <w:color w:val="000000" w:themeColor="text1"/>
        </w:rPr>
        <w:t>7. Conclusion</w:t>
      </w:r>
    </w:p>
    <w:p w14:paraId="29DFC71B" w14:textId="77777777" w:rsidR="00847109" w:rsidRPr="00753727" w:rsidRDefault="00EA2AAA">
      <w:pPr>
        <w:pStyle w:val="Heading2"/>
        <w:spacing w:after="140"/>
        <w:rPr>
          <w:rFonts w:ascii="Times New Roman" w:hAnsi="Times New Roman" w:cs="Times New Roman"/>
          <w:color w:val="000000" w:themeColor="text1"/>
        </w:rPr>
      </w:pPr>
      <w:r w:rsidRPr="00753727">
        <w:rPr>
          <w:rFonts w:ascii="Times New Roman" w:hAnsi="Times New Roman" w:cs="Times New Roman"/>
          <w:color w:val="000000" w:themeColor="text1"/>
        </w:rPr>
        <w:t>7.1 Personal Learning and Observations</w:t>
      </w:r>
    </w:p>
    <w:p w14:paraId="08E617DA"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Studying Shreya Singhal v. Union of India clarified how constitutional rights extend into the digital world. Before this case, I associated freedom of speech mainly with newspapers, television, and public speeches; this case showed that the same constitutional protection applies when people express themselves through social media and the internet.</w:t>
      </w:r>
    </w:p>
    <w:p w14:paraId="7E2DACC8"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most striking part of the judgment was its treatment of vague terms such as “annoying” and “grossly offensive.” These words seem simple, but their meaning shifts from person to person — and when used in a criminal law without clear boundaries, they create real potential for misuse.</w:t>
      </w:r>
    </w:p>
    <w:p w14:paraId="394A6367"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idea of the “chilling effect” was equally important: a law can suppress free speech without anyone being arrested, simply because people fear that they might be.</w:t>
      </w:r>
    </w:p>
    <w:p w14:paraId="75D42BE0"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As a student of B.Com FinTech with AI, I find this case particularly relevant because technology and business are increasingly intertwined. Fintech companies, social media platforms, and other digital businesses handle large volumes of user-generated content and communication, and need to understand not only technology and business but also the legal rights of their users.</w:t>
      </w:r>
    </w:p>
    <w:p w14:paraId="67A418D3"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The broader lesson is that regulating harmful online behaviour is important, but the law must remain clear and reasonable while doing so — legitimate criticism should not be restricted simply because it is uncomfortable or unpopular.</w:t>
      </w:r>
    </w:p>
    <w:p w14:paraId="1D593896" w14:textId="77777777" w:rsidR="00847109" w:rsidRPr="00753727" w:rsidRDefault="00EA2AAA">
      <w:pPr>
        <w:spacing w:after="160" w:line="300" w:lineRule="auto"/>
        <w:jc w:val="both"/>
        <w:rPr>
          <w:rFonts w:ascii="Times New Roman" w:hAnsi="Times New Roman" w:cs="Times New Roman"/>
          <w:color w:val="000000" w:themeColor="text1"/>
        </w:rPr>
      </w:pPr>
      <w:r w:rsidRPr="00753727">
        <w:rPr>
          <w:rFonts w:ascii="Times New Roman" w:hAnsi="Times New Roman" w:cs="Times New Roman"/>
          <w:color w:val="000000" w:themeColor="text1"/>
        </w:rPr>
        <w:t>Overall, Shreya Singhal v. Union of India demonstrates that the Constitution continues to protect individual freedom even as technology evolves — a reminder that digital progress and fundamental rights must develop together.</w:t>
      </w:r>
    </w:p>
    <w:sectPr w:rsidR="00847109" w:rsidRPr="0075372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45C8C" w14:textId="77777777" w:rsidR="006F4814" w:rsidRDefault="006F4814">
      <w:r>
        <w:separator/>
      </w:r>
    </w:p>
  </w:endnote>
  <w:endnote w:type="continuationSeparator" w:id="0">
    <w:p w14:paraId="3F54D34D" w14:textId="77777777" w:rsidR="006F4814" w:rsidRDefault="006F4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57691" w14:textId="77777777" w:rsidR="00847109" w:rsidRDefault="00EA2AA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372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5372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C1746" w14:textId="77777777" w:rsidR="006F4814" w:rsidRDefault="006F4814">
      <w:r>
        <w:separator/>
      </w:r>
    </w:p>
  </w:footnote>
  <w:footnote w:type="continuationSeparator" w:id="0">
    <w:p w14:paraId="65C87FDB" w14:textId="77777777" w:rsidR="006F4814" w:rsidRDefault="006F4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C4AD" w14:textId="77777777" w:rsidR="00847109" w:rsidRDefault="00EA2AAA">
    <w:pPr>
      <w:jc w:val="right"/>
    </w:pPr>
    <w:r>
      <w:rPr>
        <w:color w:val="888888"/>
        <w:sz w:val="16"/>
        <w:szCs w:val="16"/>
      </w:rPr>
      <w:t>Shreya Singhal v. Union of India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57A7C"/>
    <w:multiLevelType w:val="hybridMultilevel"/>
    <w:tmpl w:val="8034DA2A"/>
    <w:lvl w:ilvl="0" w:tplc="30AC9580">
      <w:start w:val="1"/>
      <w:numFmt w:val="bullet"/>
      <w:lvlText w:val="•"/>
      <w:lvlJc w:val="left"/>
      <w:pPr>
        <w:ind w:left="480" w:hanging="240"/>
      </w:pPr>
    </w:lvl>
    <w:lvl w:ilvl="1" w:tplc="B3D22B32">
      <w:numFmt w:val="decimal"/>
      <w:lvlText w:val=""/>
      <w:lvlJc w:val="left"/>
    </w:lvl>
    <w:lvl w:ilvl="2" w:tplc="8140FA82">
      <w:numFmt w:val="decimal"/>
      <w:lvlText w:val=""/>
      <w:lvlJc w:val="left"/>
    </w:lvl>
    <w:lvl w:ilvl="3" w:tplc="1AEE9E8C">
      <w:numFmt w:val="decimal"/>
      <w:lvlText w:val=""/>
      <w:lvlJc w:val="left"/>
    </w:lvl>
    <w:lvl w:ilvl="4" w:tplc="EA929BAC">
      <w:numFmt w:val="decimal"/>
      <w:lvlText w:val=""/>
      <w:lvlJc w:val="left"/>
    </w:lvl>
    <w:lvl w:ilvl="5" w:tplc="8140086A">
      <w:numFmt w:val="decimal"/>
      <w:lvlText w:val=""/>
      <w:lvlJc w:val="left"/>
    </w:lvl>
    <w:lvl w:ilvl="6" w:tplc="4480638C">
      <w:numFmt w:val="decimal"/>
      <w:lvlText w:val=""/>
      <w:lvlJc w:val="left"/>
    </w:lvl>
    <w:lvl w:ilvl="7" w:tplc="76CAA58A">
      <w:numFmt w:val="decimal"/>
      <w:lvlText w:val=""/>
      <w:lvlJc w:val="left"/>
    </w:lvl>
    <w:lvl w:ilvl="8" w:tplc="3D80E04A">
      <w:numFmt w:val="decimal"/>
      <w:lvlText w:val=""/>
      <w:lvlJc w:val="left"/>
    </w:lvl>
  </w:abstractNum>
  <w:abstractNum w:abstractNumId="1" w15:restartNumberingAfterBreak="0">
    <w:nsid w:val="5B2C6440"/>
    <w:multiLevelType w:val="hybridMultilevel"/>
    <w:tmpl w:val="C82A87F8"/>
    <w:lvl w:ilvl="0" w:tplc="CFF6A00C">
      <w:start w:val="1"/>
      <w:numFmt w:val="bullet"/>
      <w:lvlText w:val="●"/>
      <w:lvlJc w:val="left"/>
      <w:pPr>
        <w:ind w:left="720" w:hanging="360"/>
      </w:pPr>
    </w:lvl>
    <w:lvl w:ilvl="1" w:tplc="92789832">
      <w:start w:val="1"/>
      <w:numFmt w:val="bullet"/>
      <w:lvlText w:val="○"/>
      <w:lvlJc w:val="left"/>
      <w:pPr>
        <w:ind w:left="1440" w:hanging="360"/>
      </w:pPr>
    </w:lvl>
    <w:lvl w:ilvl="2" w:tplc="5A84D458">
      <w:start w:val="1"/>
      <w:numFmt w:val="bullet"/>
      <w:lvlText w:val="■"/>
      <w:lvlJc w:val="left"/>
      <w:pPr>
        <w:ind w:left="2160" w:hanging="360"/>
      </w:pPr>
    </w:lvl>
    <w:lvl w:ilvl="3" w:tplc="F432AF22">
      <w:start w:val="1"/>
      <w:numFmt w:val="bullet"/>
      <w:lvlText w:val="●"/>
      <w:lvlJc w:val="left"/>
      <w:pPr>
        <w:ind w:left="2880" w:hanging="360"/>
      </w:pPr>
    </w:lvl>
    <w:lvl w:ilvl="4" w:tplc="32E28FE0">
      <w:start w:val="1"/>
      <w:numFmt w:val="bullet"/>
      <w:lvlText w:val="○"/>
      <w:lvlJc w:val="left"/>
      <w:pPr>
        <w:ind w:left="3600" w:hanging="360"/>
      </w:pPr>
    </w:lvl>
    <w:lvl w:ilvl="5" w:tplc="188E8780">
      <w:start w:val="1"/>
      <w:numFmt w:val="bullet"/>
      <w:lvlText w:val="■"/>
      <w:lvlJc w:val="left"/>
      <w:pPr>
        <w:ind w:left="4320" w:hanging="360"/>
      </w:pPr>
    </w:lvl>
    <w:lvl w:ilvl="6" w:tplc="9C9ED0E0">
      <w:start w:val="1"/>
      <w:numFmt w:val="bullet"/>
      <w:lvlText w:val="●"/>
      <w:lvlJc w:val="left"/>
      <w:pPr>
        <w:ind w:left="5040" w:hanging="360"/>
      </w:pPr>
    </w:lvl>
    <w:lvl w:ilvl="7" w:tplc="A0E63D74">
      <w:start w:val="1"/>
      <w:numFmt w:val="bullet"/>
      <w:lvlText w:val="●"/>
      <w:lvlJc w:val="left"/>
      <w:pPr>
        <w:ind w:left="5760" w:hanging="360"/>
      </w:pPr>
    </w:lvl>
    <w:lvl w:ilvl="8" w:tplc="09A8C432">
      <w:start w:val="1"/>
      <w:numFmt w:val="bullet"/>
      <w:lvlText w:val="●"/>
      <w:lvlJc w:val="left"/>
      <w:pPr>
        <w:ind w:left="6480" w:hanging="360"/>
      </w:pPr>
    </w:lvl>
  </w:abstractNum>
  <w:abstractNum w:abstractNumId="2" w15:restartNumberingAfterBreak="0">
    <w:nsid w:val="62AD5145"/>
    <w:multiLevelType w:val="hybridMultilevel"/>
    <w:tmpl w:val="0D4424C6"/>
    <w:lvl w:ilvl="0" w:tplc="35E4CD84">
      <w:start w:val="1"/>
      <w:numFmt w:val="decimal"/>
      <w:lvlText w:val="%1."/>
      <w:lvlJc w:val="left"/>
      <w:pPr>
        <w:ind w:left="480" w:hanging="240"/>
      </w:pPr>
    </w:lvl>
    <w:lvl w:ilvl="1" w:tplc="F1889046">
      <w:numFmt w:val="decimal"/>
      <w:lvlText w:val=""/>
      <w:lvlJc w:val="left"/>
    </w:lvl>
    <w:lvl w:ilvl="2" w:tplc="3DD69AD6">
      <w:numFmt w:val="decimal"/>
      <w:lvlText w:val=""/>
      <w:lvlJc w:val="left"/>
    </w:lvl>
    <w:lvl w:ilvl="3" w:tplc="8B8E3076">
      <w:numFmt w:val="decimal"/>
      <w:lvlText w:val=""/>
      <w:lvlJc w:val="left"/>
    </w:lvl>
    <w:lvl w:ilvl="4" w:tplc="7C54466E">
      <w:numFmt w:val="decimal"/>
      <w:lvlText w:val=""/>
      <w:lvlJc w:val="left"/>
    </w:lvl>
    <w:lvl w:ilvl="5" w:tplc="4C6AE676">
      <w:numFmt w:val="decimal"/>
      <w:lvlText w:val=""/>
      <w:lvlJc w:val="left"/>
    </w:lvl>
    <w:lvl w:ilvl="6" w:tplc="FA703972">
      <w:numFmt w:val="decimal"/>
      <w:lvlText w:val=""/>
      <w:lvlJc w:val="left"/>
    </w:lvl>
    <w:lvl w:ilvl="7" w:tplc="4D3C4FBA">
      <w:numFmt w:val="decimal"/>
      <w:lvlText w:val=""/>
      <w:lvlJc w:val="left"/>
    </w:lvl>
    <w:lvl w:ilvl="8" w:tplc="19A2B2E4">
      <w:numFmt w:val="decimal"/>
      <w:lvlText w:val=""/>
      <w:lvlJc w:val="left"/>
    </w:lvl>
  </w:abstractNum>
  <w:num w:numId="1" w16cid:durableId="1611469445">
    <w:abstractNumId w:val="2"/>
    <w:lvlOverride w:ilvl="0">
      <w:startOverride w:val="1"/>
    </w:lvlOverride>
  </w:num>
  <w:num w:numId="2" w16cid:durableId="1686713217">
    <w:abstractNumId w:val="0"/>
    <w:lvlOverride w:ilvl="0">
      <w:startOverride w:val="1"/>
    </w:lvlOverride>
  </w:num>
  <w:num w:numId="3" w16cid:durableId="2871986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109"/>
    <w:rsid w:val="000A663F"/>
    <w:rsid w:val="003759CF"/>
    <w:rsid w:val="00381E10"/>
    <w:rsid w:val="003E2031"/>
    <w:rsid w:val="006F4814"/>
    <w:rsid w:val="00753727"/>
    <w:rsid w:val="00847109"/>
    <w:rsid w:val="00AC3182"/>
    <w:rsid w:val="00EA2A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1A424E"/>
  <w15:docId w15:val="{A7537E1F-617D-4BA7-8988-6311C32C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8C1D18"/>
      </w:pBdr>
      <w:spacing w:before="360" w:after="180"/>
      <w:outlineLvl w:val="0"/>
    </w:pPr>
    <w:rPr>
      <w:b/>
      <w:bCs/>
      <w:color w:val="8C1D18"/>
      <w:sz w:val="28"/>
      <w:szCs w:val="28"/>
    </w:rPr>
  </w:style>
  <w:style w:type="paragraph" w:styleId="Heading2">
    <w:name w:val="heading 2"/>
    <w:uiPriority w:val="9"/>
    <w:unhideWhenUsed/>
    <w:qFormat/>
    <w:pPr>
      <w:spacing w:before="26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bCs/>
      <w:color w:val="8C1D1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300"/>
      <w:jc w:val="center"/>
    </w:pPr>
    <w:rPr>
      <w:i/>
      <w:iCs/>
      <w:color w:val="55555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Harish .k</cp:lastModifiedBy>
  <cp:revision>2</cp:revision>
  <dcterms:created xsi:type="dcterms:W3CDTF">2026-08-31T16:01:00Z</dcterms:created>
  <dcterms:modified xsi:type="dcterms:W3CDTF">2026-09-17T05:51:00Z</dcterms:modified>
</cp:coreProperties>
</file>