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C8DB" w14:textId="77777777" w:rsidR="00AD301D" w:rsidRDefault="00AD301D">
      <w:pPr>
        <w:spacing w:after="80"/>
        <w:jc w:val="center"/>
        <w:rPr>
          <w:rFonts w:ascii="Times New Roman" w:hAnsi="Times New Roman" w:cs="Times New Roman"/>
          <w:b/>
          <w:color w:val="1B365D"/>
        </w:rPr>
      </w:pPr>
    </w:p>
    <w:p w14:paraId="2F3D5BC3" w14:textId="77777777" w:rsidR="00AD301D" w:rsidRDefault="00AD301D">
      <w:pPr>
        <w:spacing w:after="80"/>
        <w:jc w:val="center"/>
        <w:rPr>
          <w:rFonts w:ascii="Times New Roman" w:hAnsi="Times New Roman" w:cs="Times New Roman"/>
          <w:b/>
          <w:color w:val="1B365D"/>
        </w:rPr>
      </w:pPr>
    </w:p>
    <w:p w14:paraId="7FBEEA28" w14:textId="77777777" w:rsidR="00AD301D" w:rsidRDefault="00AD301D">
      <w:pPr>
        <w:spacing w:after="80"/>
        <w:jc w:val="center"/>
        <w:rPr>
          <w:rFonts w:ascii="Times New Roman" w:hAnsi="Times New Roman" w:cs="Times New Roman"/>
          <w:b/>
          <w:color w:val="1B365D"/>
        </w:rPr>
      </w:pPr>
    </w:p>
    <w:p w14:paraId="17A1C719" w14:textId="77777777" w:rsidR="00AD301D" w:rsidRDefault="00AD301D">
      <w:pPr>
        <w:spacing w:after="80"/>
        <w:jc w:val="center"/>
        <w:rPr>
          <w:rFonts w:ascii="Times New Roman" w:hAnsi="Times New Roman" w:cs="Times New Roman"/>
          <w:b/>
          <w:color w:val="1B365D"/>
        </w:rPr>
      </w:pPr>
    </w:p>
    <w:p w14:paraId="5BEE9AF8" w14:textId="77777777" w:rsidR="00AD301D" w:rsidRDefault="00AD301D">
      <w:pPr>
        <w:spacing w:after="80"/>
        <w:jc w:val="center"/>
        <w:rPr>
          <w:rFonts w:ascii="Times New Roman" w:hAnsi="Times New Roman" w:cs="Times New Roman"/>
          <w:b/>
          <w:color w:val="1B365D"/>
        </w:rPr>
      </w:pPr>
    </w:p>
    <w:p w14:paraId="253B3EF9" w14:textId="77777777" w:rsidR="00AD301D" w:rsidRDefault="00AD301D">
      <w:pPr>
        <w:spacing w:after="80"/>
        <w:jc w:val="center"/>
        <w:rPr>
          <w:rFonts w:ascii="Times New Roman" w:hAnsi="Times New Roman" w:cs="Times New Roman"/>
          <w:b/>
          <w:color w:val="1B365D"/>
        </w:rPr>
      </w:pPr>
    </w:p>
    <w:p w14:paraId="246A983D" w14:textId="77777777" w:rsidR="00AD301D" w:rsidRDefault="00AD301D">
      <w:pPr>
        <w:spacing w:after="80"/>
        <w:jc w:val="center"/>
        <w:rPr>
          <w:rFonts w:ascii="Times New Roman" w:hAnsi="Times New Roman" w:cs="Times New Roman"/>
          <w:b/>
          <w:color w:val="1B365D"/>
        </w:rPr>
      </w:pPr>
    </w:p>
    <w:p w14:paraId="63B39D31" w14:textId="77777777" w:rsidR="00AD301D" w:rsidRDefault="00AD301D">
      <w:pPr>
        <w:spacing w:after="80"/>
        <w:jc w:val="center"/>
        <w:rPr>
          <w:rFonts w:ascii="Times New Roman" w:hAnsi="Times New Roman" w:cs="Times New Roman"/>
          <w:b/>
          <w:color w:val="1B365D"/>
        </w:rPr>
      </w:pPr>
    </w:p>
    <w:p w14:paraId="7B4B0239" w14:textId="77777777" w:rsidR="00AD301D" w:rsidRDefault="00AD301D">
      <w:pPr>
        <w:spacing w:after="80"/>
        <w:jc w:val="center"/>
        <w:rPr>
          <w:rFonts w:ascii="Times New Roman" w:hAnsi="Times New Roman" w:cs="Times New Roman"/>
          <w:b/>
          <w:color w:val="1B365D"/>
        </w:rPr>
      </w:pPr>
    </w:p>
    <w:p w14:paraId="508CF403" w14:textId="77777777" w:rsidR="00AD301D" w:rsidRDefault="00AD301D">
      <w:pPr>
        <w:spacing w:after="80"/>
        <w:jc w:val="center"/>
        <w:rPr>
          <w:rFonts w:ascii="Times New Roman" w:hAnsi="Times New Roman" w:cs="Times New Roman"/>
          <w:b/>
          <w:color w:val="1B365D"/>
        </w:rPr>
      </w:pPr>
    </w:p>
    <w:p w14:paraId="4422405D" w14:textId="77777777" w:rsidR="00AD301D" w:rsidRDefault="00AD301D">
      <w:pPr>
        <w:spacing w:after="80"/>
        <w:jc w:val="center"/>
        <w:rPr>
          <w:rFonts w:ascii="Times New Roman" w:hAnsi="Times New Roman" w:cs="Times New Roman"/>
          <w:b/>
          <w:color w:val="1B365D"/>
        </w:rPr>
      </w:pPr>
    </w:p>
    <w:p w14:paraId="771362B3" w14:textId="77777777" w:rsidR="00AD301D" w:rsidRDefault="00AD301D">
      <w:pPr>
        <w:spacing w:after="80"/>
        <w:jc w:val="center"/>
        <w:rPr>
          <w:rFonts w:ascii="Times New Roman" w:hAnsi="Times New Roman" w:cs="Times New Roman"/>
          <w:b/>
          <w:color w:val="1B365D"/>
        </w:rPr>
      </w:pPr>
    </w:p>
    <w:p w14:paraId="494F71C6" w14:textId="77777777" w:rsidR="00AD301D" w:rsidRDefault="00AD301D">
      <w:pPr>
        <w:spacing w:after="80"/>
        <w:jc w:val="center"/>
        <w:rPr>
          <w:rFonts w:ascii="Times New Roman" w:hAnsi="Times New Roman" w:cs="Times New Roman"/>
          <w:b/>
          <w:color w:val="1B365D"/>
        </w:rPr>
      </w:pPr>
    </w:p>
    <w:p w14:paraId="4C6F9506" w14:textId="77777777" w:rsidR="00AD301D" w:rsidRDefault="00AD301D">
      <w:pPr>
        <w:spacing w:after="80"/>
        <w:jc w:val="center"/>
        <w:rPr>
          <w:rFonts w:ascii="Times New Roman" w:hAnsi="Times New Roman" w:cs="Times New Roman"/>
          <w:b/>
          <w:color w:val="1B365D"/>
        </w:rPr>
      </w:pPr>
    </w:p>
    <w:p w14:paraId="0B99126E" w14:textId="77777777" w:rsidR="00AD301D" w:rsidRDefault="00AD301D">
      <w:pPr>
        <w:spacing w:after="80"/>
        <w:jc w:val="center"/>
        <w:rPr>
          <w:rFonts w:ascii="Times New Roman" w:hAnsi="Times New Roman" w:cs="Times New Roman"/>
          <w:b/>
          <w:color w:val="1B365D"/>
        </w:rPr>
      </w:pPr>
    </w:p>
    <w:p w14:paraId="3D2BA31A" w14:textId="0A64AD27" w:rsidR="00EF428F" w:rsidRPr="00AD301D" w:rsidRDefault="0033545F">
      <w:pPr>
        <w:spacing w:after="80"/>
        <w:jc w:val="center"/>
        <w:rPr>
          <w:rFonts w:ascii="Times New Roman" w:hAnsi="Times New Roman" w:cs="Times New Roman"/>
          <w:color w:val="000000" w:themeColor="text1"/>
        </w:rPr>
      </w:pPr>
      <w:r w:rsidRPr="00AD301D">
        <w:rPr>
          <w:rFonts w:ascii="Times New Roman" w:hAnsi="Times New Roman" w:cs="Times New Roman"/>
          <w:b/>
          <w:color w:val="000000" w:themeColor="text1"/>
        </w:rPr>
        <w:t>LEGAL CASE ANALYSIS</w:t>
      </w:r>
    </w:p>
    <w:p w14:paraId="4E1CF4EF" w14:textId="77777777" w:rsidR="00EF428F" w:rsidRPr="00AD301D" w:rsidRDefault="0033545F">
      <w:pPr>
        <w:spacing w:after="400"/>
        <w:jc w:val="center"/>
        <w:rPr>
          <w:rFonts w:ascii="Times New Roman" w:hAnsi="Times New Roman" w:cs="Times New Roman"/>
          <w:i/>
          <w:color w:val="000000" w:themeColor="text1"/>
        </w:rPr>
      </w:pPr>
      <w:r w:rsidRPr="00AD301D">
        <w:rPr>
          <w:rFonts w:ascii="Times New Roman" w:hAnsi="Times New Roman" w:cs="Times New Roman"/>
          <w:i/>
          <w:color w:val="000000" w:themeColor="text1"/>
        </w:rPr>
        <w:t>Balfour v. Balfour [1919] 2 KB 571</w:t>
      </w:r>
    </w:p>
    <w:p w14:paraId="37C1D816" w14:textId="77777777" w:rsidR="00AD301D" w:rsidRPr="00AD301D" w:rsidRDefault="00AD301D" w:rsidP="00AD301D">
      <w:pPr>
        <w:tabs>
          <w:tab w:val="left" w:pos="2700"/>
        </w:tabs>
        <w:spacing w:after="400"/>
        <w:rPr>
          <w:rFonts w:ascii="Times New Roman" w:hAnsi="Times New Roman" w:cs="Times New Roman"/>
          <w:i/>
          <w:color w:val="000000" w:themeColor="text1"/>
        </w:rPr>
      </w:pPr>
      <w:r w:rsidRPr="00AD301D">
        <w:rPr>
          <w:rFonts w:ascii="Times New Roman" w:hAnsi="Times New Roman" w:cs="Times New Roman"/>
          <w:i/>
          <w:color w:val="000000" w:themeColor="text1"/>
        </w:rPr>
        <w:t xml:space="preserve">           </w:t>
      </w:r>
    </w:p>
    <w:p w14:paraId="2ADE81BB" w14:textId="47FDE4DD" w:rsidR="00AD301D" w:rsidRPr="00AD301D" w:rsidRDefault="00AD301D" w:rsidP="00AD301D">
      <w:pPr>
        <w:tabs>
          <w:tab w:val="left" w:pos="2700"/>
        </w:tabs>
        <w:spacing w:after="400"/>
        <w:rPr>
          <w:rFonts w:ascii="Times New Roman" w:hAnsi="Times New Roman" w:cs="Times New Roman"/>
          <w:i/>
          <w:color w:val="000000" w:themeColor="text1"/>
          <w:lang w:val="en-IN"/>
        </w:rPr>
      </w:pPr>
      <w:r w:rsidRPr="00AD301D">
        <w:rPr>
          <w:rFonts w:ascii="Times New Roman" w:hAnsi="Times New Roman" w:cs="Times New Roman"/>
          <w:i/>
          <w:color w:val="000000" w:themeColor="text1"/>
        </w:rPr>
        <w:t xml:space="preserve">                    </w:t>
      </w:r>
      <w:r w:rsidRPr="00AD301D">
        <w:rPr>
          <w:rFonts w:ascii="Times New Roman" w:hAnsi="Times New Roman" w:cs="Times New Roman"/>
          <w:b/>
          <w:bCs/>
          <w:i/>
          <w:color w:val="000000" w:themeColor="text1"/>
          <w:lang w:val="en-IN"/>
        </w:rPr>
        <w:t>Activity Title:  </w:t>
      </w:r>
      <w:r w:rsidRPr="00AD301D">
        <w:rPr>
          <w:rFonts w:ascii="Times New Roman" w:hAnsi="Times New Roman" w:cs="Times New Roman"/>
          <w:i/>
          <w:color w:val="000000" w:themeColor="text1"/>
          <w:lang w:val="en-IN"/>
        </w:rPr>
        <w:t>Case Analysis on Separate Legal Personality and Limited Liability </w:t>
      </w:r>
    </w:p>
    <w:p w14:paraId="3523BB80" w14:textId="02FA2008" w:rsidR="00AD301D" w:rsidRPr="00AD301D" w:rsidRDefault="00AD301D" w:rsidP="00AD301D">
      <w:pPr>
        <w:tabs>
          <w:tab w:val="left" w:pos="2700"/>
        </w:tabs>
        <w:spacing w:after="400"/>
        <w:rPr>
          <w:rFonts w:ascii="Times New Roman" w:hAnsi="Times New Roman" w:cs="Times New Roman"/>
          <w:i/>
          <w:color w:val="000000" w:themeColor="text1"/>
          <w:lang w:val="en-IN"/>
        </w:rPr>
      </w:pPr>
      <w:r w:rsidRPr="00AD301D">
        <w:rPr>
          <w:rFonts w:ascii="Times New Roman" w:hAnsi="Times New Roman" w:cs="Times New Roman"/>
          <w:b/>
          <w:bCs/>
          <w:i/>
          <w:color w:val="000000" w:themeColor="text1"/>
          <w:lang w:val="en-IN"/>
        </w:rPr>
        <w:t xml:space="preserve">                                                           </w:t>
      </w:r>
      <w:r w:rsidRPr="00AD301D">
        <w:rPr>
          <w:rFonts w:ascii="Times New Roman" w:hAnsi="Times New Roman" w:cs="Times New Roman"/>
          <w:b/>
          <w:bCs/>
          <w:i/>
          <w:color w:val="000000" w:themeColor="text1"/>
          <w:lang w:val="en-IN"/>
        </w:rPr>
        <w:t>Student Name:  </w:t>
      </w:r>
      <w:proofErr w:type="spellStart"/>
      <w:r w:rsidRPr="00AD301D">
        <w:rPr>
          <w:rFonts w:ascii="Times New Roman" w:hAnsi="Times New Roman" w:cs="Times New Roman"/>
          <w:i/>
          <w:color w:val="000000" w:themeColor="text1"/>
          <w:lang w:val="en-IN"/>
        </w:rPr>
        <w:t>Hariprasath.k</w:t>
      </w:r>
      <w:proofErr w:type="spellEnd"/>
    </w:p>
    <w:p w14:paraId="36DCEBCD" w14:textId="0C0ECC27" w:rsidR="00AD301D" w:rsidRPr="00AD301D" w:rsidRDefault="00AD301D" w:rsidP="00AD301D">
      <w:pPr>
        <w:tabs>
          <w:tab w:val="left" w:pos="2700"/>
        </w:tabs>
        <w:spacing w:after="400"/>
        <w:rPr>
          <w:rFonts w:ascii="Times New Roman" w:hAnsi="Times New Roman" w:cs="Times New Roman"/>
          <w:i/>
          <w:color w:val="000000" w:themeColor="text1"/>
          <w:lang w:val="en-IN"/>
        </w:rPr>
      </w:pPr>
      <w:r w:rsidRPr="00AD301D">
        <w:rPr>
          <w:rFonts w:ascii="Times New Roman" w:hAnsi="Times New Roman" w:cs="Times New Roman"/>
          <w:b/>
          <w:bCs/>
          <w:i/>
          <w:color w:val="000000" w:themeColor="text1"/>
          <w:lang w:val="en-IN"/>
        </w:rPr>
        <w:t xml:space="preserve">                                                          </w:t>
      </w:r>
      <w:r w:rsidRPr="00AD301D">
        <w:rPr>
          <w:rFonts w:ascii="Times New Roman" w:hAnsi="Times New Roman" w:cs="Times New Roman"/>
          <w:b/>
          <w:bCs/>
          <w:i/>
          <w:color w:val="000000" w:themeColor="text1"/>
          <w:lang w:val="en-IN"/>
        </w:rPr>
        <w:t>Register Number:  </w:t>
      </w:r>
      <w:r w:rsidRPr="00AD301D">
        <w:rPr>
          <w:rFonts w:ascii="Times New Roman" w:hAnsi="Times New Roman" w:cs="Times New Roman"/>
          <w:i/>
          <w:color w:val="000000" w:themeColor="text1"/>
          <w:lang w:val="en-IN"/>
        </w:rPr>
        <w:t>527251020</w:t>
      </w:r>
      <w:r w:rsidRPr="00AD301D">
        <w:rPr>
          <w:rFonts w:ascii="Times New Roman" w:hAnsi="Times New Roman" w:cs="Times New Roman"/>
          <w:i/>
          <w:color w:val="000000" w:themeColor="text1"/>
          <w:lang w:val="en-IN"/>
        </w:rPr>
        <w:t>4</w:t>
      </w:r>
      <w:r w:rsidRPr="00AD301D">
        <w:rPr>
          <w:rFonts w:ascii="Times New Roman" w:hAnsi="Times New Roman" w:cs="Times New Roman"/>
          <w:i/>
          <w:color w:val="000000" w:themeColor="text1"/>
          <w:lang w:val="en-IN"/>
        </w:rPr>
        <w:t> </w:t>
      </w:r>
    </w:p>
    <w:p w14:paraId="544EEA31" w14:textId="5A3DFAF8" w:rsidR="00AD301D" w:rsidRPr="00AD301D" w:rsidRDefault="00AD301D" w:rsidP="00AD301D">
      <w:pPr>
        <w:tabs>
          <w:tab w:val="left" w:pos="2700"/>
        </w:tabs>
        <w:spacing w:after="400"/>
        <w:rPr>
          <w:rFonts w:ascii="Times New Roman" w:hAnsi="Times New Roman" w:cs="Times New Roman"/>
          <w:i/>
          <w:color w:val="000000" w:themeColor="text1"/>
          <w:lang w:val="en-IN"/>
        </w:rPr>
      </w:pPr>
      <w:r w:rsidRPr="00AD301D">
        <w:rPr>
          <w:rFonts w:ascii="Times New Roman" w:hAnsi="Times New Roman" w:cs="Times New Roman"/>
          <w:b/>
          <w:bCs/>
          <w:i/>
          <w:color w:val="000000" w:themeColor="text1"/>
          <w:lang w:val="en-IN"/>
        </w:rPr>
        <w:t xml:space="preserve">                                                          </w:t>
      </w:r>
      <w:r w:rsidRPr="00AD301D">
        <w:rPr>
          <w:rFonts w:ascii="Times New Roman" w:hAnsi="Times New Roman" w:cs="Times New Roman"/>
          <w:b/>
          <w:bCs/>
          <w:i/>
          <w:color w:val="000000" w:themeColor="text1"/>
          <w:lang w:val="en-IN"/>
        </w:rPr>
        <w:t>Course:  </w:t>
      </w:r>
      <w:proofErr w:type="gramStart"/>
      <w:r w:rsidRPr="00AD301D">
        <w:rPr>
          <w:rFonts w:ascii="Times New Roman" w:hAnsi="Times New Roman" w:cs="Times New Roman"/>
          <w:i/>
          <w:color w:val="000000" w:themeColor="text1"/>
          <w:lang w:val="en-IN"/>
        </w:rPr>
        <w:t>B.Com</w:t>
      </w:r>
      <w:proofErr w:type="gramEnd"/>
      <w:r w:rsidRPr="00AD301D">
        <w:rPr>
          <w:rFonts w:ascii="Times New Roman" w:hAnsi="Times New Roman" w:cs="Times New Roman"/>
          <w:i/>
          <w:color w:val="000000" w:themeColor="text1"/>
          <w:lang w:val="en-IN"/>
        </w:rPr>
        <w:t> Fintech with A</w:t>
      </w:r>
    </w:p>
    <w:p w14:paraId="2A3D1756" w14:textId="727B4804" w:rsidR="00AD301D" w:rsidRPr="00AD301D" w:rsidRDefault="00AD301D" w:rsidP="00AD301D">
      <w:pPr>
        <w:tabs>
          <w:tab w:val="left" w:pos="2700"/>
        </w:tabs>
        <w:spacing w:after="400"/>
        <w:rPr>
          <w:rFonts w:ascii="Times New Roman" w:hAnsi="Times New Roman" w:cs="Times New Roman"/>
          <w:i/>
          <w:color w:val="000000" w:themeColor="text1"/>
        </w:rPr>
      </w:pPr>
    </w:p>
    <w:p w14:paraId="2E75DCD3" w14:textId="77777777" w:rsidR="00AD301D" w:rsidRPr="00AD301D" w:rsidRDefault="00AD301D">
      <w:pPr>
        <w:spacing w:after="400"/>
        <w:jc w:val="center"/>
        <w:rPr>
          <w:rFonts w:ascii="Times New Roman" w:hAnsi="Times New Roman" w:cs="Times New Roman"/>
          <w:i/>
          <w:color w:val="000000" w:themeColor="text1"/>
        </w:rPr>
      </w:pPr>
    </w:p>
    <w:p w14:paraId="34E7D4A3" w14:textId="77777777" w:rsidR="00AD301D" w:rsidRPr="00AD301D" w:rsidRDefault="00AD301D">
      <w:pPr>
        <w:spacing w:after="400"/>
        <w:jc w:val="center"/>
        <w:rPr>
          <w:rFonts w:ascii="Times New Roman" w:hAnsi="Times New Roman" w:cs="Times New Roman"/>
          <w:i/>
          <w:color w:val="000000" w:themeColor="text1"/>
        </w:rPr>
      </w:pPr>
    </w:p>
    <w:p w14:paraId="5D5CAD61" w14:textId="77777777" w:rsidR="00AD301D" w:rsidRPr="00AD301D" w:rsidRDefault="00AD301D">
      <w:pPr>
        <w:spacing w:after="400"/>
        <w:jc w:val="center"/>
        <w:rPr>
          <w:rFonts w:ascii="Times New Roman" w:hAnsi="Times New Roman" w:cs="Times New Roman"/>
          <w:i/>
          <w:color w:val="000000" w:themeColor="text1"/>
        </w:rPr>
      </w:pPr>
    </w:p>
    <w:p w14:paraId="4578A169" w14:textId="77777777" w:rsidR="00AD301D" w:rsidRPr="00AD301D" w:rsidRDefault="00AD301D" w:rsidP="00AD301D">
      <w:pPr>
        <w:spacing w:after="400"/>
        <w:jc w:val="center"/>
        <w:rPr>
          <w:rFonts w:ascii="Times New Roman" w:hAnsi="Times New Roman" w:cs="Times New Roman"/>
          <w:b/>
          <w:bCs/>
          <w:i/>
          <w:color w:val="000000" w:themeColor="text1"/>
          <w:lang w:val="en-IN"/>
        </w:rPr>
      </w:pPr>
      <w:r w:rsidRPr="00AD301D">
        <w:rPr>
          <w:rFonts w:ascii="Times New Roman" w:hAnsi="Times New Roman" w:cs="Times New Roman"/>
          <w:b/>
          <w:bCs/>
          <w:i/>
          <w:color w:val="000000" w:themeColor="text1"/>
          <w:lang w:val="en-IN"/>
        </w:rPr>
        <w:lastRenderedPageBreak/>
        <w:t>TABLE OF CONTENT</w:t>
      </w:r>
    </w:p>
    <w:p w14:paraId="3FD51216" w14:textId="77777777" w:rsidR="00AD301D" w:rsidRPr="00AD301D" w:rsidRDefault="00AD301D" w:rsidP="00AD301D">
      <w:pPr>
        <w:spacing w:after="400"/>
        <w:jc w:val="center"/>
        <w:rPr>
          <w:rFonts w:ascii="Times New Roman" w:hAnsi="Times New Roman" w:cs="Times New Roman"/>
          <w:i/>
          <w:color w:val="000000" w:themeColor="text1"/>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420"/>
        <w:gridCol w:w="9036"/>
      </w:tblGrid>
      <w:tr w:rsidR="00AD301D" w:rsidRPr="00AD301D" w14:paraId="25E4F9E0" w14:textId="77777777" w:rsidTr="00AD301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3A0C5"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01</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B8A0C"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TOPIC</w:t>
            </w:r>
          </w:p>
          <w:p w14:paraId="5A4BB82A" w14:textId="77777777" w:rsidR="00AD301D" w:rsidRPr="00AD301D" w:rsidRDefault="00AD301D" w:rsidP="00AD301D">
            <w:pPr>
              <w:spacing w:after="400"/>
              <w:jc w:val="center"/>
              <w:rPr>
                <w:rFonts w:ascii="Times New Roman" w:hAnsi="Times New Roman" w:cs="Times New Roman"/>
                <w:i/>
                <w:color w:val="000000" w:themeColor="text1"/>
                <w:lang w:val="en-IN"/>
              </w:rPr>
            </w:pPr>
          </w:p>
        </w:tc>
      </w:tr>
      <w:tr w:rsidR="00AD301D" w:rsidRPr="00AD301D" w14:paraId="1CB7D252" w14:textId="77777777" w:rsidTr="00AD301D">
        <w:trPr>
          <w:trHeight w:val="42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2DF50"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02</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F134"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INTRODUCTION</w:t>
            </w:r>
          </w:p>
          <w:p w14:paraId="332B3C5F" w14:textId="77777777" w:rsidR="00AD301D" w:rsidRPr="00AD301D" w:rsidRDefault="00AD301D" w:rsidP="00AD301D">
            <w:pPr>
              <w:spacing w:after="400"/>
              <w:jc w:val="center"/>
              <w:rPr>
                <w:rFonts w:ascii="Times New Roman" w:hAnsi="Times New Roman" w:cs="Times New Roman"/>
                <w:i/>
                <w:color w:val="000000" w:themeColor="text1"/>
                <w:lang w:val="en-IN"/>
              </w:rPr>
            </w:pPr>
          </w:p>
        </w:tc>
      </w:tr>
      <w:tr w:rsidR="00AD301D" w:rsidRPr="00AD301D" w14:paraId="14FDEBF8" w14:textId="77777777" w:rsidTr="00AD301D">
        <w:trPr>
          <w:trHeight w:val="5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C440B"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03</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B32F0"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FACTS OF THE CASE</w:t>
            </w:r>
          </w:p>
        </w:tc>
      </w:tr>
      <w:tr w:rsidR="00AD301D" w:rsidRPr="00AD301D" w14:paraId="4F1AA1FB" w14:textId="77777777" w:rsidTr="00AD301D">
        <w:trPr>
          <w:trHeight w:val="63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24735"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04</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2AC59"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LEGAL ISSUE</w:t>
            </w:r>
          </w:p>
        </w:tc>
      </w:tr>
      <w:tr w:rsidR="00AD301D" w:rsidRPr="00AD301D" w14:paraId="6FEE5CE1" w14:textId="77777777" w:rsidTr="00AD301D">
        <w:trPr>
          <w:trHeight w:val="6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4F73E"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05</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DF64A"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JUDGEMENT</w:t>
            </w:r>
          </w:p>
        </w:tc>
      </w:tr>
      <w:tr w:rsidR="00AD301D" w:rsidRPr="00AD301D" w14:paraId="312A6368" w14:textId="77777777" w:rsidTr="00AD301D">
        <w:trPr>
          <w:trHeight w:val="5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E2870"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06</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21E89"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LEGAL PRINCIPLE: CONTRACT FORMATION ANALYSIS</w:t>
            </w:r>
          </w:p>
        </w:tc>
      </w:tr>
      <w:tr w:rsidR="00AD301D" w:rsidRPr="00AD301D" w14:paraId="4DAB90A7" w14:textId="77777777" w:rsidTr="00AD301D">
        <w:trPr>
          <w:trHeight w:val="6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46D84"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07</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A2788"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BUSINESS RELEVANCE</w:t>
            </w:r>
          </w:p>
        </w:tc>
      </w:tr>
      <w:tr w:rsidR="00AD301D" w:rsidRPr="00AD301D" w14:paraId="35542F7D" w14:textId="77777777" w:rsidTr="00AD301D">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9476F"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08</w:t>
            </w:r>
          </w:p>
        </w:tc>
        <w:tc>
          <w:tcPr>
            <w:tcW w:w="9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65553" w14:textId="77777777" w:rsidR="00AD301D" w:rsidRPr="00AD301D" w:rsidRDefault="00AD301D" w:rsidP="00AD301D">
            <w:pPr>
              <w:spacing w:after="400"/>
              <w:jc w:val="center"/>
              <w:rPr>
                <w:rFonts w:ascii="Times New Roman" w:hAnsi="Times New Roman" w:cs="Times New Roman"/>
                <w:i/>
                <w:color w:val="000000" w:themeColor="text1"/>
                <w:lang w:val="en-IN"/>
              </w:rPr>
            </w:pPr>
            <w:r w:rsidRPr="00AD301D">
              <w:rPr>
                <w:rFonts w:ascii="Times New Roman" w:hAnsi="Times New Roman" w:cs="Times New Roman"/>
                <w:i/>
                <w:color w:val="000000" w:themeColor="text1"/>
                <w:lang w:val="en-IN"/>
              </w:rPr>
              <w:t>CONCLUSION</w:t>
            </w:r>
          </w:p>
        </w:tc>
      </w:tr>
    </w:tbl>
    <w:p w14:paraId="512BDD32" w14:textId="77777777" w:rsidR="00AD301D" w:rsidRPr="00AD301D" w:rsidRDefault="00AD301D">
      <w:pPr>
        <w:spacing w:after="400"/>
        <w:jc w:val="center"/>
        <w:rPr>
          <w:rFonts w:ascii="Times New Roman" w:hAnsi="Times New Roman" w:cs="Times New Roman"/>
          <w:i/>
          <w:color w:val="000000" w:themeColor="text1"/>
        </w:rPr>
      </w:pPr>
    </w:p>
    <w:p w14:paraId="78456795" w14:textId="77777777" w:rsidR="00AD301D" w:rsidRPr="00AD301D" w:rsidRDefault="00AD301D">
      <w:pPr>
        <w:spacing w:after="400"/>
        <w:jc w:val="center"/>
        <w:rPr>
          <w:rFonts w:ascii="Times New Roman" w:hAnsi="Times New Roman" w:cs="Times New Roman"/>
          <w:i/>
          <w:color w:val="000000" w:themeColor="text1"/>
        </w:rPr>
      </w:pPr>
    </w:p>
    <w:p w14:paraId="38E1BDC8" w14:textId="77777777" w:rsidR="00AD301D" w:rsidRPr="00AD301D" w:rsidRDefault="00AD301D">
      <w:pPr>
        <w:spacing w:after="400"/>
        <w:jc w:val="center"/>
        <w:rPr>
          <w:rFonts w:ascii="Times New Roman" w:hAnsi="Times New Roman" w:cs="Times New Roman"/>
          <w:i/>
          <w:color w:val="000000" w:themeColor="text1"/>
        </w:rPr>
      </w:pPr>
    </w:p>
    <w:p w14:paraId="2B2A5718" w14:textId="77777777" w:rsidR="00AD301D" w:rsidRPr="00AD301D" w:rsidRDefault="00AD301D">
      <w:pPr>
        <w:spacing w:after="400"/>
        <w:jc w:val="center"/>
        <w:rPr>
          <w:rFonts w:ascii="Times New Roman" w:hAnsi="Times New Roman" w:cs="Times New Roman"/>
          <w:color w:val="000000" w:themeColor="text1"/>
        </w:rPr>
      </w:pPr>
    </w:p>
    <w:p w14:paraId="7F0C6336" w14:textId="77777777" w:rsidR="00AD301D" w:rsidRDefault="00AD301D">
      <w:pPr>
        <w:keepNext/>
        <w:spacing w:before="320"/>
        <w:rPr>
          <w:rFonts w:ascii="Times New Roman" w:hAnsi="Times New Roman" w:cs="Times New Roman"/>
          <w:b/>
          <w:color w:val="000000" w:themeColor="text1"/>
        </w:rPr>
      </w:pPr>
    </w:p>
    <w:p w14:paraId="47ED6285" w14:textId="194713B1" w:rsidR="00EF428F" w:rsidRPr="00AD301D" w:rsidRDefault="00AD301D">
      <w:pPr>
        <w:keepNext/>
        <w:spacing w:before="320"/>
        <w:rPr>
          <w:rFonts w:ascii="Times New Roman" w:hAnsi="Times New Roman" w:cs="Times New Roman"/>
          <w:color w:val="000000" w:themeColor="text1"/>
        </w:rPr>
      </w:pPr>
      <w:r>
        <w:rPr>
          <w:rFonts w:ascii="Times New Roman" w:hAnsi="Times New Roman" w:cs="Times New Roman"/>
          <w:b/>
          <w:color w:val="000000" w:themeColor="text1"/>
        </w:rPr>
        <w:t>1</w:t>
      </w:r>
      <w:r w:rsidR="0033545F" w:rsidRPr="00AD301D">
        <w:rPr>
          <w:rFonts w:ascii="Times New Roman" w:hAnsi="Times New Roman" w:cs="Times New Roman"/>
          <w:b/>
          <w:color w:val="000000" w:themeColor="text1"/>
        </w:rPr>
        <w:t>. Introduction</w:t>
      </w:r>
    </w:p>
    <w:p w14:paraId="78E95F28"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1.1 Case Citation &amp; Jurisdiction</w:t>
      </w:r>
    </w:p>
    <w:p w14:paraId="2BF46F61"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Case Name:</w:t>
      </w:r>
      <w:r w:rsidRPr="00AD301D">
        <w:rPr>
          <w:rFonts w:ascii="Times New Roman" w:hAnsi="Times New Roman" w:cs="Times New Roman"/>
          <w:color w:val="000000" w:themeColor="text1"/>
        </w:rPr>
        <w:t xml:space="preserve"> Balfour v. Balfour</w:t>
      </w:r>
    </w:p>
    <w:p w14:paraId="5B619ACD"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Citation:</w:t>
      </w:r>
      <w:r w:rsidRPr="00AD301D">
        <w:rPr>
          <w:rFonts w:ascii="Times New Roman" w:hAnsi="Times New Roman" w:cs="Times New Roman"/>
          <w:color w:val="000000" w:themeColor="text1"/>
        </w:rPr>
        <w:t xml:space="preserve"> [1919] 2 KB 571</w:t>
      </w:r>
    </w:p>
    <w:p w14:paraId="4A7C9E03"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Court:</w:t>
      </w:r>
      <w:r w:rsidRPr="00AD301D">
        <w:rPr>
          <w:rFonts w:ascii="Times New Roman" w:hAnsi="Times New Roman" w:cs="Times New Roman"/>
          <w:color w:val="000000" w:themeColor="text1"/>
        </w:rPr>
        <w:t xml:space="preserve"> Court of Appeal (England and Wales)</w:t>
      </w:r>
    </w:p>
    <w:p w14:paraId="29C6B661"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Judges:</w:t>
      </w:r>
      <w:r w:rsidRPr="00AD301D">
        <w:rPr>
          <w:rFonts w:ascii="Times New Roman" w:hAnsi="Times New Roman" w:cs="Times New Roman"/>
          <w:color w:val="000000" w:themeColor="text1"/>
        </w:rPr>
        <w:t xml:space="preserve"> Lord Justice Warrington, Lord Justice Duke, and Lord Justice Atkin</w:t>
      </w:r>
    </w:p>
    <w:p w14:paraId="474F602F"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Year of Judgment:</w:t>
      </w:r>
      <w:r w:rsidRPr="00AD301D">
        <w:rPr>
          <w:rFonts w:ascii="Times New Roman" w:hAnsi="Times New Roman" w:cs="Times New Roman"/>
          <w:color w:val="000000" w:themeColor="text1"/>
        </w:rPr>
        <w:t xml:space="preserve"> 1919</w:t>
      </w:r>
    </w:p>
    <w:p w14:paraId="4B29C6B6"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1.2 Brief Introduction to the Case</w:t>
      </w:r>
    </w:p>
    <w:p w14:paraId="1CB91394"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 xml:space="preserve">Balfour v. Balfour is one of the most foundational cases in the entire law of contract. It deals with a fundamental question that arises whenever two people make a promise: when does an agreement become a legally binding contract? The case arose out of a routine domestic arrangement between a husband and a wife. Mr. Balfour promised to pay his wife a monthly allowance while she stayed back in England for medical reasons. When the marriage deteriorated and the payments stopped, Mrs. Balfour sued her husband </w:t>
      </w:r>
      <w:r w:rsidRPr="00AD301D">
        <w:rPr>
          <w:rFonts w:ascii="Times New Roman" w:hAnsi="Times New Roman" w:cs="Times New Roman"/>
          <w:color w:val="000000" w:themeColor="text1"/>
        </w:rPr>
        <w:t>for breach of contract. The Court of Appeal had to decide whether purely domestic or social agreements between family members create legal obligations. The court's answer—that social and domestic agreements are generally not intended to create legal relations unless explicitly proven otherwise—became the bedrock principle for determining contract formation across the common law world.</w:t>
      </w:r>
    </w:p>
    <w:p w14:paraId="0330D7FB" w14:textId="77777777" w:rsidR="00EF428F" w:rsidRPr="00AD301D" w:rsidRDefault="0033545F">
      <w:pPr>
        <w:keepNext/>
        <w:spacing w:before="320"/>
        <w:rPr>
          <w:rFonts w:ascii="Times New Roman" w:hAnsi="Times New Roman" w:cs="Times New Roman"/>
          <w:color w:val="000000" w:themeColor="text1"/>
        </w:rPr>
      </w:pPr>
      <w:r w:rsidRPr="00AD301D">
        <w:rPr>
          <w:rFonts w:ascii="Times New Roman" w:hAnsi="Times New Roman" w:cs="Times New Roman"/>
          <w:b/>
          <w:color w:val="000000" w:themeColor="text1"/>
        </w:rPr>
        <w:t>2. Facts of the Case</w:t>
      </w:r>
    </w:p>
    <w:p w14:paraId="03DA690A"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2.1 Chronological Summary of Events</w:t>
      </w:r>
    </w:p>
    <w:p w14:paraId="6CFC6898"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Mr. Balfour worked as a Civil Engineer (Director of Irrigation) for the Government in Ceylon (now Sri Lanka).</w:t>
      </w:r>
    </w:p>
    <w:p w14:paraId="2A457663"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In 1915, Mr. Balfour and his wife, Mrs. Balfour, traveled together to England while he was on official leave.</w:t>
      </w:r>
    </w:p>
    <w:p w14:paraId="45DB832A"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During their stay in England, Mrs. Balfour developed severe rheumatic arthritis.</w:t>
      </w:r>
    </w:p>
    <w:p w14:paraId="1143BBE0"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Her doctor advised that remaining in England's climate was necessary for her health, whereas returning to Ceylon would be detrimental.</w:t>
      </w:r>
    </w:p>
    <w:p w14:paraId="6E8B3D24"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When Mr. Balfour's leave ended in August 1916, he prepared to return to Ceylon alone, leaving Mrs. Balfour behind in England until her health improved.</w:t>
      </w:r>
    </w:p>
    <w:p w14:paraId="6EB573D4"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Before departing, Mr. Balfour promised to pay Mrs. Balfour £30 per month as a maintenance allowance to cover her living expenses.</w:t>
      </w:r>
    </w:p>
    <w:p w14:paraId="42297FA1"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For a period, Mr. Balfour regularly sent the promised monthly allowance.</w:t>
      </w:r>
    </w:p>
    <w:p w14:paraId="4D1227D1"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Later, the relationship between the couple deteriorated, leading to an informal separation.</w:t>
      </w:r>
    </w:p>
    <w:p w14:paraId="4C8E5F15"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Mr. Balfour subsequently stopped sending the monthly £30 payments and wrote to his wife suggesting they remain permanently separated.</w:t>
      </w:r>
    </w:p>
    <w:p w14:paraId="0CE28086"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Mrs. Balfour sued Mr. Balfour in court to enforce the verbal agreement and recover the unpaid monthly allowances.</w:t>
      </w:r>
    </w:p>
    <w:p w14:paraId="68694AA0"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lastRenderedPageBreak/>
        <w:t>The lower court initially ruled in favor of Mrs. Balfour, but Mr. Balfour appealed to the Court of Appeal, which delivered its landmark judgment in 1919.</w:t>
      </w:r>
    </w:p>
    <w:p w14:paraId="2A60D3F0"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2.2 Material Commercial Context</w:t>
      </w:r>
    </w:p>
    <w:p w14:paraId="5FAF62AC"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Unlike standard commercial dealings where parties formally negotiate financial transactions, this case arose out of an informal, private family arrangement between a married couple. The transaction involved a husband offering financial support to his sick wife while they were living apart due to medical reasons. The crucial commercial and legal question raised was: should the courts interfere in everyday domestic promises between spouses, or does the law draw a clear line between legal contracts and private</w:t>
      </w:r>
      <w:r w:rsidRPr="00AD301D">
        <w:rPr>
          <w:rFonts w:ascii="Times New Roman" w:hAnsi="Times New Roman" w:cs="Times New Roman"/>
          <w:color w:val="000000" w:themeColor="text1"/>
        </w:rPr>
        <w:t xml:space="preserve"> family commitments?</w:t>
      </w:r>
    </w:p>
    <w:p w14:paraId="66693B12" w14:textId="77777777" w:rsidR="00EF428F" w:rsidRPr="00AD301D" w:rsidRDefault="0033545F">
      <w:pPr>
        <w:keepNext/>
        <w:spacing w:before="320"/>
        <w:rPr>
          <w:rFonts w:ascii="Times New Roman" w:hAnsi="Times New Roman" w:cs="Times New Roman"/>
          <w:color w:val="000000" w:themeColor="text1"/>
        </w:rPr>
      </w:pPr>
      <w:r w:rsidRPr="00AD301D">
        <w:rPr>
          <w:rFonts w:ascii="Times New Roman" w:hAnsi="Times New Roman" w:cs="Times New Roman"/>
          <w:b/>
          <w:color w:val="000000" w:themeColor="text1"/>
        </w:rPr>
        <w:t>3. Legal Issue</w:t>
      </w:r>
    </w:p>
    <w:p w14:paraId="6E0C1287"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3.1 Primary Question of Law</w:t>
      </w:r>
    </w:p>
    <w:p w14:paraId="602FC1F2"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The central legal question before the Court of Appeal was: Is a verbal domestic agreement between a husband and a wife to pay a maintenance allowance a legally binding contract enforceable in court, or is it merely an informal family arrangement lacking the intention to create legal relations?</w:t>
      </w:r>
    </w:p>
    <w:p w14:paraId="23305953"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This broad question can be broken down into smaller issues examined by the court:</w:t>
      </w:r>
    </w:p>
    <w:p w14:paraId="10DF9B06"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Did the parties intend to enter into a legally binding contract at the time the promise was made?</w:t>
      </w:r>
    </w:p>
    <w:p w14:paraId="6D4AEECC"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Does a promise made in a domestic or social context carry a legal presumption against the intention to contract?</w:t>
      </w:r>
    </w:p>
    <w:p w14:paraId="6EB7FC19"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Was there valid legal consideration provided by Mrs. Balfour in exchange for Mr. Balfour's promise to pay £30 per month?</w:t>
      </w:r>
    </w:p>
    <w:p w14:paraId="234F2BD1"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3.2 Points of Contention</w:t>
      </w:r>
    </w:p>
    <w:p w14:paraId="2F50B796"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b/>
          <w:color w:val="000000" w:themeColor="text1"/>
        </w:rPr>
        <w:t>Arguments on behalf of Mrs. Balfour (Respondent/Plaintiff):</w:t>
      </w:r>
    </w:p>
    <w:p w14:paraId="469FB3FB"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Mr. Balfour made a clear, explicit promise to pay £30 per month, which created a legal obligation upon which she relied to her financial detriment.</w:t>
      </w:r>
    </w:p>
    <w:p w14:paraId="77C890C0"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Her agreement to stay back in England without asking for further financial support constituted valid legal consideration for his promise.</w:t>
      </w:r>
    </w:p>
    <w:p w14:paraId="64661D85"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The arrangement went beyond mere family conversation because it was a structured financial support agreement made prior to a prolonged geographic separation.</w:t>
      </w:r>
    </w:p>
    <w:p w14:paraId="3C875640"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b/>
          <w:color w:val="000000" w:themeColor="text1"/>
        </w:rPr>
        <w:t>Arguments on behalf of Mr. Balfour (Appellant/Defendant):</w:t>
      </w:r>
    </w:p>
    <w:p w14:paraId="2F04B469"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The promise was purely a domestic, spousal agreement made out of natural love and affection, not a business transaction.</w:t>
      </w:r>
    </w:p>
    <w:p w14:paraId="6289EDD8"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Neither party intended that the agreement could lead to legal action or court enforcement if it was broken.</w:t>
      </w:r>
    </w:p>
    <w:p w14:paraId="60765F2B"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Opening domestic promises to legal enforcement would flood the courts with litigation over trivial marital arrangements.</w:t>
      </w:r>
    </w:p>
    <w:p w14:paraId="382DDD72" w14:textId="77777777" w:rsidR="00EF428F" w:rsidRPr="00AD301D" w:rsidRDefault="0033545F">
      <w:pPr>
        <w:keepNext/>
        <w:spacing w:before="320"/>
        <w:rPr>
          <w:rFonts w:ascii="Times New Roman" w:hAnsi="Times New Roman" w:cs="Times New Roman"/>
          <w:color w:val="000000" w:themeColor="text1"/>
        </w:rPr>
      </w:pPr>
      <w:r w:rsidRPr="00AD301D">
        <w:rPr>
          <w:rFonts w:ascii="Times New Roman" w:hAnsi="Times New Roman" w:cs="Times New Roman"/>
          <w:b/>
          <w:color w:val="000000" w:themeColor="text1"/>
        </w:rPr>
        <w:lastRenderedPageBreak/>
        <w:t>4. Judgment</w:t>
      </w:r>
    </w:p>
    <w:p w14:paraId="52953CAC"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4.1 Court's Decision</w:t>
      </w:r>
    </w:p>
    <w:p w14:paraId="42457FA8"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The Court of Appeal ruled unanimously in favor of Mr. Balfour, reversing the decision of the lower court. The court held that the verbal agreement between the husband and wife did not constitute a legally binding contract because there was no intention to create legal relations. Consequently, Mrs. Balfour could not legally enforce the payment of the £30 monthly allowance.</w:t>
      </w:r>
    </w:p>
    <w:p w14:paraId="7F3F1C74"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4.2 Ratio Decidendi (Judicial Reasoning)</w:t>
      </w:r>
    </w:p>
    <w:p w14:paraId="333398D6"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On the requirement of Intention to Create Legal Relations:</w:t>
      </w:r>
      <w:r w:rsidRPr="00AD301D">
        <w:rPr>
          <w:rFonts w:ascii="Times New Roman" w:hAnsi="Times New Roman" w:cs="Times New Roman"/>
          <w:color w:val="000000" w:themeColor="text1"/>
        </w:rPr>
        <w:t xml:space="preserve"> The court established that for a contract to exist, both parties must have a common intention to enter into legal obligations. Without this intention, a promise remains an unenforceable agreement.</w:t>
      </w:r>
    </w:p>
    <w:p w14:paraId="5D7B059C"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On the presumption in Domestic Agreements:</w:t>
      </w:r>
      <w:r w:rsidRPr="00AD301D">
        <w:rPr>
          <w:rFonts w:ascii="Times New Roman" w:hAnsi="Times New Roman" w:cs="Times New Roman"/>
          <w:color w:val="000000" w:themeColor="text1"/>
        </w:rPr>
        <w:t xml:space="preserve"> The judges, particularly Lord Justice Atkin, emphasized that agreements made between spouses or family members in a domestic context are presumed not to be intended as legal contracts. These arrangements depend entirely on mutual trust and affection rather than legal remedies.</w:t>
      </w:r>
    </w:p>
    <w:p w14:paraId="53931088"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On public policy and floodgates:</w:t>
      </w:r>
      <w:r w:rsidRPr="00AD301D">
        <w:rPr>
          <w:rFonts w:ascii="Times New Roman" w:hAnsi="Times New Roman" w:cs="Times New Roman"/>
          <w:color w:val="000000" w:themeColor="text1"/>
        </w:rPr>
        <w:t xml:space="preserve"> The court noted that treating domestic promises as legally binding contracts would set an unworkable precedent, causing courts to be overwhelmed by endless disputes over ordinary household promises.</w:t>
      </w:r>
    </w:p>
    <w:tbl>
      <w:tblPr>
        <w:tblW w:w="0" w:type="auto"/>
        <w:jc w:val="center"/>
        <w:tblLayout w:type="fixed"/>
        <w:tblLook w:val="04A0" w:firstRow="1" w:lastRow="0" w:firstColumn="1" w:lastColumn="0" w:noHBand="0" w:noVBand="1"/>
      </w:tblPr>
      <w:tblGrid>
        <w:gridCol w:w="9360"/>
      </w:tblGrid>
      <w:tr w:rsidR="00EF428F" w:rsidRPr="00AD301D" w14:paraId="05F30468" w14:textId="77777777">
        <w:trPr>
          <w:jc w:val="center"/>
        </w:trPr>
        <w:tc>
          <w:tcPr>
            <w:tcW w:w="9360" w:type="dxa"/>
            <w:tcBorders>
              <w:left w:val="single" w:sz="24" w:space="0" w:color="1B365D"/>
            </w:tcBorders>
            <w:shd w:val="clear" w:color="auto" w:fill="F7FAFC"/>
          </w:tcPr>
          <w:p w14:paraId="4BEE0999" w14:textId="77777777" w:rsidR="00EF428F" w:rsidRPr="00AD301D" w:rsidRDefault="0033545F">
            <w:pPr>
              <w:spacing w:before="120"/>
              <w:ind w:left="144"/>
              <w:rPr>
                <w:rFonts w:ascii="Times New Roman" w:hAnsi="Times New Roman" w:cs="Times New Roman"/>
                <w:color w:val="000000" w:themeColor="text1"/>
              </w:rPr>
            </w:pPr>
            <w:r w:rsidRPr="00AD301D">
              <w:rPr>
                <w:rFonts w:ascii="Times New Roman" w:hAnsi="Times New Roman" w:cs="Times New Roman"/>
                <w:i/>
                <w:color w:val="000000" w:themeColor="text1"/>
              </w:rPr>
              <w:t>"The common law does not regulate the form of agreements between spouses... The consideration that obtains for the most part is that natural love and affection which counts for so little in these cold courts."</w:t>
            </w:r>
          </w:p>
        </w:tc>
      </w:tr>
    </w:tbl>
    <w:p w14:paraId="56FCCABE" w14:textId="77777777" w:rsidR="00EF428F" w:rsidRPr="00AD301D" w:rsidRDefault="00EF428F">
      <w:pPr>
        <w:spacing w:after="80"/>
        <w:rPr>
          <w:rFonts w:ascii="Times New Roman" w:hAnsi="Times New Roman" w:cs="Times New Roman"/>
          <w:color w:val="000000" w:themeColor="text1"/>
        </w:rPr>
      </w:pPr>
    </w:p>
    <w:p w14:paraId="3AFAC75F" w14:textId="77777777" w:rsidR="00EF428F" w:rsidRPr="00AD301D" w:rsidRDefault="0033545F">
      <w:pPr>
        <w:keepNext/>
        <w:spacing w:before="320"/>
        <w:rPr>
          <w:rFonts w:ascii="Times New Roman" w:hAnsi="Times New Roman" w:cs="Times New Roman"/>
          <w:color w:val="000000" w:themeColor="text1"/>
        </w:rPr>
      </w:pPr>
      <w:r w:rsidRPr="00AD301D">
        <w:rPr>
          <w:rFonts w:ascii="Times New Roman" w:hAnsi="Times New Roman" w:cs="Times New Roman"/>
          <w:b/>
          <w:color w:val="000000" w:themeColor="text1"/>
        </w:rPr>
        <w:t>5. Legal Principle: Intention to Create Legal Relations</w:t>
      </w:r>
    </w:p>
    <w:p w14:paraId="41BF5404"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5.1 The Domestic Presumption</w:t>
      </w:r>
    </w:p>
    <w:p w14:paraId="6406E263"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The core legal rule established in Balfour v. Balfour is the rebuttable presumption against legal intention in domestic and social agreements. The law divides agreements into two broad categories:</w:t>
      </w:r>
    </w:p>
    <w:p w14:paraId="7727CDFF"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Commercial/Business Agreements:</w:t>
      </w:r>
      <w:r w:rsidRPr="00AD301D">
        <w:rPr>
          <w:rFonts w:ascii="Times New Roman" w:hAnsi="Times New Roman" w:cs="Times New Roman"/>
          <w:color w:val="000000" w:themeColor="text1"/>
        </w:rPr>
        <w:t xml:space="preserve"> Presumed to have an intention to create legal relations (binding unless explicitly excluded).</w:t>
      </w:r>
    </w:p>
    <w:p w14:paraId="4D16AE44"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Social/Domestic Agreements:</w:t>
      </w:r>
      <w:r w:rsidRPr="00AD301D">
        <w:rPr>
          <w:rFonts w:ascii="Times New Roman" w:hAnsi="Times New Roman" w:cs="Times New Roman"/>
          <w:color w:val="000000" w:themeColor="text1"/>
        </w:rPr>
        <w:t xml:space="preserve"> Presumed not to have an intention to create legal relations (non-binding unless strongly proven otherwise).</w:t>
      </w:r>
    </w:p>
    <w:p w14:paraId="7A283FA4"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5.2 Rebutting the Presumption</w:t>
      </w:r>
    </w:p>
    <w:p w14:paraId="751E67B8"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The presumption that a family agreement is non-binding can be overturned (rebutted) under specific circumstances:</w:t>
      </w:r>
    </w:p>
    <w:p w14:paraId="2A7DE279"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If the couple is already separated or in the process of divorcing when the agreement is made (e.g., Merritt v. Merritt [1970]).</w:t>
      </w:r>
    </w:p>
    <w:p w14:paraId="3A6613B3"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If the agreement involves significant financial sacrifice or property transfers by one party.</w:t>
      </w:r>
    </w:p>
    <w:p w14:paraId="790E8866"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color w:val="000000" w:themeColor="text1"/>
        </w:rPr>
        <w:t>If the terms are formally drafted and documented in writing.</w:t>
      </w:r>
    </w:p>
    <w:p w14:paraId="3D93B11C"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lastRenderedPageBreak/>
        <w:t>5.3 Ancillary Pillars &amp; Later Case Law</w:t>
      </w:r>
    </w:p>
    <w:p w14:paraId="65FE42FB"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Merritt v. Merritt [1970]:</w:t>
      </w:r>
      <w:r w:rsidRPr="00AD301D">
        <w:rPr>
          <w:rFonts w:ascii="Times New Roman" w:hAnsi="Times New Roman" w:cs="Times New Roman"/>
          <w:color w:val="000000" w:themeColor="text1"/>
        </w:rPr>
        <w:t xml:space="preserve"> The court distinguished Balfour by holding that an agreement between a husband and wife who were already separated was legally binding, as the domestic presumption no longer applied.</w:t>
      </w:r>
    </w:p>
    <w:p w14:paraId="665C7FC8"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Jones v. Padavatton [1969]:</w:t>
      </w:r>
      <w:r w:rsidRPr="00AD301D">
        <w:rPr>
          <w:rFonts w:ascii="Times New Roman" w:hAnsi="Times New Roman" w:cs="Times New Roman"/>
          <w:color w:val="000000" w:themeColor="text1"/>
        </w:rPr>
        <w:t xml:space="preserve"> Extended the Balfour principle to agreements between parents and children, holding that a mother's promise to pay an allowance to her daughter while she studied law was a domestic arrangement, not a legal contract.</w:t>
      </w:r>
    </w:p>
    <w:p w14:paraId="059F0B61"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Indian Contract Act, 1872:</w:t>
      </w:r>
      <w:r w:rsidRPr="00AD301D">
        <w:rPr>
          <w:rFonts w:ascii="Times New Roman" w:hAnsi="Times New Roman" w:cs="Times New Roman"/>
          <w:color w:val="000000" w:themeColor="text1"/>
        </w:rPr>
        <w:t xml:space="preserve"> Although the Act does not explicitly mention 'intention to create legal relations,' Indian courts routinely apply the Balfour v. Balfour test under common law principles to filter out informal family arrangements from valid contracts.</w:t>
      </w:r>
    </w:p>
    <w:p w14:paraId="4184350C" w14:textId="77777777" w:rsidR="00EF428F" w:rsidRPr="00AD301D" w:rsidRDefault="0033545F">
      <w:pPr>
        <w:keepNext/>
        <w:spacing w:before="320"/>
        <w:rPr>
          <w:rFonts w:ascii="Times New Roman" w:hAnsi="Times New Roman" w:cs="Times New Roman"/>
          <w:color w:val="000000" w:themeColor="text1"/>
        </w:rPr>
      </w:pPr>
      <w:r w:rsidRPr="00AD301D">
        <w:rPr>
          <w:rFonts w:ascii="Times New Roman" w:hAnsi="Times New Roman" w:cs="Times New Roman"/>
          <w:b/>
          <w:color w:val="000000" w:themeColor="text1"/>
        </w:rPr>
        <w:t>6. Business Relevance</w:t>
      </w:r>
    </w:p>
    <w:p w14:paraId="07F3D8AB"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6.1 Application in Modern Business &amp; Tech</w:t>
      </w:r>
    </w:p>
    <w:p w14:paraId="30CBBA4A"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While Balfour originated in family law, its core test—Intention to Create Legal Relations—is a vital gatekeeper in modern commercial negotiations, corporate deal-making, and technology contracts:</w:t>
      </w:r>
    </w:p>
    <w:p w14:paraId="12B67C22"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Memorandums of Understanding (MoUs) &amp; Letters of Intent (LoI):</w:t>
      </w:r>
      <w:r w:rsidRPr="00AD301D">
        <w:rPr>
          <w:rFonts w:ascii="Times New Roman" w:hAnsi="Times New Roman" w:cs="Times New Roman"/>
          <w:color w:val="000000" w:themeColor="text1"/>
        </w:rPr>
        <w:t xml:space="preserve"> In corporate transactions and fintech partnerships, parties often sign preliminary agreements. Under the Balfour rationale, courts evaluate whether an MoU is a binding contract or merely an 'agreement to agree,' depending on the clear expression of legal intention.</w:t>
      </w:r>
    </w:p>
    <w:p w14:paraId="7DC4D042"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Informal Corporate Promises:</w:t>
      </w:r>
      <w:r w:rsidRPr="00AD301D">
        <w:rPr>
          <w:rFonts w:ascii="Times New Roman" w:hAnsi="Times New Roman" w:cs="Times New Roman"/>
          <w:color w:val="000000" w:themeColor="text1"/>
        </w:rPr>
        <w:t xml:space="preserve"> In startup environments, informal verbal commitments regarding equity splits, founder allowances, or advisory roles are frequently challenged. Balfour highlights the danger of relying on verbal understandings without formal legal documentation.</w:t>
      </w:r>
    </w:p>
    <w:p w14:paraId="02765EC1"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6.2 Risk Management &amp; Operational Compliance</w:t>
      </w:r>
    </w:p>
    <w:p w14:paraId="121DBF73"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 xml:space="preserve">Draft Explicit Binding Clauses: </w:t>
      </w:r>
      <w:r w:rsidRPr="00AD301D">
        <w:rPr>
          <w:rFonts w:ascii="Times New Roman" w:hAnsi="Times New Roman" w:cs="Times New Roman"/>
          <w:color w:val="000000" w:themeColor="text1"/>
        </w:rPr>
        <w:t>Always state clearly in MoUs and term sheets whether specific clauses (such as confidentiality or exclusivity) are intended to be legally binding.</w:t>
      </w:r>
    </w:p>
    <w:p w14:paraId="1A464E23"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 xml:space="preserve">Formalize Internal Agreements: </w:t>
      </w:r>
      <w:r w:rsidRPr="00AD301D">
        <w:rPr>
          <w:rFonts w:ascii="Times New Roman" w:hAnsi="Times New Roman" w:cs="Times New Roman"/>
          <w:color w:val="000000" w:themeColor="text1"/>
        </w:rPr>
        <w:t>Avoid informal 'gentlemen's agreements' between business co-founders, family-owned business partners, or corporate directors.</w:t>
      </w:r>
    </w:p>
    <w:p w14:paraId="16305767" w14:textId="77777777" w:rsidR="00EF428F" w:rsidRPr="00AD301D" w:rsidRDefault="0033545F">
      <w:pPr>
        <w:pStyle w:val="ListBullet"/>
        <w:spacing w:after="80"/>
        <w:rPr>
          <w:rFonts w:ascii="Times New Roman" w:hAnsi="Times New Roman" w:cs="Times New Roman"/>
          <w:color w:val="000000" w:themeColor="text1"/>
        </w:rPr>
      </w:pPr>
      <w:r w:rsidRPr="00AD301D">
        <w:rPr>
          <w:rFonts w:ascii="Times New Roman" w:hAnsi="Times New Roman" w:cs="Times New Roman"/>
          <w:b/>
          <w:color w:val="000000" w:themeColor="text1"/>
        </w:rPr>
        <w:t xml:space="preserve">Document Consideration &amp; Intention: </w:t>
      </w:r>
      <w:r w:rsidRPr="00AD301D">
        <w:rPr>
          <w:rFonts w:ascii="Times New Roman" w:hAnsi="Times New Roman" w:cs="Times New Roman"/>
          <w:color w:val="000000" w:themeColor="text1"/>
        </w:rPr>
        <w:t>Ensure every commercial contract explicitly records the mutual intent to be legally bound alongside valid consideration.</w:t>
      </w:r>
    </w:p>
    <w:p w14:paraId="5795D738" w14:textId="77777777" w:rsidR="00EF428F" w:rsidRPr="00AD301D" w:rsidRDefault="0033545F">
      <w:pPr>
        <w:keepNext/>
        <w:spacing w:before="320"/>
        <w:rPr>
          <w:rFonts w:ascii="Times New Roman" w:hAnsi="Times New Roman" w:cs="Times New Roman"/>
          <w:color w:val="000000" w:themeColor="text1"/>
        </w:rPr>
      </w:pPr>
      <w:r w:rsidRPr="00AD301D">
        <w:rPr>
          <w:rFonts w:ascii="Times New Roman" w:hAnsi="Times New Roman" w:cs="Times New Roman"/>
          <w:b/>
          <w:color w:val="000000" w:themeColor="text1"/>
        </w:rPr>
        <w:t>7. Conclusion</w:t>
      </w:r>
    </w:p>
    <w:p w14:paraId="2A6E6027" w14:textId="77777777" w:rsidR="00EF428F" w:rsidRPr="00AD301D" w:rsidRDefault="0033545F">
      <w:pPr>
        <w:keepNext/>
        <w:spacing w:before="240" w:after="80"/>
        <w:rPr>
          <w:rFonts w:ascii="Times New Roman" w:hAnsi="Times New Roman" w:cs="Times New Roman"/>
          <w:color w:val="000000" w:themeColor="text1"/>
        </w:rPr>
      </w:pPr>
      <w:r w:rsidRPr="00AD301D">
        <w:rPr>
          <w:rFonts w:ascii="Times New Roman" w:hAnsi="Times New Roman" w:cs="Times New Roman"/>
          <w:b/>
          <w:color w:val="000000" w:themeColor="text1"/>
        </w:rPr>
        <w:t>7.1 Personal Learning and Observations</w:t>
      </w:r>
    </w:p>
    <w:p w14:paraId="676B85B7" w14:textId="77777777" w:rsidR="00EF428F" w:rsidRPr="00AD301D" w:rsidRDefault="0033545F">
      <w:pPr>
        <w:rPr>
          <w:rFonts w:ascii="Times New Roman" w:hAnsi="Times New Roman" w:cs="Times New Roman"/>
          <w:color w:val="000000" w:themeColor="text1"/>
        </w:rPr>
      </w:pPr>
      <w:r w:rsidRPr="00AD301D">
        <w:rPr>
          <w:rFonts w:ascii="Times New Roman" w:hAnsi="Times New Roman" w:cs="Times New Roman"/>
          <w:color w:val="000000" w:themeColor="text1"/>
        </w:rPr>
        <w:t>Studying Balfour v. Balfour illustrates that an offer and an acceptance alone do not make a legal contract; the crucial missing ingredient is often the intent to be legally bound. What stands out most is how the judiciary recognized the practical necessity of keeping ordinary domestic promises out of courtrooms. If every household agreement carried legal liability, the judicial system would be overwhelmed with trivial personal disputes.</w:t>
      </w:r>
      <w:r w:rsidRPr="00AD301D">
        <w:rPr>
          <w:rFonts w:ascii="Times New Roman" w:hAnsi="Times New Roman" w:cs="Times New Roman"/>
          <w:color w:val="000000" w:themeColor="text1"/>
        </w:rPr>
        <w:br/>
      </w:r>
      <w:r w:rsidRPr="00AD301D">
        <w:rPr>
          <w:rFonts w:ascii="Times New Roman" w:hAnsi="Times New Roman" w:cs="Times New Roman"/>
          <w:color w:val="000000" w:themeColor="text1"/>
        </w:rPr>
        <w:br/>
      </w:r>
      <w:r w:rsidRPr="00AD301D">
        <w:rPr>
          <w:rFonts w:ascii="Times New Roman" w:hAnsi="Times New Roman" w:cs="Times New Roman"/>
          <w:color w:val="000000" w:themeColor="text1"/>
        </w:rPr>
        <w:t xml:space="preserve">This case serves as a timeless lesson for both commercial law and everyday business dealings: clear legal documentation is essential. Whether dealing with family members in a business context or negotiating </w:t>
      </w:r>
      <w:r w:rsidRPr="00AD301D">
        <w:rPr>
          <w:rFonts w:ascii="Times New Roman" w:hAnsi="Times New Roman" w:cs="Times New Roman"/>
          <w:color w:val="000000" w:themeColor="text1"/>
        </w:rPr>
        <w:lastRenderedPageBreak/>
        <w:t>high-stakes corporate deals, leaving intentions ambiguous or relying on informal trust alone can leave a party without any legal remedy when things go wrong.</w:t>
      </w:r>
    </w:p>
    <w:p w14:paraId="22F5BD9C" w14:textId="77777777" w:rsidR="00EF428F" w:rsidRPr="00AD301D" w:rsidRDefault="0033545F">
      <w:pPr>
        <w:keepNext/>
        <w:spacing w:before="320"/>
        <w:rPr>
          <w:rFonts w:ascii="Times New Roman" w:hAnsi="Times New Roman" w:cs="Times New Roman"/>
          <w:color w:val="000000" w:themeColor="text1"/>
        </w:rPr>
      </w:pPr>
      <w:r w:rsidRPr="00AD301D">
        <w:rPr>
          <w:rFonts w:ascii="Times New Roman" w:hAnsi="Times New Roman" w:cs="Times New Roman"/>
          <w:b/>
          <w:color w:val="000000" w:themeColor="text1"/>
        </w:rPr>
        <w:t>Annexure: IRAC Summary</w:t>
      </w:r>
    </w:p>
    <w:tbl>
      <w:tblPr>
        <w:tblW w:w="0" w:type="auto"/>
        <w:jc w:val="center"/>
        <w:tblLayout w:type="fixed"/>
        <w:tblLook w:val="04A0" w:firstRow="1" w:lastRow="0" w:firstColumn="1" w:lastColumn="0" w:noHBand="0" w:noVBand="1"/>
      </w:tblPr>
      <w:tblGrid>
        <w:gridCol w:w="2160"/>
        <w:gridCol w:w="7200"/>
      </w:tblGrid>
      <w:tr w:rsidR="00EF428F" w:rsidRPr="00AD301D" w14:paraId="091B57D2" w14:textId="77777777">
        <w:trPr>
          <w:jc w:val="center"/>
        </w:trPr>
        <w:tc>
          <w:tcPr>
            <w:tcW w:w="2160" w:type="dxa"/>
            <w:shd w:val="clear" w:color="auto" w:fill="1B365D"/>
          </w:tcPr>
          <w:p w14:paraId="4877D460"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b/>
                <w:color w:val="000000" w:themeColor="text1"/>
              </w:rPr>
              <w:t>Element</w:t>
            </w:r>
          </w:p>
        </w:tc>
        <w:tc>
          <w:tcPr>
            <w:tcW w:w="7200" w:type="dxa"/>
            <w:shd w:val="clear" w:color="auto" w:fill="1B365D"/>
          </w:tcPr>
          <w:p w14:paraId="381B4463"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b/>
                <w:color w:val="000000" w:themeColor="text1"/>
              </w:rPr>
              <w:t>Application to Balfour v. Balfour</w:t>
            </w:r>
          </w:p>
        </w:tc>
      </w:tr>
      <w:tr w:rsidR="00EF428F" w:rsidRPr="00AD301D" w14:paraId="44C6FE42" w14:textId="77777777">
        <w:trPr>
          <w:jc w:val="center"/>
        </w:trPr>
        <w:tc>
          <w:tcPr>
            <w:tcW w:w="2160" w:type="dxa"/>
          </w:tcPr>
          <w:p w14:paraId="7904BC32"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b/>
                <w:color w:val="000000" w:themeColor="text1"/>
              </w:rPr>
              <w:t>Issue</w:t>
            </w:r>
          </w:p>
        </w:tc>
        <w:tc>
          <w:tcPr>
            <w:tcW w:w="7200" w:type="dxa"/>
          </w:tcPr>
          <w:p w14:paraId="45B4D11C"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color w:val="000000" w:themeColor="text1"/>
              </w:rPr>
              <w:t>Was Mr. Balfour's verbal promise to pay his wife a £30 monthly allowance a legally binding contract enforceable in court?</w:t>
            </w:r>
          </w:p>
        </w:tc>
      </w:tr>
      <w:tr w:rsidR="00EF428F" w:rsidRPr="00AD301D" w14:paraId="68F15EDA" w14:textId="77777777">
        <w:trPr>
          <w:jc w:val="center"/>
        </w:trPr>
        <w:tc>
          <w:tcPr>
            <w:tcW w:w="2160" w:type="dxa"/>
            <w:shd w:val="clear" w:color="auto" w:fill="F7FAFC"/>
          </w:tcPr>
          <w:p w14:paraId="2114F0B6"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b/>
                <w:color w:val="000000" w:themeColor="text1"/>
              </w:rPr>
              <w:t>Rule</w:t>
            </w:r>
          </w:p>
        </w:tc>
        <w:tc>
          <w:tcPr>
            <w:tcW w:w="7200" w:type="dxa"/>
            <w:shd w:val="clear" w:color="auto" w:fill="F7FAFC"/>
          </w:tcPr>
          <w:p w14:paraId="3B633B94"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color w:val="000000" w:themeColor="text1"/>
              </w:rPr>
              <w:t>Agreements made in a social or domestic context carry a legal presumption that the parties do not intend to create legally binding relations unless proven otherwise.</w:t>
            </w:r>
          </w:p>
        </w:tc>
      </w:tr>
      <w:tr w:rsidR="00EF428F" w:rsidRPr="00AD301D" w14:paraId="77CF5459" w14:textId="77777777">
        <w:trPr>
          <w:jc w:val="center"/>
        </w:trPr>
        <w:tc>
          <w:tcPr>
            <w:tcW w:w="2160" w:type="dxa"/>
          </w:tcPr>
          <w:p w14:paraId="0ED0B2FB"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b/>
                <w:color w:val="000000" w:themeColor="text1"/>
              </w:rPr>
              <w:t>Application</w:t>
            </w:r>
          </w:p>
        </w:tc>
        <w:tc>
          <w:tcPr>
            <w:tcW w:w="7200" w:type="dxa"/>
          </w:tcPr>
          <w:p w14:paraId="776EFC3B"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color w:val="000000" w:themeColor="text1"/>
              </w:rPr>
              <w:t>The promise was made while the couple was still amicably married and living together as husband and wife. There was no express or implied evidence that either party intended to create an enforceable legal contract at that time.</w:t>
            </w:r>
          </w:p>
        </w:tc>
      </w:tr>
      <w:tr w:rsidR="00EF428F" w:rsidRPr="00AD301D" w14:paraId="43E3E62E" w14:textId="77777777">
        <w:trPr>
          <w:jc w:val="center"/>
        </w:trPr>
        <w:tc>
          <w:tcPr>
            <w:tcW w:w="2160" w:type="dxa"/>
            <w:shd w:val="clear" w:color="auto" w:fill="F7FAFC"/>
          </w:tcPr>
          <w:p w14:paraId="67E3D058"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b/>
                <w:color w:val="000000" w:themeColor="text1"/>
              </w:rPr>
              <w:t>Conclusion</w:t>
            </w:r>
          </w:p>
        </w:tc>
        <w:tc>
          <w:tcPr>
            <w:tcW w:w="7200" w:type="dxa"/>
            <w:shd w:val="clear" w:color="auto" w:fill="F7FAFC"/>
          </w:tcPr>
          <w:p w14:paraId="29BC9D1B" w14:textId="77777777" w:rsidR="00EF428F" w:rsidRPr="00AD301D" w:rsidRDefault="0033545F">
            <w:pPr>
              <w:spacing w:before="80" w:after="80"/>
              <w:rPr>
                <w:rFonts w:ascii="Times New Roman" w:hAnsi="Times New Roman" w:cs="Times New Roman"/>
                <w:color w:val="000000" w:themeColor="text1"/>
              </w:rPr>
            </w:pPr>
            <w:r w:rsidRPr="00AD301D">
              <w:rPr>
                <w:rFonts w:ascii="Times New Roman" w:hAnsi="Times New Roman" w:cs="Times New Roman"/>
                <w:color w:val="000000" w:themeColor="text1"/>
              </w:rPr>
              <w:t>The agreement was a purely domestic arrangement without legal effect. Mr. Balfour was not legally obligated to pay the allowance, and Mrs. Balfour's claim was dismissed.</w:t>
            </w:r>
          </w:p>
        </w:tc>
      </w:tr>
    </w:tbl>
    <w:p w14:paraId="19025698" w14:textId="77777777" w:rsidR="0033545F" w:rsidRPr="00AD301D" w:rsidRDefault="0033545F">
      <w:pPr>
        <w:rPr>
          <w:rFonts w:ascii="Times New Roman" w:hAnsi="Times New Roman" w:cs="Times New Roman"/>
          <w:color w:val="000000" w:themeColor="text1"/>
        </w:rPr>
      </w:pPr>
    </w:p>
    <w:sectPr w:rsidR="0033545F" w:rsidRPr="00AD30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928763">
    <w:abstractNumId w:val="8"/>
  </w:num>
  <w:num w:numId="2" w16cid:durableId="1511867516">
    <w:abstractNumId w:val="6"/>
  </w:num>
  <w:num w:numId="3" w16cid:durableId="959608186">
    <w:abstractNumId w:val="5"/>
  </w:num>
  <w:num w:numId="4" w16cid:durableId="1487547485">
    <w:abstractNumId w:val="4"/>
  </w:num>
  <w:num w:numId="5" w16cid:durableId="1402369657">
    <w:abstractNumId w:val="7"/>
  </w:num>
  <w:num w:numId="6" w16cid:durableId="182132597">
    <w:abstractNumId w:val="3"/>
  </w:num>
  <w:num w:numId="7" w16cid:durableId="1457480667">
    <w:abstractNumId w:val="2"/>
  </w:num>
  <w:num w:numId="8" w16cid:durableId="1817408912">
    <w:abstractNumId w:val="1"/>
  </w:num>
  <w:num w:numId="9" w16cid:durableId="136952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45F"/>
    <w:rsid w:val="0087424D"/>
    <w:rsid w:val="00AA1D8D"/>
    <w:rsid w:val="00AD301D"/>
    <w:rsid w:val="00B47730"/>
    <w:rsid w:val="00CB0664"/>
    <w:rsid w:val="00EF4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24443"/>
  <w14:defaultImageDpi w14:val="300"/>
  <w15:docId w15:val="{BC673C5F-F0FE-4E17-A85C-C818DB11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.k</cp:lastModifiedBy>
  <cp:revision>2</cp:revision>
  <dcterms:created xsi:type="dcterms:W3CDTF">2026-08-20T06:04:00Z</dcterms:created>
  <dcterms:modified xsi:type="dcterms:W3CDTF">2026-08-20T06:04:00Z</dcterms:modified>
  <cp:category/>
</cp:coreProperties>
</file>