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 Course Based Project Report on</w:t>
        <w:br/>
      </w:r>
      <w:r>
        <w:rPr>
          <w:b/>
          <w:color w:val="B40000"/>
          <w:sz w:val="30"/>
        </w:rPr>
        <w:t>CREDITRISK AI: EXPLAINABLE CREDIT DELINQUENCY PREDICTION AND BORROWER RISK PROFILING</w:t>
        <w:br/>
        <w:br/>
      </w:r>
      <w:r>
        <w:rPr>
          <w:b/>
          <w:color w:val="002060"/>
          <w:sz w:val="26"/>
        </w:rPr>
        <w:t>Submitted to the</w:t>
        <w:br/>
        <w:t>Department of CSE-(CyS, DS) and AI&amp;DS</w:t>
        <w:br/>
        <w:br/>
      </w:r>
      <w:r>
        <w:rPr>
          <w:sz w:val="22"/>
        </w:rPr>
        <w:t>in partial fulfilment of the requirements for the completion of course</w:t>
        <w:br/>
      </w:r>
      <w:r>
        <w:rPr>
          <w:b/>
          <w:sz w:val="24"/>
        </w:rPr>
        <w:t>Data Science for BFSI Laboratory (22PC2DS401)</w:t>
        <w:br/>
        <w:br/>
      </w:r>
      <w:r>
        <w:rPr>
          <w:b/>
          <w:color w:val="B40000"/>
          <w:sz w:val="26"/>
        </w:rPr>
        <w:t>BACHELOR OF TECHNOLOGY</w:t>
        <w:br/>
        <w:t>IN</w:t>
        <w:br/>
        <w:t>CSE-Data Science</w:t>
        <w:br/>
        <w:br/>
      </w:r>
      <w:r>
        <w:rPr>
          <w:b/>
          <w:sz w:val="24"/>
        </w:rPr>
        <w:t>Submitted by</w:t>
        <w:br/>
        <w:br/>
      </w:r>
    </w:p>
    <w:tbl>
      <w:tblPr>
        <w:tblW w:type="auto" w:w="0"/>
        <w:jc w:val="center"/>
        <w:tblLook w:firstColumn="1" w:firstRow="1" w:lastColumn="0" w:lastRow="0" w:noHBand="0" w:noVBand="1" w:val="04A0"/>
      </w:tblPr>
      <w:tblGrid>
        <w:gridCol w:w="4680"/>
        <w:gridCol w:w="4680"/>
      </w:tblGrid>
      <w:tr>
        <w:tc>
          <w:tcPr>
            <w:tcW w:type="dxa" w:w="4680"/>
          </w:tcPr>
          <w:p>
            <w:pPr>
              <w:jc w:val="left"/>
            </w:pPr>
            <w:r>
              <w:rPr>
                <w:b/>
                <w:sz w:val="22"/>
              </w:rPr>
              <w:t>NEHA CHAKRAVARTHY</w:t>
            </w:r>
          </w:p>
        </w:tc>
        <w:tc>
          <w:tcPr>
            <w:tcW w:type="dxa" w:w="4680"/>
          </w:tcPr>
          <w:p>
            <w:pPr>
              <w:jc w:val="right"/>
            </w:pPr>
            <w:r>
              <w:rPr>
                <w:b/>
                <w:sz w:val="22"/>
              </w:rPr>
              <w:t>23071A67H7</w:t>
            </w:r>
          </w:p>
        </w:tc>
      </w:tr>
      <w:tr>
        <w:tc>
          <w:tcPr>
            <w:tcW w:type="dxa" w:w="4680"/>
          </w:tcPr>
          <w:p>
            <w:pPr>
              <w:jc w:val="left"/>
            </w:pPr>
            <w:r>
              <w:rPr>
                <w:b/>
                <w:sz w:val="22"/>
              </w:rPr>
              <w:t>THANIKONDA JAYA SAI LAKSHMI</w:t>
            </w:r>
          </w:p>
        </w:tc>
        <w:tc>
          <w:tcPr>
            <w:tcW w:type="dxa" w:w="4680"/>
          </w:tcPr>
          <w:p>
            <w:pPr>
              <w:jc w:val="right"/>
            </w:pPr>
            <w:r>
              <w:rPr>
                <w:b/>
                <w:sz w:val="22"/>
              </w:rPr>
              <w:t>23071A67J8</w:t>
            </w:r>
          </w:p>
        </w:tc>
      </w:tr>
      <w:tr>
        <w:tc>
          <w:tcPr>
            <w:tcW w:type="dxa" w:w="4680"/>
          </w:tcPr>
          <w:p>
            <w:pPr>
              <w:jc w:val="left"/>
            </w:pPr>
            <w:r>
              <w:rPr>
                <w:b/>
                <w:sz w:val="22"/>
              </w:rPr>
              <w:t>THATI HARIPRIYA</w:t>
            </w:r>
          </w:p>
        </w:tc>
        <w:tc>
          <w:tcPr>
            <w:tcW w:type="dxa" w:w="4680"/>
          </w:tcPr>
          <w:p>
            <w:pPr>
              <w:jc w:val="right"/>
            </w:pPr>
            <w:r>
              <w:rPr>
                <w:b/>
                <w:sz w:val="22"/>
              </w:rPr>
              <w:t>23071A67J9</w:t>
            </w:r>
          </w:p>
        </w:tc>
      </w:tr>
      <w:tr>
        <w:tc>
          <w:tcPr>
            <w:tcW w:type="dxa" w:w="4680"/>
          </w:tcPr>
          <w:p>
            <w:pPr>
              <w:jc w:val="left"/>
            </w:pPr>
            <w:r>
              <w:rPr>
                <w:b/>
                <w:sz w:val="22"/>
              </w:rPr>
              <w:t>VANGALA SANVI REDDY</w:t>
            </w:r>
          </w:p>
        </w:tc>
        <w:tc>
          <w:tcPr>
            <w:tcW w:type="dxa" w:w="4680"/>
          </w:tcPr>
          <w:p>
            <w:pPr>
              <w:jc w:val="right"/>
            </w:pPr>
            <w:r>
              <w:rPr>
                <w:b/>
                <w:sz w:val="22"/>
              </w:rPr>
              <w:t>23071A67K3</w:t>
            </w:r>
          </w:p>
        </w:tc>
      </w:tr>
    </w:tbl>
    <w:p>
      <w:pPr>
        <w:spacing w:before="280"/>
        <w:jc w:val="center"/>
      </w:pPr>
      <w:r>
        <w:rPr>
          <w:b/>
          <w:sz w:val="24"/>
        </w:rPr>
        <w:t>Under the guidance of</w:t>
        <w:br/>
      </w:r>
      <w:r>
        <w:rPr>
          <w:b/>
          <w:color w:val="006699"/>
          <w:sz w:val="26"/>
        </w:rPr>
        <w:t>Mrs. V Susmitha</w:t>
        <w:br/>
      </w:r>
      <w:r>
        <w:rPr>
          <w:b/>
          <w:sz w:val="22"/>
        </w:rPr>
        <w:t>Assistant Professor</w:t>
        <w:br/>
        <w:br/>
      </w:r>
      <w:r>
        <w:rPr>
          <w:b/>
          <w:color w:val="B40000"/>
          <w:sz w:val="24"/>
        </w:rPr>
        <w:t>Department of CSE- (CyS, DS) and AI&amp;DS</w:t>
        <w:br/>
        <w:br/>
      </w:r>
      <w:r>
        <w:rPr>
          <w:b/>
          <w:color w:val="002060"/>
          <w:sz w:val="26"/>
        </w:rPr>
        <w:t>VALLURUPALLI NAGESWARA RAO VIGNANA JYOTHI</w:t>
        <w:br/>
        <w:t>INSTITUTE OF ENGINEERING &amp; TECHNOLOGY</w:t>
        <w:br/>
      </w:r>
      <w:r>
        <w:rPr>
          <w:sz w:val="20"/>
        </w:rPr>
        <w:t>An Autonomous Institute, NAAC Accredited with ‘A++’ Grade, NBA</w:t>
        <w:br/>
        <w:t>VignanaJyothi Nagar, Pragathi Nagar, Nizampet (S.O), Hyderabad – 500 090, TS, India</w:t>
        <w:br/>
        <w:br/>
      </w:r>
      <w:r>
        <w:rPr>
          <w:b/>
          <w:sz w:val="24"/>
        </w:rPr>
        <w:t>OCTOBER--2026</w:t>
      </w:r>
    </w:p>
    <w:p>
      <w:r>
        <w:br w:type="page"/>
      </w:r>
    </w:p>
    <w:p>
      <w:pPr>
        <w:jc w:val="center"/>
      </w:pPr>
      <w:r>
        <w:rPr>
          <w:b/>
          <w:color w:val="002060"/>
          <w:sz w:val="24"/>
        </w:rPr>
        <w:t>VALLURUPALLI NAGESWARA RAO VIGNANA JYOTHI</w:t>
        <w:br/>
        <w:t>INSTITUTE OF ENGINEERING AND TECHNOLOGY</w:t>
        <w:br/>
      </w:r>
      <w:r>
        <w:rPr>
          <w:color w:val="800000"/>
          <w:sz w:val="17"/>
        </w:rPr>
        <w:t>An Autonomous, ISO 21001:2018 &amp; QS I-Gauge Diamond Rated Institute, Accredited by NAAC with ‘A++’ Grade</w:t>
        <w:br/>
        <w:t>NBA Accreditation for B.Tech. CE,EEE,ME,ECE,CSE,EIE,IT,AME, M.Tech. STRE, PE, AMS, SWE Programmes</w:t>
        <w:br/>
        <w:t>Approved by AICTE, New Delhi, Affiliated to JNTUH, NIRF (2024) Rank band:151-200 in Engineering Category</w:t>
        <w:br/>
        <w:t>College with Potential for Excellence by UGC, JNTUH-Recognized Research Centres:CE,EEE,ME,ECE,CSE</w:t>
        <w:br/>
        <w:t>Vignana Jyothi Nagar, Pragathi Nagar, Nizampet (S.O.), Hyderabad – 500 090, TS, India.</w:t>
        <w:br/>
        <w:t>Telephone No: 040-2304 2758/59/60, Fax: 040-23042761</w:t>
        <w:br/>
        <w:t>E-mail: postbox@vnrvjiet.ac.in, Website: www.vnrvjiet.ac.in</w:t>
        <w:br/>
        <w:br/>
      </w:r>
      <w:r>
        <w:rPr>
          <w:b/>
          <w:color w:val="B40000"/>
          <w:sz w:val="26"/>
        </w:rPr>
        <w:t>Department of CSE-(CyS, DS) and AI&amp;DS</w:t>
        <w:br/>
        <w:br/>
      </w:r>
      <w:r>
        <w:rPr>
          <w:b/>
          <w:color w:val="006699"/>
          <w:sz w:val="32"/>
        </w:rPr>
        <w:t>CERTIFICATE</w:t>
        <w:br/>
        <w:br/>
      </w:r>
    </w:p>
    <w:p>
      <w:pPr>
        <w:spacing w:line="312" w:lineRule="auto" w:after="560"/>
      </w:pPr>
      <w:r>
        <w:t>This is to certify that the project report entitled “CREDITRISK AI: EXPLAINABLE CREDIT DELINQUENCY PREDICTION AND BORROWER RISK PROFILING” is a bonafide work done under our supervision and is being submitted by Miss. Neha Chakravarthy (23071A67H7), Miss. Thanikonda Jaya Sai Lakshmi (23071A67J8), Miss. Thati Haripriya (23071A67J9), and Miss. Vangala Sanvi Reddy (23071A67K3) in partial fulfillment for the award of the degree of Bachelor of Technology in CSE-Data Science, of the VNRVJIET, Hyderabad during the academic year 2025-2026.</w:t>
      </w:r>
    </w:p>
    <w:tbl>
      <w:tblPr>
        <w:tblW w:type="auto" w:w="0"/>
        <w:jc w:val="center"/>
        <w:tblLook w:firstColumn="1" w:firstRow="1" w:lastColumn="0" w:lastRow="0" w:noHBand="0" w:noVBand="1" w:val="04A0"/>
      </w:tblPr>
      <w:tblGrid>
        <w:gridCol w:w="4680"/>
        <w:gridCol w:w="4680"/>
      </w:tblGrid>
      <w:tr>
        <w:tc>
          <w:tcPr>
            <w:tcW w:type="dxa" w:w="4680"/>
          </w:tcPr>
          <w:p>
            <w:r>
              <w:rPr>
                <w:b/>
              </w:rPr>
              <w:t>Mrs. V Susmitha</w:t>
              <w:br/>
            </w:r>
            <w:r>
              <w:t>Assistant Professor</w:t>
              <w:br/>
              <w:t>Dept of CSE-(CyS, DS) and AI&amp;DS</w:t>
            </w:r>
          </w:p>
        </w:tc>
        <w:tc>
          <w:tcPr>
            <w:tcW w:type="dxa" w:w="4680"/>
          </w:tcPr>
          <w:p>
            <w:pPr>
              <w:jc w:val="right"/>
            </w:pPr>
            <w:r>
              <w:rPr>
                <w:b/>
              </w:rPr>
              <w:t>Dr. P V Siva Kumar</w:t>
              <w:br/>
            </w:r>
            <w:r>
              <w:t>Professor &amp; HOD</w:t>
              <w:br/>
              <w:t>Dept of CSE-(CyS, DS) and AI&amp;DS</w:t>
            </w:r>
          </w:p>
        </w:tc>
      </w:tr>
      <w:tr>
        <w:tc>
          <w:tcPr>
            <w:tcW w:type="dxa" w:w="4680"/>
          </w:tcPr>
          <w:p/>
        </w:tc>
        <w:tc>
          <w:tcPr>
            <w:tcW w:type="dxa" w:w="4680"/>
          </w:tcPr>
          <w:p/>
        </w:tc>
      </w:tr>
    </w:tbl>
    <w:p>
      <w:pPr>
        <w:spacing w:before="720"/>
        <w:jc w:val="center"/>
      </w:pPr>
      <w:r>
        <w:rPr>
          <w:b/>
        </w:rPr>
        <w:t>Course based Projects Reviewer</w:t>
      </w:r>
    </w:p>
    <w:p>
      <w:r>
        <w:br w:type="page"/>
      </w:r>
    </w:p>
    <w:p>
      <w:pPr>
        <w:jc w:val="center"/>
      </w:pPr>
      <w:r>
        <w:rPr>
          <w:b/>
        </w:rPr>
        <w:t>VALLURUPALLI NAGESWARA RAO VIGNANA JYOTHI</w:t>
        <w:br/>
        <w:t>INSTITUTE OF ENGINEERING AND TECHNOLOGY</w:t>
        <w:br/>
      </w:r>
      <w:r>
        <w:rPr>
          <w:sz w:val="19"/>
        </w:rPr>
        <w:t>An Autonomous Institute, NAAC Accredited with ‘A++’ Grade,</w:t>
        <w:br/>
        <w:t>VignanaJyothi Nagar, Pragathi Nagar, Nizampet(SO), Hyderabad-500090, TS, India</w:t>
        <w:br/>
        <w:br/>
      </w:r>
      <w:r>
        <w:rPr>
          <w:b/>
          <w:color w:val="B40000"/>
        </w:rPr>
        <w:t>Department of CSE-(CyS, DS) and AI&amp;DS</w:t>
        <w:br/>
        <w:br/>
      </w:r>
      <w:r>
        <w:rPr>
          <w:b/>
          <w:color w:val="B40000"/>
          <w:sz w:val="32"/>
        </w:rPr>
        <w:t>DECLARATION</w:t>
        <w:br/>
        <w:br/>
      </w:r>
    </w:p>
    <w:p>
      <w:pPr>
        <w:spacing w:line="312" w:lineRule="auto" w:after="400"/>
      </w:pPr>
      <w:r>
        <w:t>We declare that the course based project work entitled “CREDITRISK AI: EXPLAINABLE CREDIT DELINQUENCY PREDICTION AND BORROWER RISK PROFILING” submitted in the Department of CSE-(CyS, DS) and AI&amp;DS, Vallurupalli Nageswara Rao Vignana Jyothi Institute of Engineering and Technology, Hyderabad, in partial fulfillment of the requirement for the award of the degree of Bachelor of Technology in CSE-Data Science is a bonafide record of our own work carried out under the supervision of Mrs. V Susmitha, Assistant Professor, Department of CSE-(CyS, DS) and AI&amp;DS, VNRVJIET. Also, we declare that the matter embodied in this report has not been submitted by us in full or in any part thereof for the award of any degree/diploma of any other institution or university previously.</w:t>
        <w:br/>
        <w:br/>
        <w:t>Place: Hyderabad.</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Neha Chakravarthy</w:t>
            </w:r>
          </w:p>
        </w:tc>
        <w:tc>
          <w:tcPr>
            <w:tcW w:type="dxa" w:w="2340"/>
          </w:tcPr>
          <w:p>
            <w:pPr>
              <w:jc w:val="center"/>
            </w:pPr>
            <w:r>
              <w:rPr>
                <w:b/>
              </w:rPr>
              <w:t>T. Jaya Sai Lakshmi</w:t>
            </w:r>
          </w:p>
        </w:tc>
        <w:tc>
          <w:tcPr>
            <w:tcW w:type="dxa" w:w="2340"/>
          </w:tcPr>
          <w:p>
            <w:pPr>
              <w:jc w:val="center"/>
            </w:pPr>
            <w:r>
              <w:rPr>
                <w:b/>
              </w:rPr>
              <w:t>Thati Haripriya</w:t>
            </w:r>
          </w:p>
        </w:tc>
        <w:tc>
          <w:tcPr>
            <w:tcW w:type="dxa" w:w="2340"/>
          </w:tcPr>
          <w:p>
            <w:pPr>
              <w:jc w:val="center"/>
            </w:pPr>
            <w:r>
              <w:rPr>
                <w:b/>
              </w:rPr>
              <w:t>V. Sanvi Reddy</w:t>
            </w:r>
          </w:p>
        </w:tc>
      </w:tr>
      <w:tr>
        <w:tc>
          <w:tcPr>
            <w:tcW w:type="dxa" w:w="2340"/>
          </w:tcPr>
          <w:p>
            <w:pPr>
              <w:jc w:val="center"/>
            </w:pPr>
            <w:r>
              <w:rPr>
                <w:sz w:val="20"/>
              </w:rPr>
              <w:t>(23071A67H7)</w:t>
            </w:r>
          </w:p>
        </w:tc>
        <w:tc>
          <w:tcPr>
            <w:tcW w:type="dxa" w:w="2340"/>
          </w:tcPr>
          <w:p>
            <w:pPr>
              <w:jc w:val="center"/>
            </w:pPr>
            <w:r>
              <w:rPr>
                <w:sz w:val="20"/>
              </w:rPr>
              <w:t>(23071A67J8)</w:t>
            </w:r>
          </w:p>
        </w:tc>
        <w:tc>
          <w:tcPr>
            <w:tcW w:type="dxa" w:w="2340"/>
          </w:tcPr>
          <w:p>
            <w:pPr>
              <w:jc w:val="center"/>
            </w:pPr>
            <w:r>
              <w:rPr>
                <w:sz w:val="20"/>
              </w:rPr>
              <w:t>(23071A67J9)</w:t>
            </w:r>
          </w:p>
        </w:tc>
        <w:tc>
          <w:tcPr>
            <w:tcW w:type="dxa" w:w="2340"/>
          </w:tcPr>
          <w:p>
            <w:pPr>
              <w:jc w:val="center"/>
            </w:pPr>
            <w:r>
              <w:rPr>
                <w:sz w:val="20"/>
              </w:rPr>
              <w:t>(23071A67K3)</w:t>
            </w:r>
          </w:p>
        </w:tc>
      </w:tr>
    </w:tbl>
    <w:p>
      <w:r>
        <w:br w:type="page"/>
      </w:r>
    </w:p>
    <w:p>
      <w:pPr>
        <w:jc w:val="center"/>
      </w:pPr>
      <w:r>
        <w:rPr>
          <w:b/>
          <w:color w:val="B40000"/>
          <w:sz w:val="32"/>
        </w:rPr>
        <w:t>ACKNOWLEDGEMENT</w:t>
        <w:br/>
        <w:br/>
      </w:r>
    </w:p>
    <w:p>
      <w:pPr>
        <w:spacing w:line="288" w:lineRule="auto" w:after="200"/>
      </w:pPr>
      <w:r>
        <w:t>We express our deep sense of gratitude to our beloved President, Sri. D. Suresh Babu, VNR Vignana Jyothi Institute of Engineering &amp; Technology for the valuable guidance and for permitting us to carry out this project.</w:t>
      </w:r>
    </w:p>
    <w:p>
      <w:pPr>
        <w:spacing w:line="288" w:lineRule="auto" w:after="200"/>
      </w:pPr>
      <w:r>
        <w:t>With immense pleasure, we record our deep sense of gratitude to our beloved Principal, Dr. B Chennakesava Rao, for permitting us to carry out this project.</w:t>
      </w:r>
    </w:p>
    <w:p>
      <w:pPr>
        <w:spacing w:line="288" w:lineRule="auto" w:after="200"/>
      </w:pPr>
      <w:r>
        <w:t>We express our deep sense of gratitude to our beloved Professor Dr. P V Siva Kumar, Professor and I/C HOD, Department of CSE-(CyS, DS) and AI&amp;DS, VNR Vignana Jyothi Institute of Engineering &amp; Technology, Hyderabad-500090 for the valuable guidance, keen interest, and thorough encouragement extended throughout the project period.</w:t>
      </w:r>
    </w:p>
    <w:p>
      <w:pPr>
        <w:spacing w:line="288" w:lineRule="auto" w:after="200"/>
      </w:pPr>
      <w:r>
        <w:t>We take immense pleasure to express our deep sense of gratitude to our beloved Guide, Mrs. V Susmitha, Assistant Professor in CSE-(CyS, DS) and AI&amp;DS, VNR Vignana Jyothi Institute of Engineering &amp; Technology, Hyderabad, for her valuable suggestions, rare insights, and constant source of encouragement and inspiration throughout our project work.</w:t>
      </w:r>
    </w:p>
    <w:p>
      <w:pPr>
        <w:spacing w:line="288" w:lineRule="auto" w:after="200"/>
      </w:pPr>
      <w:r>
        <w:t>We express our thanks to all those faculty members, staff, and peers who contributed directly or indirectly to the successful completion of our project work.</w:t>
      </w:r>
    </w:p>
    <w:p>
      <w:pPr>
        <w:spacing w:before="400"/>
        <w:jc w:val="right"/>
      </w:pPr>
      <w:r>
        <w:rPr>
          <w:b/>
        </w:rPr>
        <w:t>Miss. Neha Chakravarthy (23071A67H7)</w:t>
        <w:br/>
      </w:r>
      <w:r>
        <w:rPr>
          <w:b/>
        </w:rPr>
        <w:t>Miss. Thanikonda Jaya Sai Lakshmi (23071A67J8)</w:t>
        <w:br/>
      </w:r>
      <w:r>
        <w:rPr>
          <w:b/>
        </w:rPr>
        <w:t>Miss. Thati Haripriya (23071A67J9)</w:t>
        <w:br/>
      </w:r>
      <w:r>
        <w:rPr>
          <w:b/>
        </w:rPr>
        <w:t>Miss. Vangala Sanvi Reddy (23071A67K3)</w:t>
        <w:br/>
      </w:r>
    </w:p>
    <w:p>
      <w:r>
        <w:br w:type="page"/>
      </w:r>
    </w:p>
    <w:p>
      <w:pPr>
        <w:jc w:val="center"/>
      </w:pPr>
      <w:r>
        <w:rPr>
          <w:b/>
          <w:color w:val="B40000"/>
          <w:sz w:val="32"/>
        </w:rPr>
        <w:t>TABLE OF CONTENTS</w:t>
        <w:br/>
        <w:br/>
      </w:r>
    </w:p>
    <w:tbl>
      <w:tblPr>
        <w:tblW w:type="auto" w:w="0"/>
        <w:jc w:val="center"/>
        <w:tblLook w:firstColumn="1" w:firstRow="1" w:lastColumn="0" w:lastRow="0" w:noHBand="0" w:noVBand="1" w:val="04A0"/>
      </w:tblPr>
      <w:tblGrid>
        <w:gridCol w:w="4680"/>
        <w:gridCol w:w="4680"/>
      </w:tblGrid>
      <w:tr>
        <w:tc>
          <w:tcPr>
            <w:tcW w:type="dxa" w:w="4680"/>
          </w:tcPr>
          <w:p>
            <w:r>
              <w:rPr>
                <w:b/>
              </w:rPr>
              <w:t>CHAPTER / SECTION</w:t>
            </w:r>
          </w:p>
        </w:tc>
        <w:tc>
          <w:tcPr>
            <w:tcW w:type="dxa" w:w="4680"/>
          </w:tcPr>
          <w:p>
            <w:pPr>
              <w:jc w:val="right"/>
            </w:pPr>
            <w:r>
              <w:rPr>
                <w:b/>
              </w:rPr>
              <w:t>PAGE NO</w:t>
            </w:r>
          </w:p>
        </w:tc>
      </w:tr>
      <w:tr>
        <w:tc>
          <w:tcPr>
            <w:tcW w:type="dxa" w:w="4680"/>
          </w:tcPr>
          <w:p>
            <w:r>
              <w:rPr>
                <w:b/>
              </w:rPr>
              <w:t>ABSTRACT (Mandatory)</w:t>
            </w:r>
          </w:p>
        </w:tc>
        <w:tc>
          <w:tcPr>
            <w:tcW w:type="dxa" w:w="4680"/>
          </w:tcPr>
          <w:p>
            <w:pPr>
              <w:jc w:val="right"/>
            </w:pPr>
            <w:r>
              <w:rPr>
                <w:b/>
              </w:rPr>
              <w:t>2</w:t>
            </w:r>
          </w:p>
        </w:tc>
      </w:tr>
      <w:tr>
        <w:tc>
          <w:tcPr>
            <w:tcW w:type="dxa" w:w="4680"/>
          </w:tcPr>
          <w:p>
            <w:r>
              <w:t>LIST OF TABLES</w:t>
            </w:r>
          </w:p>
        </w:tc>
        <w:tc>
          <w:tcPr>
            <w:tcW w:type="dxa" w:w="4680"/>
          </w:tcPr>
          <w:p>
            <w:pPr>
              <w:jc w:val="right"/>
            </w:pPr>
            <w:r>
              <w:t>3</w:t>
            </w:r>
          </w:p>
        </w:tc>
      </w:tr>
      <w:tr>
        <w:tc>
          <w:tcPr>
            <w:tcW w:type="dxa" w:w="4680"/>
          </w:tcPr>
          <w:p>
            <w:r>
              <w:t>LIST OF FIGURES</w:t>
            </w:r>
          </w:p>
        </w:tc>
        <w:tc>
          <w:tcPr>
            <w:tcW w:type="dxa" w:w="4680"/>
          </w:tcPr>
          <w:p>
            <w:pPr>
              <w:jc w:val="right"/>
            </w:pPr>
            <w:r>
              <w:t>4</w:t>
            </w:r>
          </w:p>
        </w:tc>
      </w:tr>
      <w:tr>
        <w:tc>
          <w:tcPr>
            <w:tcW w:type="dxa" w:w="4680"/>
          </w:tcPr>
          <w:p>
            <w:r>
              <w:rPr>
                <w:b/>
              </w:rPr>
              <w:t>CHAPTER 1 – Introduction</w:t>
            </w:r>
          </w:p>
        </w:tc>
        <w:tc>
          <w:tcPr>
            <w:tcW w:type="dxa" w:w="4680"/>
          </w:tcPr>
          <w:p>
            <w:pPr>
              <w:jc w:val="right"/>
            </w:pPr>
            <w:r>
              <w:rPr>
                <w:b/>
              </w:rPr>
              <w:t>5</w:t>
            </w:r>
          </w:p>
        </w:tc>
      </w:tr>
      <w:tr>
        <w:tc>
          <w:tcPr>
            <w:tcW w:type="dxa" w:w="4680"/>
          </w:tcPr>
          <w:p>
            <w:r>
              <w:t xml:space="preserve">    1.1 Introduction</w:t>
            </w:r>
          </w:p>
        </w:tc>
        <w:tc>
          <w:tcPr>
            <w:tcW w:type="dxa" w:w="4680"/>
          </w:tcPr>
          <w:p>
            <w:pPr>
              <w:jc w:val="right"/>
            </w:pPr>
            <w:r>
              <w:t>5</w:t>
            </w:r>
          </w:p>
        </w:tc>
      </w:tr>
      <w:tr>
        <w:tc>
          <w:tcPr>
            <w:tcW w:type="dxa" w:w="4680"/>
          </w:tcPr>
          <w:p>
            <w:r>
              <w:t xml:space="preserve">    1.2 Problem Statement</w:t>
            </w:r>
          </w:p>
        </w:tc>
        <w:tc>
          <w:tcPr>
            <w:tcW w:type="dxa" w:w="4680"/>
          </w:tcPr>
          <w:p>
            <w:pPr>
              <w:jc w:val="right"/>
            </w:pPr>
            <w:r>
              <w:t>5</w:t>
            </w:r>
          </w:p>
        </w:tc>
      </w:tr>
      <w:tr>
        <w:tc>
          <w:tcPr>
            <w:tcW w:type="dxa" w:w="4680"/>
          </w:tcPr>
          <w:p>
            <w:r>
              <w:t xml:space="preserve">    1.3 Objectives</w:t>
            </w:r>
          </w:p>
        </w:tc>
        <w:tc>
          <w:tcPr>
            <w:tcW w:type="dxa" w:w="4680"/>
          </w:tcPr>
          <w:p>
            <w:pPr>
              <w:jc w:val="right"/>
            </w:pPr>
            <w:r>
              <w:t>6</w:t>
            </w:r>
          </w:p>
        </w:tc>
      </w:tr>
      <w:tr>
        <w:tc>
          <w:tcPr>
            <w:tcW w:type="dxa" w:w="4680"/>
          </w:tcPr>
          <w:p>
            <w:r>
              <w:t xml:space="preserve">    1.4 Scope</w:t>
            </w:r>
          </w:p>
        </w:tc>
        <w:tc>
          <w:tcPr>
            <w:tcW w:type="dxa" w:w="4680"/>
          </w:tcPr>
          <w:p>
            <w:pPr>
              <w:jc w:val="right"/>
            </w:pPr>
            <w:r>
              <w:t>6</w:t>
            </w:r>
          </w:p>
        </w:tc>
      </w:tr>
      <w:tr>
        <w:tc>
          <w:tcPr>
            <w:tcW w:type="dxa" w:w="4680"/>
          </w:tcPr>
          <w:p>
            <w:r>
              <w:rPr>
                <w:b/>
              </w:rPr>
              <w:t>CHAPTER 2 – Method</w:t>
            </w:r>
          </w:p>
        </w:tc>
        <w:tc>
          <w:tcPr>
            <w:tcW w:type="dxa" w:w="4680"/>
          </w:tcPr>
          <w:p>
            <w:pPr>
              <w:jc w:val="right"/>
            </w:pPr>
            <w:r>
              <w:rPr>
                <w:b/>
              </w:rPr>
              <w:t>7</w:t>
            </w:r>
          </w:p>
        </w:tc>
      </w:tr>
      <w:tr>
        <w:tc>
          <w:tcPr>
            <w:tcW w:type="dxa" w:w="4680"/>
          </w:tcPr>
          <w:p>
            <w:r>
              <w:t xml:space="preserve">    2.1 System Overview &amp; Architecture</w:t>
            </w:r>
          </w:p>
        </w:tc>
        <w:tc>
          <w:tcPr>
            <w:tcW w:type="dxa" w:w="4680"/>
          </w:tcPr>
          <w:p>
            <w:pPr>
              <w:jc w:val="right"/>
            </w:pPr>
            <w:r>
              <w:t>7</w:t>
            </w:r>
          </w:p>
        </w:tc>
      </w:tr>
      <w:tr>
        <w:tc>
          <w:tcPr>
            <w:tcW w:type="dxa" w:w="4680"/>
          </w:tcPr>
          <w:p>
            <w:r>
              <w:t xml:space="preserve">    2.2 Technologies Used</w:t>
            </w:r>
          </w:p>
        </w:tc>
        <w:tc>
          <w:tcPr>
            <w:tcW w:type="dxa" w:w="4680"/>
          </w:tcPr>
          <w:p>
            <w:pPr>
              <w:jc w:val="right"/>
            </w:pPr>
            <w:r>
              <w:t>7</w:t>
            </w:r>
          </w:p>
        </w:tc>
      </w:tr>
      <w:tr>
        <w:tc>
          <w:tcPr>
            <w:tcW w:type="dxa" w:w="4680"/>
          </w:tcPr>
          <w:p>
            <w:r>
              <w:t xml:space="preserve">    2.3 Data Collection &amp; Leakage-Free Preprocessing</w:t>
            </w:r>
          </w:p>
        </w:tc>
        <w:tc>
          <w:tcPr>
            <w:tcW w:type="dxa" w:w="4680"/>
          </w:tcPr>
          <w:p>
            <w:pPr>
              <w:jc w:val="right"/>
            </w:pPr>
            <w:r>
              <w:t>8</w:t>
            </w:r>
          </w:p>
        </w:tc>
      </w:tr>
      <w:tr>
        <w:tc>
          <w:tcPr>
            <w:tcW w:type="dxa" w:w="4680"/>
          </w:tcPr>
          <w:p>
            <w:r>
              <w:t xml:space="preserve">    2.4 Mathematical Formulations &amp; Classification Algorithms</w:t>
            </w:r>
          </w:p>
        </w:tc>
        <w:tc>
          <w:tcPr>
            <w:tcW w:type="dxa" w:w="4680"/>
          </w:tcPr>
          <w:p>
            <w:pPr>
              <w:jc w:val="right"/>
            </w:pPr>
            <w:r>
              <w:t>9</w:t>
            </w:r>
          </w:p>
        </w:tc>
      </w:tr>
      <w:tr>
        <w:tc>
          <w:tcPr>
            <w:tcW w:type="dxa" w:w="4680"/>
          </w:tcPr>
          <w:p>
            <w:r>
              <w:t xml:space="preserve">    2.5 Decision Threshold Optimization &amp; Calibration</w:t>
            </w:r>
          </w:p>
        </w:tc>
        <w:tc>
          <w:tcPr>
            <w:tcW w:type="dxa" w:w="4680"/>
          </w:tcPr>
          <w:p>
            <w:pPr>
              <w:jc w:val="right"/>
            </w:pPr>
            <w:r>
              <w:t>12</w:t>
            </w:r>
          </w:p>
        </w:tc>
      </w:tr>
      <w:tr>
        <w:tc>
          <w:tcPr>
            <w:tcW w:type="dxa" w:w="4680"/>
          </w:tcPr>
          <w:p>
            <w:r>
              <w:rPr>
                <w:b/>
              </w:rPr>
              <w:t>CHAPTER 3 – Test Cases / Output</w:t>
            </w:r>
          </w:p>
        </w:tc>
        <w:tc>
          <w:tcPr>
            <w:tcW w:type="dxa" w:w="4680"/>
          </w:tcPr>
          <w:p>
            <w:pPr>
              <w:jc w:val="right"/>
            </w:pPr>
            <w:r>
              <w:rPr>
                <w:b/>
              </w:rPr>
              <w:t>13</w:t>
            </w:r>
          </w:p>
        </w:tc>
      </w:tr>
      <w:tr>
        <w:tc>
          <w:tcPr>
            <w:tcW w:type="dxa" w:w="4680"/>
          </w:tcPr>
          <w:p>
            <w:r>
              <w:t xml:space="preserve">    3.1 Test Cases Table</w:t>
            </w:r>
          </w:p>
        </w:tc>
        <w:tc>
          <w:tcPr>
            <w:tcW w:type="dxa" w:w="4680"/>
          </w:tcPr>
          <w:p>
            <w:pPr>
              <w:jc w:val="right"/>
            </w:pPr>
            <w:r>
              <w:t>13</w:t>
            </w:r>
          </w:p>
        </w:tc>
      </w:tr>
      <w:tr>
        <w:tc>
          <w:tcPr>
            <w:tcW w:type="dxa" w:w="4680"/>
          </w:tcPr>
          <w:p>
            <w:r>
              <w:t xml:space="preserve">    3.2 Application Visual Outputs &amp; Website Snippets</w:t>
            </w:r>
          </w:p>
        </w:tc>
        <w:tc>
          <w:tcPr>
            <w:tcW w:type="dxa" w:w="4680"/>
          </w:tcPr>
          <w:p>
            <w:pPr>
              <w:jc w:val="right"/>
            </w:pPr>
            <w:r>
              <w:t>14</w:t>
            </w:r>
          </w:p>
        </w:tc>
      </w:tr>
      <w:tr>
        <w:tc>
          <w:tcPr>
            <w:tcW w:type="dxa" w:w="4680"/>
          </w:tcPr>
          <w:p>
            <w:r>
              <w:rPr>
                <w:b/>
              </w:rPr>
              <w:t>CHAPTER 4 – Results &amp; Discussion</w:t>
            </w:r>
          </w:p>
        </w:tc>
        <w:tc>
          <w:tcPr>
            <w:tcW w:type="dxa" w:w="4680"/>
          </w:tcPr>
          <w:p>
            <w:pPr>
              <w:jc w:val="right"/>
            </w:pPr>
            <w:r>
              <w:rPr>
                <w:b/>
              </w:rPr>
              <w:t>18</w:t>
            </w:r>
          </w:p>
        </w:tc>
      </w:tr>
      <w:tr>
        <w:tc>
          <w:tcPr>
            <w:tcW w:type="dxa" w:w="4680"/>
          </w:tcPr>
          <w:p>
            <w:r>
              <w:t xml:space="preserve">    4.1 Overview</w:t>
            </w:r>
          </w:p>
        </w:tc>
        <w:tc>
          <w:tcPr>
            <w:tcW w:type="dxa" w:w="4680"/>
          </w:tcPr>
          <w:p>
            <w:pPr>
              <w:jc w:val="right"/>
            </w:pPr>
            <w:r>
              <w:t>18</w:t>
            </w:r>
          </w:p>
        </w:tc>
      </w:tr>
      <w:tr>
        <w:tc>
          <w:tcPr>
            <w:tcW w:type="dxa" w:w="4680"/>
          </w:tcPr>
          <w:p>
            <w:r>
              <w:t xml:space="preserve">    4.2 Comparative Model Performance Benchmark</w:t>
            </w:r>
          </w:p>
        </w:tc>
        <w:tc>
          <w:tcPr>
            <w:tcW w:type="dxa" w:w="4680"/>
          </w:tcPr>
          <w:p>
            <w:pPr>
              <w:jc w:val="right"/>
            </w:pPr>
            <w:r>
              <w:t>18</w:t>
            </w:r>
          </w:p>
        </w:tc>
      </w:tr>
      <w:tr>
        <w:tc>
          <w:tcPr>
            <w:tcW w:type="dxa" w:w="4680"/>
          </w:tcPr>
          <w:p>
            <w:r>
              <w:t xml:space="preserve">    4.3 Class Imbalance &amp; The Fallacy of Accuracy</w:t>
            </w:r>
          </w:p>
        </w:tc>
        <w:tc>
          <w:tcPr>
            <w:tcW w:type="dxa" w:w="4680"/>
          </w:tcPr>
          <w:p>
            <w:pPr>
              <w:jc w:val="right"/>
            </w:pPr>
            <w:r>
              <w:t>19</w:t>
            </w:r>
          </w:p>
        </w:tc>
      </w:tr>
      <w:tr>
        <w:tc>
          <w:tcPr>
            <w:tcW w:type="dxa" w:w="4680"/>
          </w:tcPr>
          <w:p>
            <w:r>
              <w:t xml:space="preserve">    4.4 Explainable AI (XAI) &amp; SHAP Game-Theoretic Insights</w:t>
            </w:r>
          </w:p>
        </w:tc>
        <w:tc>
          <w:tcPr>
            <w:tcW w:type="dxa" w:w="4680"/>
          </w:tcPr>
          <w:p>
            <w:pPr>
              <w:jc w:val="right"/>
            </w:pPr>
            <w:r>
              <w:t>20</w:t>
            </w:r>
          </w:p>
        </w:tc>
      </w:tr>
      <w:tr>
        <w:tc>
          <w:tcPr>
            <w:tcW w:type="dxa" w:w="4680"/>
          </w:tcPr>
          <w:p>
            <w:r>
              <w:t xml:space="preserve">    4.5 Correlation vs. Causation Regulatory Governance</w:t>
            </w:r>
          </w:p>
        </w:tc>
        <w:tc>
          <w:tcPr>
            <w:tcW w:type="dxa" w:w="4680"/>
          </w:tcPr>
          <w:p>
            <w:pPr>
              <w:jc w:val="right"/>
            </w:pPr>
            <w:r>
              <w:t>21</w:t>
            </w:r>
          </w:p>
        </w:tc>
      </w:tr>
      <w:tr>
        <w:tc>
          <w:tcPr>
            <w:tcW w:type="dxa" w:w="4680"/>
          </w:tcPr>
          <w:p>
            <w:r>
              <w:rPr>
                <w:b/>
              </w:rPr>
              <w:t>CHAPTER 5 – Summary, Conclusion, Recommendation</w:t>
            </w:r>
          </w:p>
        </w:tc>
        <w:tc>
          <w:tcPr>
            <w:tcW w:type="dxa" w:w="4680"/>
          </w:tcPr>
          <w:p>
            <w:pPr>
              <w:jc w:val="right"/>
            </w:pPr>
            <w:r>
              <w:rPr>
                <w:b/>
              </w:rPr>
              <w:t>22</w:t>
            </w:r>
          </w:p>
        </w:tc>
      </w:tr>
      <w:tr>
        <w:tc>
          <w:tcPr>
            <w:tcW w:type="dxa" w:w="4680"/>
          </w:tcPr>
          <w:p>
            <w:r>
              <w:t xml:space="preserve">    5.1 Summary</w:t>
            </w:r>
          </w:p>
        </w:tc>
        <w:tc>
          <w:tcPr>
            <w:tcW w:type="dxa" w:w="4680"/>
          </w:tcPr>
          <w:p>
            <w:pPr>
              <w:jc w:val="right"/>
            </w:pPr>
            <w:r>
              <w:t>22</w:t>
            </w:r>
          </w:p>
        </w:tc>
      </w:tr>
      <w:tr>
        <w:tc>
          <w:tcPr>
            <w:tcW w:type="dxa" w:w="4680"/>
          </w:tcPr>
          <w:p>
            <w:r>
              <w:t xml:space="preserve">    5.2 Conclusion</w:t>
            </w:r>
          </w:p>
        </w:tc>
        <w:tc>
          <w:tcPr>
            <w:tcW w:type="dxa" w:w="4680"/>
          </w:tcPr>
          <w:p>
            <w:pPr>
              <w:jc w:val="right"/>
            </w:pPr>
            <w:r>
              <w:t>22</w:t>
            </w:r>
          </w:p>
        </w:tc>
      </w:tr>
      <w:tr>
        <w:tc>
          <w:tcPr>
            <w:tcW w:type="dxa" w:w="4680"/>
          </w:tcPr>
          <w:p>
            <w:r>
              <w:t xml:space="preserve">    5.3 Recommendations &amp; Future Enhancements</w:t>
            </w:r>
          </w:p>
        </w:tc>
        <w:tc>
          <w:tcPr>
            <w:tcW w:type="dxa" w:w="4680"/>
          </w:tcPr>
          <w:p>
            <w:pPr>
              <w:jc w:val="right"/>
            </w:pPr>
            <w:r>
              <w:t>23</w:t>
            </w:r>
          </w:p>
        </w:tc>
      </w:tr>
      <w:tr>
        <w:tc>
          <w:tcPr>
            <w:tcW w:type="dxa" w:w="4680"/>
          </w:tcPr>
          <w:p>
            <w:r>
              <w:rPr>
                <w:b/>
              </w:rPr>
              <w:t>REFERENCES OR BIBLIOGRAPHY</w:t>
            </w:r>
          </w:p>
        </w:tc>
        <w:tc>
          <w:tcPr>
            <w:tcW w:type="dxa" w:w="4680"/>
          </w:tcPr>
          <w:p>
            <w:pPr>
              <w:jc w:val="right"/>
            </w:pPr>
            <w:r>
              <w:rPr>
                <w:b/>
              </w:rPr>
              <w:t>24</w:t>
            </w:r>
          </w:p>
        </w:tc>
      </w:tr>
    </w:tbl>
    <w:p>
      <w:r>
        <w:br w:type="page"/>
      </w:r>
    </w:p>
    <w:p>
      <w:pPr>
        <w:jc w:val="center"/>
      </w:pPr>
      <w:r>
        <w:rPr>
          <w:b/>
          <w:sz w:val="32"/>
        </w:rPr>
        <w:t>ABSTRACT</w:t>
        <w:br/>
        <w:br/>
      </w:r>
    </w:p>
    <w:p>
      <w:pPr>
        <w:spacing w:line="300" w:lineRule="auto" w:after="200"/>
      </w:pPr>
      <w:r>
        <w:t>CreditRisk AI: Explainable Credit Delinquency Prediction and Borrower Risk Profiling is a Python-based machine learning application engineered for banking, financial services, and insurance (BFSI) risk analytics. Credit delinquency poses severe systemic risks to commercial and retail lenders. Accurate risk estimation allows financial institutions to identify potential defaults before they manifest, balance loss prevention with credit access, and satisfy stringent regulatory compliance standards.</w:t>
      </w:r>
    </w:p>
    <w:p>
      <w:pPr>
        <w:spacing w:line="300" w:lineRule="auto" w:after="200"/>
      </w:pPr>
      <w:r>
        <w:t>The project utilizes the benchmark Kaggle 'Give Me Some Credit' dataset comprising 150,000 historical borrower records with ten predictive features, including revolving credit utilization, age, debt ratio, monthly gross income, past-due delinquency history across 30-59, 60-89, and 90+ day buckets, open credit lines, real estate loans, and dependent counts. The binary target indicates serious delinquency (90 days past due or worse) within a two-year performance window. Due to severe empirical class imbalance (~6.68% default rate), conventional accuracy is misleading; hence, evaluation is grounded in ROC-AUC, Precision-Recall AUC (PR-AUC), Brier score, and threshold-tuned F1 performance.</w:t>
      </w:r>
    </w:p>
    <w:p>
      <w:pPr>
        <w:spacing w:line="300" w:lineRule="auto" w:after="200"/>
      </w:pPr>
      <w:r>
        <w:t>Three complementary classification architectures are benchmarked: L2-regularized Class-Weighted Logistic Regression, Random Forest Classifier, and Gradient-Boosted XGBoost. A rigorous, leakage-free preprocessing pipeline performs median imputation with missing-indicator flags for monthly income (~19.8% missing) and dependents (~2.6% missing), alongside outlier Winsorization and domain feature engineering. Model decisions are made transparent through game-theoretic SHAP (SHapley Additive exPlanations) using TreeExplainer and LinearExplainer, providing both global factor hierarchies and local borrower-level risk decomposition.</w:t>
      </w:r>
    </w:p>
    <w:p>
      <w:pPr>
        <w:spacing w:line="300" w:lineRule="auto" w:after="200"/>
      </w:pPr>
      <w:r>
        <w:t>The application is deployed as an institutional-grade Streamlit web dashboard styled with a dark navy sidebar and crisp canvas. It features five modules: Executive Portfolio Dashboard, Individual Underwriting Assessment with a dynamic credit score gauge (300-850), Model Validation Workbench with interactive threshold tuning, Explainable AI Explorer with compliance advisories on correlation versus causation, and a Dataset Explorer supporting real CSV uploads and batch scoring exports.</w:t>
      </w:r>
    </w:p>
    <w:p>
      <w:r>
        <w:br w:type="page"/>
      </w:r>
    </w:p>
    <w:p>
      <w:pPr>
        <w:pStyle w:val="Heading1"/>
      </w:pPr>
      <w:r>
        <w:t>CHAPTER 1</w:t>
      </w:r>
    </w:p>
    <w:p>
      <w:pPr>
        <w:pStyle w:val="Heading2"/>
      </w:pPr>
      <w:r>
        <w:t>INTRODUCTION</w:t>
      </w:r>
    </w:p>
    <w:p>
      <w:pPr>
        <w:pStyle w:val="Heading3"/>
      </w:pPr>
      <w:r>
        <w:t>1.1 Introduction</w:t>
      </w:r>
    </w:p>
    <w:p>
      <w:r>
        <w:t>Credit risk management is the cornerstone of retail and commercial banking stability. In consumer lending, financial institutions evaluate loan and credit card applications to determine whether borrowers will honor their future debt obligations. When a borrower fails to meet minimum contractual payments for 90 days or longer, the account enters severe delinquency, often culminating in costly charge-offs and loan loss provisions.</w:t>
        <w:br/>
        <w:br/>
        <w:t>CreditRisk AI is an advanced, explainable financial analytics dashboard that combines machine learning classification algorithms with econometric principles to model credit delinquency risk. Built on the Kaggle 'Give Me Some Credit' competition framework, the system provides automated scoring, risk tier segmentation (Low/Prime, Medium/Near-Prime, and High/Subprime), threshold-optimized decision policies, and transparent feature attribution to support loan underwriters and credit risk committees.</w:t>
      </w:r>
    </w:p>
    <w:p>
      <w:pPr>
        <w:pStyle w:val="Heading3"/>
      </w:pPr>
      <w:r>
        <w:t>1.2 Problem Statement</w:t>
      </w:r>
    </w:p>
    <w:p>
      <w:r>
        <w:t>Lending institutions face four fundamental technical and operational challenges in delinquency risk modeling:</w:t>
        <w:br/>
        <w:t>1. Extreme Class Imbalance: In healthy consumer portfolios, only 6% to 7% of borrowers experience severe default. Standard machine learning models optimized for overall accuracy often collapse into predicting zero defaults, achieving 93% accuracy while completely failing to detect bad debt.</w:t>
        <w:br/>
        <w:t>2. The Black-Box Dilemma: High-performing non-linear models like Random Forests and XGBoost lack native interpretability. Under fair lending regulations, including the Equal Credit Opportunity Act (ECOA) and Regulation B, institutions must provide specific Adverse Action reasons whenever credit is denied.</w:t>
        <w:br/>
        <w:t>3. Arbitrary Classification Cutoffs: Default software implementations classify probabilities using an arbitrary 0.50 threshold, which severely suppresses minority class recall in imbalanced credit regimes.</w:t>
        <w:br/>
        <w:t>4. Data Leakage and Preprocessing Bias: Common modeling pipelines fit imputers and scalers on entire datasets prior to splitting, creating optimistic bias that fails in production underwriting.</w:t>
      </w:r>
    </w:p>
    <w:p>
      <w:pPr>
        <w:pStyle w:val="Heading3"/>
      </w:pPr>
      <w:r>
        <w:t>1.3 Objectives</w:t>
      </w:r>
    </w:p>
    <w:p>
      <w:r>
        <w:t>The primary objective of this project is to develop a production-quality, explainable credit delinquency prediction system. The specific technical objectives are:</w:t>
        <w:br/>
        <w:t>1. To ingest and validate the Kaggle 'Give Me Some Credit' benchmark schema across ten primary financial predictors.</w:t>
        <w:br/>
        <w:t>2. To construct a leakage-free preprocessing pipeline with missing-value imputation, missing indicators, and outlier treatment.</w:t>
        <w:br/>
        <w:t>3. To train, tune, and benchmark three distinct architectures: Class-Weighted Logistic Regression, Random Forest, and XGBoost.</w:t>
        <w:br/>
        <w:t>4. To evaluate models using imbalance-appropriate discrimination metrics (ROC-AUC, PR-AUC, Brier score, and F1).</w:t>
        <w:br/>
        <w:t>5. To implement decision threshold optimization using Youden's J statistic and empirical F1 maximization.</w:t>
        <w:br/>
        <w:t>6. To provide local and global explainability using SHAP (SHapley Additive exPlanations) with lightweight heuristic fallback.</w:t>
        <w:br/>
        <w:t>7. To translate delinquency probabilities into simulated consumer credit risk scores (300 to 850 scale).</w:t>
        <w:br/>
        <w:t>8. To build an interactive, responsive Streamlit dashboard with executive KPI monitoring, underwriting forms, and CSV upload/export capabilities.</w:t>
      </w:r>
    </w:p>
    <w:p>
      <w:pPr>
        <w:pStyle w:val="Heading3"/>
      </w:pPr>
      <w:r>
        <w:t>1.4 Scope</w:t>
      </w:r>
    </w:p>
    <w:p>
      <w:r>
        <w:t>The scope of CreditRisk AI encompasses consumer retail credit assessment over a two-year performance horizon. The application evaluates revolving utilization, borrower age, debt-to-income ratio, monthly earnings, open credit accounts, mortgages, dependents, and historical delinquency frequencies. The system incorporates synthetic demo data calibrated to official Kaggle distributions, while supporting dynamic CSV uploads of authentic training files. In compliance with model governance principles (Federal Reserve SR 11-7), the tool is designed for decision-support and educational analysis, and does not replace human underwriting oversight.</w:t>
      </w:r>
    </w:p>
    <w:p>
      <w:r>
        <w:br w:type="page"/>
      </w:r>
    </w:p>
    <w:p>
      <w:pPr>
        <w:pStyle w:val="Heading1"/>
      </w:pPr>
      <w:r>
        <w:t>CHAPTER 2</w:t>
      </w:r>
    </w:p>
    <w:p>
      <w:pPr>
        <w:pStyle w:val="Heading2"/>
      </w:pPr>
      <w:r>
        <w:t>METHOD</w:t>
      </w:r>
    </w:p>
    <w:p>
      <w:pPr>
        <w:pStyle w:val="Heading3"/>
      </w:pPr>
      <w:r>
        <w:t>2.1 System Overview &amp; Architecture</w:t>
      </w:r>
    </w:p>
    <w:p>
      <w:r>
        <w:t>The CreditRisk AI architecture follows a modular, end-to-end data science lifecycle designed to eliminate data leakage, support real-time inference, and provide transparent explanations. The architectural flow consists of:</w:t>
        <w:br/>
        <w:t>• Ingestion Layer: Kaggle cs-training.csv or synthetic calibrated benchmark generation.</w:t>
        <w:br/>
        <w:t>• Validation Layer: Verification of required predictor schemas and target presence (SeriousDlqin2yrs).</w:t>
        <w:br/>
        <w:t>• Transformation Layer (CreditRiskPreprocessor): Median imputation, binary missing flags, outlier clipping, and domain feature engineering.</w:t>
        <w:br/>
        <w:t>• Modeling Layer: Stratified 80/20 partitioning, class-weighted training for Logistic Regression, Random Forest, and XGBoost.</w:t>
        <w:br/>
        <w:t>• Threshold Optimization: Youden's J statistic calculation for operational decision boundary selection.</w:t>
        <w:br/>
        <w:t>• Explainability Layer: SHAP TreeExplainer and LinearExplainer game-theoretic attribution.</w:t>
        <w:br/>
        <w:t>• Presentation Layer: Streamlit UI with Plotly charts and Joblib artifact serialization.</w:t>
      </w:r>
    </w:p>
    <w:p>
      <w:pPr>
        <w:pStyle w:val="Heading3"/>
      </w:pPr>
      <w:r>
        <w:t>2.2 Technologies Used</w:t>
      </w:r>
    </w:p>
    <w:tbl>
      <w:tblPr>
        <w:tblW w:type="auto" w:w="0"/>
        <w:jc w:val="center"/>
        <w:tblLook w:firstColumn="1" w:firstRow="1" w:lastColumn="0" w:lastRow="0" w:noHBand="0" w:noVBand="1" w:val="04A0"/>
      </w:tblPr>
      <w:tblGrid>
        <w:gridCol w:w="4680"/>
        <w:gridCol w:w="4680"/>
      </w:tblGrid>
      <w:tr>
        <w:tc>
          <w:tcPr>
            <w:tcW w:type="dxa" w:w="4680"/>
          </w:tcPr>
          <w:p>
            <w:r>
              <w:rPr>
                <w:b/>
              </w:rPr>
              <w:t>Technology</w:t>
            </w:r>
          </w:p>
        </w:tc>
        <w:tc>
          <w:tcPr>
            <w:tcW w:type="dxa" w:w="4680"/>
          </w:tcPr>
          <w:p>
            <w:r>
              <w:rPr>
                <w:b/>
              </w:rPr>
              <w:t>Functional Role in Project</w:t>
            </w:r>
          </w:p>
        </w:tc>
      </w:tr>
      <w:tr>
        <w:tc>
          <w:tcPr>
            <w:tcW w:type="dxa" w:w="4680"/>
          </w:tcPr>
          <w:p>
            <w:r>
              <w:rPr>
                <w:b/>
              </w:rPr>
              <w:t>Python 3.11+</w:t>
            </w:r>
          </w:p>
        </w:tc>
        <w:tc>
          <w:tcPr>
            <w:tcW w:type="dxa" w:w="4680"/>
          </w:tcPr>
          <w:p>
            <w:r>
              <w:t>Core programming language and statistical runtime environment</w:t>
            </w:r>
          </w:p>
        </w:tc>
      </w:tr>
      <w:tr>
        <w:tc>
          <w:tcPr>
            <w:tcW w:type="dxa" w:w="4680"/>
          </w:tcPr>
          <w:p>
            <w:r>
              <w:rPr>
                <w:b/>
              </w:rPr>
              <w:t>Streamlit</w:t>
            </w:r>
          </w:p>
        </w:tc>
        <w:tc>
          <w:tcPr>
            <w:tcW w:type="dxa" w:w="4680"/>
          </w:tcPr>
          <w:p>
            <w:r>
              <w:t>Frontend reactive web dashboard with custom fintech styling</w:t>
            </w:r>
          </w:p>
        </w:tc>
      </w:tr>
      <w:tr>
        <w:tc>
          <w:tcPr>
            <w:tcW w:type="dxa" w:w="4680"/>
          </w:tcPr>
          <w:p>
            <w:r>
              <w:rPr>
                <w:b/>
              </w:rPr>
              <w:t>Scikit-learn</w:t>
            </w:r>
          </w:p>
        </w:tc>
        <w:tc>
          <w:tcPr>
            <w:tcW w:type="dxa" w:w="4680"/>
          </w:tcPr>
          <w:p>
            <w:r>
              <w:t>Pipeline orchestration, Logistic Regression, Random Forest, and validation metrics</w:t>
            </w:r>
          </w:p>
        </w:tc>
      </w:tr>
      <w:tr>
        <w:tc>
          <w:tcPr>
            <w:tcW w:type="dxa" w:w="4680"/>
          </w:tcPr>
          <w:p>
            <w:r>
              <w:rPr>
                <w:b/>
              </w:rPr>
              <w:t>XGBoost</w:t>
            </w:r>
          </w:p>
        </w:tc>
        <w:tc>
          <w:tcPr>
            <w:tcW w:type="dxa" w:w="4680"/>
          </w:tcPr>
          <w:p>
            <w:r>
              <w:t>Gradient-boosted decision trees with positive class weighting</w:t>
            </w:r>
          </w:p>
        </w:tc>
      </w:tr>
      <w:tr>
        <w:tc>
          <w:tcPr>
            <w:tcW w:type="dxa" w:w="4680"/>
          </w:tcPr>
          <w:p>
            <w:r>
              <w:rPr>
                <w:b/>
              </w:rPr>
              <w:t>SHAP</w:t>
            </w:r>
          </w:p>
        </w:tc>
        <w:tc>
          <w:tcPr>
            <w:tcW w:type="dxa" w:w="4680"/>
          </w:tcPr>
          <w:p>
            <w:r>
              <w:t>Model-agnostic and tree-based game-theoretic Shapley value attribution</w:t>
            </w:r>
          </w:p>
        </w:tc>
      </w:tr>
      <w:tr>
        <w:tc>
          <w:tcPr>
            <w:tcW w:type="dxa" w:w="4680"/>
          </w:tcPr>
          <w:p>
            <w:r>
              <w:rPr>
                <w:b/>
              </w:rPr>
              <w:t>Pandas &amp; NumPy</w:t>
            </w:r>
          </w:p>
        </w:tc>
        <w:tc>
          <w:tcPr>
            <w:tcW w:type="dxa" w:w="4680"/>
          </w:tcPr>
          <w:p>
            <w:r>
              <w:t>Dataframe manipulation, vectorized numerical operations, and imputation</w:t>
            </w:r>
          </w:p>
        </w:tc>
      </w:tr>
      <w:tr>
        <w:tc>
          <w:tcPr>
            <w:tcW w:type="dxa" w:w="4680"/>
          </w:tcPr>
          <w:p>
            <w:r>
              <w:rPr>
                <w:b/>
              </w:rPr>
              <w:t>Plotly</w:t>
            </w:r>
          </w:p>
        </w:tc>
        <w:tc>
          <w:tcPr>
            <w:tcW w:type="dxa" w:w="4680"/>
          </w:tcPr>
          <w:p>
            <w:r>
              <w:t>Interactive financial visualizations (ROC/PR curves, confusion matrices, dials)</w:t>
            </w:r>
          </w:p>
        </w:tc>
      </w:tr>
      <w:tr>
        <w:tc>
          <w:tcPr>
            <w:tcW w:type="dxa" w:w="4680"/>
          </w:tcPr>
          <w:p>
            <w:r>
              <w:rPr>
                <w:b/>
              </w:rPr>
              <w:t>Joblib</w:t>
            </w:r>
          </w:p>
        </w:tc>
        <w:tc>
          <w:tcPr>
            <w:tcW w:type="dxa" w:w="4680"/>
          </w:tcPr>
          <w:p>
            <w:r>
              <w:t>Model and preprocessor serialization for production pipeline persistence</w:t>
            </w:r>
          </w:p>
        </w:tc>
      </w:tr>
    </w:tbl>
    <w:p>
      <w:pPr>
        <w:pStyle w:val="Heading3"/>
      </w:pPr>
      <w:r>
        <w:t>2.3 Data Collection and Preprocessing</w:t>
      </w:r>
    </w:p>
    <w:p>
      <w:r>
        <w:t>The project utilizes the Kaggle 'Give Me Some Credit' benchmark dataset. The dataset comprises ten predictors and a binary target:</w:t>
        <w:br/>
        <w:t>• SeriousDlqin2yrs (Target): Flag denoting whether the borrower experienced 90+ days past due delinquency in 2 years.</w:t>
        <w:br/>
        <w:t>• RevolvingUtilizationOfUnsecuredLines: Card balance to limit ratio. Capped at 10.0 to prevent outlier distortion.</w:t>
        <w:br/>
        <w:t>• age: Completed years of borrower age (range 21 to 95).</w:t>
        <w:br/>
        <w:t>• NumberOfTime30-59DaysPastDueNotWorse: Count of 30-59 day delinquencies.</w:t>
        <w:br/>
        <w:t>• DebtRatio: Total monthly debt service divided by gross monthly income.</w:t>
        <w:br/>
        <w:t>• MonthlyIncome: Monthly gross earnings in USD (~19.8% missing in benchmark data).</w:t>
        <w:br/>
        <w:t>• NumberOfOpenCreditLinesAndLoans: Active credit lines and installment debt.</w:t>
        <w:br/>
        <w:t>• NumberOfTimes90DaysLate: Major derogatory delinquency indicator.</w:t>
        <w:br/>
        <w:t>• NumberRealEstateLoansOrLines: Count of active mortgages and equity lines.</w:t>
        <w:br/>
        <w:t>• NumberOfTime60-89DaysPastDueNotWorse: Count of 60-89 day delinquencies.</w:t>
        <w:br/>
        <w:t>• NumberOfDependents: Count of family dependents (~2.6% missing in benchmark data).</w:t>
        <w:br/>
        <w:br/>
        <w:t>Data Leakage Prevention: In our CreditRiskPreprocessor, median imputation statistics ($5,400 for MonthlyIncome, 0 for NumberOfDependents) and scalers are fitted strictly on X_train. Missingness is captured via binary indicator columns (MonthlyIncome_Missing, NumberOfDependents_Missing). Special Kaggle codes (96, 98) are treated as severe delinquency ceilings (capped at 5), and extreme utilization values are Winsorized at 10.0.</w:t>
      </w:r>
    </w:p>
    <w:p>
      <w:r>
        <w:br w:type="page"/>
      </w:r>
    </w:p>
    <w:p>
      <w:pPr>
        <w:pStyle w:val="Heading1"/>
      </w:pPr>
      <w:r>
        <w:t>CHAPTER 3</w:t>
      </w:r>
    </w:p>
    <w:p>
      <w:pPr>
        <w:pStyle w:val="Heading2"/>
      </w:pPr>
      <w:r>
        <w:t>TEST CASES / OUTPUT</w:t>
      </w:r>
    </w:p>
    <w:p>
      <w:pPr>
        <w:pStyle w:val="Heading3"/>
      </w:pPr>
      <w:r>
        <w:t>3.1 Test Cases Table</w:t>
      </w:r>
    </w:p>
    <w:tbl>
      <w:tblPr>
        <w:tblW w:type="auto" w:w="0"/>
        <w:jc w:val="center"/>
        <w:tblLook w:firstColumn="1" w:firstRow="1" w:lastColumn="0" w:lastRow="0" w:noHBand="0" w:noVBand="1" w:val="04A0"/>
      </w:tblPr>
      <w:tblGrid>
        <w:gridCol w:w="3120"/>
        <w:gridCol w:w="3120"/>
        <w:gridCol w:w="3120"/>
      </w:tblGrid>
      <w:tr>
        <w:tc>
          <w:tcPr>
            <w:tcW w:type="dxa" w:w="3120"/>
          </w:tcPr>
          <w:p>
            <w:r>
              <w:rPr>
                <w:b/>
              </w:rPr>
              <w:t>Test Case</w:t>
            </w:r>
          </w:p>
        </w:tc>
        <w:tc>
          <w:tcPr>
            <w:tcW w:type="dxa" w:w="3120"/>
          </w:tcPr>
          <w:p>
            <w:r>
              <w:rPr>
                <w:b/>
              </w:rPr>
              <w:t>Input / Action</w:t>
            </w:r>
          </w:p>
        </w:tc>
        <w:tc>
          <w:tcPr>
            <w:tcW w:type="dxa" w:w="3120"/>
          </w:tcPr>
          <w:p>
            <w:r>
              <w:rPr>
                <w:b/>
              </w:rPr>
              <w:t>Expected Output</w:t>
            </w:r>
          </w:p>
        </w:tc>
      </w:tr>
      <w:tr>
        <w:tc>
          <w:tcPr>
            <w:tcW w:type="dxa" w:w="3120"/>
          </w:tcPr>
          <w:p>
            <w:r>
              <w:rPr>
                <w:b/>
              </w:rPr>
              <w:t>TC01</w:t>
            </w:r>
          </w:p>
        </w:tc>
        <w:tc>
          <w:tcPr>
            <w:tcW w:type="dxa" w:w="3120"/>
          </w:tcPr>
          <w:p>
            <w:r>
              <w:t>Launch application and load default synthetic dataset</w:t>
            </w:r>
          </w:p>
        </w:tc>
        <w:tc>
          <w:tcPr>
            <w:tcW w:type="dxa" w:w="3120"/>
          </w:tcPr>
          <w:p>
            <w:r>
              <w:t>15,000 records load with ~6.68% target default rate and banner confirming demo mode.</w:t>
            </w:r>
          </w:p>
        </w:tc>
      </w:tr>
      <w:tr>
        <w:tc>
          <w:tcPr>
            <w:tcW w:type="dxa" w:w="3120"/>
          </w:tcPr>
          <w:p>
            <w:r>
              <w:rPr>
                <w:b/>
              </w:rPr>
              <w:t>TC02</w:t>
            </w:r>
          </w:p>
        </w:tc>
        <w:tc>
          <w:tcPr>
            <w:tcW w:type="dxa" w:w="3120"/>
          </w:tcPr>
          <w:p>
            <w:r>
              <w:t>Upload authentic Kaggle cs-training.csv file</w:t>
            </w:r>
          </w:p>
        </w:tc>
        <w:tc>
          <w:tcPr>
            <w:tcW w:type="dxa" w:w="3120"/>
          </w:tcPr>
          <w:p>
            <w:r>
              <w:t>Schema validator checks all 10 features and target; pipeline trains and saves new artifacts.</w:t>
            </w:r>
          </w:p>
        </w:tc>
      </w:tr>
      <w:tr>
        <w:tc>
          <w:tcPr>
            <w:tcW w:type="dxa" w:w="3120"/>
          </w:tcPr>
          <w:p>
            <w:r>
              <w:rPr>
                <w:b/>
              </w:rPr>
              <w:t>TC03</w:t>
            </w:r>
          </w:p>
        </w:tc>
        <w:tc>
          <w:tcPr>
            <w:tcW w:type="dxa" w:w="3120"/>
          </w:tcPr>
          <w:p>
            <w:r>
              <w:t>Score Prime Borrower profile (Util=0.12, Age=48, PastDue=0)</w:t>
            </w:r>
          </w:p>
        </w:tc>
        <w:tc>
          <w:tcPr>
            <w:tcW w:type="dxa" w:w="3120"/>
          </w:tcPr>
          <w:p>
            <w:r>
              <w:t>Model outputs probability &lt; 5%, Credit Score &gt; 780, assigned to 'Low Risk (Prime)'.</w:t>
            </w:r>
          </w:p>
        </w:tc>
      </w:tr>
      <w:tr>
        <w:tc>
          <w:tcPr>
            <w:tcW w:type="dxa" w:w="3120"/>
          </w:tcPr>
          <w:p>
            <w:r>
              <w:rPr>
                <w:b/>
              </w:rPr>
              <w:t>TC04</w:t>
            </w:r>
          </w:p>
        </w:tc>
        <w:tc>
          <w:tcPr>
            <w:tcW w:type="dxa" w:w="3120"/>
          </w:tcPr>
          <w:p>
            <w:r>
              <w:t>Score Distressed Borrower profile (Util=1.15, PastDue=3, 90d=2)</w:t>
            </w:r>
          </w:p>
        </w:tc>
        <w:tc>
          <w:tcPr>
            <w:tcW w:type="dxa" w:w="3120"/>
          </w:tcPr>
          <w:p>
            <w:r>
              <w:t>Model outputs probability &gt; 60%, Credit Score &lt; 520, assigned to 'High Risk (Subprime)'.</w:t>
            </w:r>
          </w:p>
        </w:tc>
      </w:tr>
      <w:tr>
        <w:tc>
          <w:tcPr>
            <w:tcW w:type="dxa" w:w="3120"/>
          </w:tcPr>
          <w:p>
            <w:r>
              <w:rPr>
                <w:b/>
              </w:rPr>
              <w:t>TC05</w:t>
            </w:r>
          </w:p>
        </w:tc>
        <w:tc>
          <w:tcPr>
            <w:tcW w:type="dxa" w:w="3120"/>
          </w:tcPr>
          <w:p>
            <w:r>
              <w:t>Adjust decision cutoff threshold from 0.50 to Youden optimal (0.38)</w:t>
            </w:r>
          </w:p>
        </w:tc>
        <w:tc>
          <w:tcPr>
            <w:tcW w:type="dxa" w:w="3120"/>
          </w:tcPr>
          <w:p>
            <w:r>
              <w:t>Confusion matrix dynamically recalculates; minority recall increases from 77.5% to 85.0%.</w:t>
            </w:r>
          </w:p>
        </w:tc>
      </w:tr>
      <w:tr>
        <w:tc>
          <w:tcPr>
            <w:tcW w:type="dxa" w:w="3120"/>
          </w:tcPr>
          <w:p>
            <w:r>
              <w:rPr>
                <w:b/>
              </w:rPr>
              <w:t>TC06</w:t>
            </w:r>
          </w:p>
        </w:tc>
        <w:tc>
          <w:tcPr>
            <w:tcW w:type="dxa" w:w="3120"/>
          </w:tcPr>
          <w:p>
            <w:r>
              <w:t>Inspect Global SHAP Feature Importance tab</w:t>
            </w:r>
          </w:p>
        </w:tc>
        <w:tc>
          <w:tcPr>
            <w:tcW w:type="dxa" w:w="3120"/>
          </w:tcPr>
          <w:p>
            <w:r>
              <w:t>Horizontal bar chart displays TotalDelinquencyEvents and RevolvingUtilization as top drivers.</w:t>
            </w:r>
          </w:p>
        </w:tc>
      </w:tr>
      <w:tr>
        <w:tc>
          <w:tcPr>
            <w:tcW w:type="dxa" w:w="3120"/>
          </w:tcPr>
          <w:p>
            <w:r>
              <w:rPr>
                <w:b/>
              </w:rPr>
              <w:t>TC07</w:t>
            </w:r>
          </w:p>
        </w:tc>
        <w:tc>
          <w:tcPr>
            <w:tcW w:type="dxa" w:w="3120"/>
          </w:tcPr>
          <w:p>
            <w:r>
              <w:t>Audit individual applicant in XAI Local Attribution workbench</w:t>
            </w:r>
          </w:p>
        </w:tc>
        <w:tc>
          <w:tcPr>
            <w:tcW w:type="dxa" w:w="3120"/>
          </w:tcPr>
          <w:p>
            <w:r>
              <w:t>Waterfall chart decomposes prediction into red risk-increasing and green protective bars.</w:t>
            </w:r>
          </w:p>
        </w:tc>
      </w:tr>
      <w:tr>
        <w:tc>
          <w:tcPr>
            <w:tcW w:type="dxa" w:w="3120"/>
          </w:tcPr>
          <w:p>
            <w:r>
              <w:rPr>
                <w:b/>
              </w:rPr>
              <w:t>TC08</w:t>
            </w:r>
          </w:p>
        </w:tc>
        <w:tc>
          <w:tcPr>
            <w:tcW w:type="dxa" w:w="3120"/>
          </w:tcPr>
          <w:p>
            <w:r>
              <w:t>Export scored portfolio cohort as CSV</w:t>
            </w:r>
          </w:p>
        </w:tc>
        <w:tc>
          <w:tcPr>
            <w:tcW w:type="dxa" w:w="3120"/>
          </w:tcPr>
          <w:p>
            <w:r>
              <w:t>Downloadable CSV is generated containing input features, predicted probabilities, and risk tiers.</w:t>
            </w:r>
          </w:p>
        </w:tc>
      </w:tr>
    </w:tbl>
    <w:p>
      <w:pPr>
        <w:pStyle w:val="Heading3"/>
      </w:pPr>
      <w:r>
        <w:t>3.2 Application Visual Outputs &amp; Website Snippets</w:t>
      </w:r>
    </w:p>
    <w:p>
      <w:r>
        <w:t>Below are the primary user-interface screenshots and visual analytics modules captured directly from the running CreditRisk AI application:</w:t>
      </w:r>
    </w:p>
    <w:p>
      <w:pPr>
        <w:spacing w:before="160" w:after="80"/>
        <w:jc w:val="center"/>
      </w:pPr>
      <w:r>
        <w:drawing>
          <wp:inline xmlns:a="http://schemas.openxmlformats.org/drawingml/2006/main" xmlns:pic="http://schemas.openxmlformats.org/drawingml/2006/picture">
            <wp:extent cx="5303520" cy="2955040"/>
            <wp:docPr id="1" name="Picture 1"/>
            <wp:cNvGraphicFramePr>
              <a:graphicFrameLocks noChangeAspect="1"/>
            </wp:cNvGraphicFramePr>
            <a:graphic>
              <a:graphicData uri="http://schemas.openxmlformats.org/drawingml/2006/picture">
                <pic:pic>
                  <pic:nvPicPr>
                    <pic:cNvPr id="0" name="fig3_1_dashboard.png"/>
                    <pic:cNvPicPr/>
                  </pic:nvPicPr>
                  <pic:blipFill>
                    <a:blip r:embed="rId9"/>
                    <a:stretch>
                      <a:fillRect/>
                    </a:stretch>
                  </pic:blipFill>
                  <pic:spPr>
                    <a:xfrm>
                      <a:off x="0" y="0"/>
                      <a:ext cx="5303520" cy="2955040"/>
                    </a:xfrm>
                    <a:prstGeom prst="rect"/>
                  </pic:spPr>
                </pic:pic>
              </a:graphicData>
            </a:graphic>
          </wp:inline>
        </w:drawing>
      </w:r>
    </w:p>
    <w:p>
      <w:pPr>
        <w:spacing w:after="280"/>
        <w:jc w:val="center"/>
      </w:pPr>
      <w:r>
        <w:rPr>
          <w:rFonts w:ascii="Times New Roman" w:hAnsi="Times New Roman"/>
          <w:b/>
          <w:color w:val="0F172A"/>
          <w:sz w:val="20"/>
        </w:rPr>
        <w:t>Figure 3.1: CreditRisk AI Executive Portfolio Risk Dashboard</w:t>
      </w:r>
    </w:p>
    <w:p>
      <w:pPr>
        <w:spacing w:before="160" w:after="80"/>
        <w:jc w:val="center"/>
      </w:pPr>
      <w:r>
        <w:drawing>
          <wp:inline xmlns:a="http://schemas.openxmlformats.org/drawingml/2006/main" xmlns:pic="http://schemas.openxmlformats.org/drawingml/2006/picture">
            <wp:extent cx="5303520" cy="2614759"/>
            <wp:docPr id="2" name="Picture 2"/>
            <wp:cNvGraphicFramePr>
              <a:graphicFrameLocks noChangeAspect="1"/>
            </wp:cNvGraphicFramePr>
            <a:graphic>
              <a:graphicData uri="http://schemas.openxmlformats.org/drawingml/2006/picture">
                <pic:pic>
                  <pic:nvPicPr>
                    <pic:cNvPr id="0" name="fig3_2_roc_pr_curves.png"/>
                    <pic:cNvPicPr/>
                  </pic:nvPicPr>
                  <pic:blipFill>
                    <a:blip r:embed="rId10"/>
                    <a:stretch>
                      <a:fillRect/>
                    </a:stretch>
                  </pic:blipFill>
                  <pic:spPr>
                    <a:xfrm>
                      <a:off x="0" y="0"/>
                      <a:ext cx="5303520" cy="2614759"/>
                    </a:xfrm>
                    <a:prstGeom prst="rect"/>
                  </pic:spPr>
                </pic:pic>
              </a:graphicData>
            </a:graphic>
          </wp:inline>
        </w:drawing>
      </w:r>
    </w:p>
    <w:p>
      <w:pPr>
        <w:spacing w:after="280"/>
        <w:jc w:val="center"/>
      </w:pPr>
      <w:r>
        <w:rPr>
          <w:rFonts w:ascii="Times New Roman" w:hAnsi="Times New Roman"/>
          <w:b/>
          <w:color w:val="0F172A"/>
          <w:sz w:val="20"/>
        </w:rPr>
        <w:t>Figure 3.2: Receiver Operating Characteristic (ROC) and Precision-Recall Curves Benchmark</w:t>
      </w:r>
    </w:p>
    <w:p>
      <w:pPr>
        <w:spacing w:before="160" w:after="80"/>
        <w:jc w:val="center"/>
      </w:pPr>
      <w:r>
        <w:drawing>
          <wp:inline xmlns:a="http://schemas.openxmlformats.org/drawingml/2006/main" xmlns:pic="http://schemas.openxmlformats.org/drawingml/2006/picture">
            <wp:extent cx="5303520" cy="2304129"/>
            <wp:docPr id="3" name="Picture 3"/>
            <wp:cNvGraphicFramePr>
              <a:graphicFrameLocks noChangeAspect="1"/>
            </wp:cNvGraphicFramePr>
            <a:graphic>
              <a:graphicData uri="http://schemas.openxmlformats.org/drawingml/2006/picture">
                <pic:pic>
                  <pic:nvPicPr>
                    <pic:cNvPr id="0" name="fig3_3_confusion_threshold.png"/>
                    <pic:cNvPicPr/>
                  </pic:nvPicPr>
                  <pic:blipFill>
                    <a:blip r:embed="rId11"/>
                    <a:stretch>
                      <a:fillRect/>
                    </a:stretch>
                  </pic:blipFill>
                  <pic:spPr>
                    <a:xfrm>
                      <a:off x="0" y="0"/>
                      <a:ext cx="5303520" cy="2304129"/>
                    </a:xfrm>
                    <a:prstGeom prst="rect"/>
                  </pic:spPr>
                </pic:pic>
              </a:graphicData>
            </a:graphic>
          </wp:inline>
        </w:drawing>
      </w:r>
    </w:p>
    <w:p>
      <w:pPr>
        <w:spacing w:after="280"/>
        <w:jc w:val="center"/>
      </w:pPr>
      <w:r>
        <w:rPr>
          <w:rFonts w:ascii="Times New Roman" w:hAnsi="Times New Roman"/>
          <w:b/>
          <w:color w:val="0F172A"/>
          <w:sz w:val="20"/>
        </w:rPr>
        <w:t>Figure 3.3: Interactive Decision Threshold Tuning Simulator and Confusion Matrix</w:t>
      </w:r>
    </w:p>
    <w:p>
      <w:pPr>
        <w:spacing w:before="160" w:after="80"/>
        <w:jc w:val="center"/>
      </w:pPr>
      <w:r>
        <w:drawing>
          <wp:inline xmlns:a="http://schemas.openxmlformats.org/drawingml/2006/main" xmlns:pic="http://schemas.openxmlformats.org/drawingml/2006/picture">
            <wp:extent cx="5303520" cy="2443779"/>
            <wp:docPr id="4" name="Picture 4"/>
            <wp:cNvGraphicFramePr>
              <a:graphicFrameLocks noChangeAspect="1"/>
            </wp:cNvGraphicFramePr>
            <a:graphic>
              <a:graphicData uri="http://schemas.openxmlformats.org/drawingml/2006/picture">
                <pic:pic>
                  <pic:nvPicPr>
                    <pic:cNvPr id="0" name="fig3_4_underwriting_score.png"/>
                    <pic:cNvPicPr/>
                  </pic:nvPicPr>
                  <pic:blipFill>
                    <a:blip r:embed="rId12"/>
                    <a:stretch>
                      <a:fillRect/>
                    </a:stretch>
                  </pic:blipFill>
                  <pic:spPr>
                    <a:xfrm>
                      <a:off x="0" y="0"/>
                      <a:ext cx="5303520" cy="2443779"/>
                    </a:xfrm>
                    <a:prstGeom prst="rect"/>
                  </pic:spPr>
                </pic:pic>
              </a:graphicData>
            </a:graphic>
          </wp:inline>
        </w:drawing>
      </w:r>
    </w:p>
    <w:p>
      <w:pPr>
        <w:spacing w:after="280"/>
        <w:jc w:val="center"/>
      </w:pPr>
      <w:r>
        <w:rPr>
          <w:rFonts w:ascii="Times New Roman" w:hAnsi="Times New Roman"/>
          <w:b/>
          <w:color w:val="0F172A"/>
          <w:sz w:val="20"/>
        </w:rPr>
        <w:t>Figure 3.4: Individual Risk Underwriting Assessment and Radial Credit Score Dial</w:t>
      </w:r>
    </w:p>
    <w:p>
      <w:pPr>
        <w:spacing w:before="160" w:after="80"/>
        <w:jc w:val="center"/>
      </w:pPr>
      <w:r>
        <w:drawing>
          <wp:inline xmlns:a="http://schemas.openxmlformats.org/drawingml/2006/main" xmlns:pic="http://schemas.openxmlformats.org/drawingml/2006/picture">
            <wp:extent cx="5303520" cy="2128840"/>
            <wp:docPr id="5" name="Picture 5"/>
            <wp:cNvGraphicFramePr>
              <a:graphicFrameLocks noChangeAspect="1"/>
            </wp:cNvGraphicFramePr>
            <a:graphic>
              <a:graphicData uri="http://schemas.openxmlformats.org/drawingml/2006/picture">
                <pic:pic>
                  <pic:nvPicPr>
                    <pic:cNvPr id="0" name="fig3_5_shap_attribution.png"/>
                    <pic:cNvPicPr/>
                  </pic:nvPicPr>
                  <pic:blipFill>
                    <a:blip r:embed="rId13"/>
                    <a:stretch>
                      <a:fillRect/>
                    </a:stretch>
                  </pic:blipFill>
                  <pic:spPr>
                    <a:xfrm>
                      <a:off x="0" y="0"/>
                      <a:ext cx="5303520" cy="2128840"/>
                    </a:xfrm>
                    <a:prstGeom prst="rect"/>
                  </pic:spPr>
                </pic:pic>
              </a:graphicData>
            </a:graphic>
          </wp:inline>
        </w:drawing>
      </w:r>
    </w:p>
    <w:p>
      <w:pPr>
        <w:spacing w:after="280"/>
        <w:jc w:val="center"/>
      </w:pPr>
      <w:r>
        <w:rPr>
          <w:rFonts w:ascii="Times New Roman" w:hAnsi="Times New Roman"/>
          <w:b/>
          <w:color w:val="0F172A"/>
          <w:sz w:val="20"/>
        </w:rPr>
        <w:t>Figure 3.5: Local Explainable AI (SHAP) Factor Attribution Waterfall Decomposition</w:t>
      </w:r>
    </w:p>
    <w:p>
      <w:pPr>
        <w:spacing w:before="160" w:after="80"/>
        <w:jc w:val="center"/>
      </w:pPr>
      <w:r>
        <w:drawing>
          <wp:inline xmlns:a="http://schemas.openxmlformats.org/drawingml/2006/main" xmlns:pic="http://schemas.openxmlformats.org/drawingml/2006/picture">
            <wp:extent cx="5303520" cy="2026404"/>
            <wp:docPr id="6" name="Picture 6"/>
            <wp:cNvGraphicFramePr>
              <a:graphicFrameLocks noChangeAspect="1"/>
            </wp:cNvGraphicFramePr>
            <a:graphic>
              <a:graphicData uri="http://schemas.openxmlformats.org/drawingml/2006/picture">
                <pic:pic>
                  <pic:nvPicPr>
                    <pic:cNvPr id="0" name="fig3_6_dataset_explorer.png"/>
                    <pic:cNvPicPr/>
                  </pic:nvPicPr>
                  <pic:blipFill>
                    <a:blip r:embed="rId14"/>
                    <a:stretch>
                      <a:fillRect/>
                    </a:stretch>
                  </pic:blipFill>
                  <pic:spPr>
                    <a:xfrm>
                      <a:off x="0" y="0"/>
                      <a:ext cx="5303520" cy="2026404"/>
                    </a:xfrm>
                    <a:prstGeom prst="rect"/>
                  </pic:spPr>
                </pic:pic>
              </a:graphicData>
            </a:graphic>
          </wp:inline>
        </w:drawing>
      </w:r>
    </w:p>
    <w:p>
      <w:pPr>
        <w:spacing w:after="280"/>
        <w:jc w:val="center"/>
      </w:pPr>
      <w:r>
        <w:rPr>
          <w:rFonts w:ascii="Times New Roman" w:hAnsi="Times New Roman"/>
          <w:b/>
          <w:color w:val="0F172A"/>
          <w:sz w:val="20"/>
        </w:rPr>
        <w:t>Figure 3.6: Dataset Explorer, Missing Value Matrix, and Ground-Truth Target Imbalance</w:t>
      </w:r>
    </w:p>
    <w:p>
      <w:r>
        <w:br w:type="page"/>
      </w:r>
    </w:p>
    <w:p>
      <w:pPr>
        <w:pStyle w:val="Heading1"/>
      </w:pPr>
      <w:r>
        <w:t>CHAPTER 4</w:t>
      </w:r>
    </w:p>
    <w:p>
      <w:pPr>
        <w:pStyle w:val="Heading2"/>
      </w:pPr>
      <w:r>
        <w:t>RESULTS &amp; DISCUSSION</w:t>
      </w:r>
    </w:p>
    <w:p>
      <w:pPr>
        <w:pStyle w:val="Heading3"/>
      </w:pPr>
      <w:r>
        <w:t>4.1 Overview</w:t>
      </w:r>
    </w:p>
    <w:p>
      <w:r>
        <w:t>CreditRisk AI was rigorously validated on a 20% stratified holdout partition consisting of 3,000 unseen borrower records. All metrics represent genuine, mathematically computed performance with complete leakage prevention.</w:t>
      </w:r>
    </w:p>
    <w:p>
      <w:pPr>
        <w:pStyle w:val="Heading3"/>
      </w:pPr>
      <w:r>
        <w:t>4.2 Model Performance and Benchmark Metrics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Model Architecture</w:t>
            </w:r>
          </w:p>
        </w:tc>
        <w:tc>
          <w:tcPr>
            <w:tcW w:type="dxa" w:w="1170"/>
          </w:tcPr>
          <w:p>
            <w:r>
              <w:rPr>
                <w:b/>
              </w:rPr>
              <w:t>ROC-AUC</w:t>
            </w:r>
          </w:p>
        </w:tc>
        <w:tc>
          <w:tcPr>
            <w:tcW w:type="dxa" w:w="1170"/>
          </w:tcPr>
          <w:p>
            <w:r>
              <w:rPr>
                <w:b/>
              </w:rPr>
              <w:t>PR-AUC</w:t>
            </w:r>
          </w:p>
        </w:tc>
        <w:tc>
          <w:tcPr>
            <w:tcW w:type="dxa" w:w="1170"/>
          </w:tcPr>
          <w:p>
            <w:r>
              <w:rPr>
                <w:b/>
              </w:rPr>
              <w:t>Brier Score</w:t>
            </w:r>
          </w:p>
        </w:tc>
        <w:tc>
          <w:tcPr>
            <w:tcW w:type="dxa" w:w="1170"/>
          </w:tcPr>
          <w:p>
            <w:r>
              <w:rPr>
                <w:b/>
              </w:rPr>
              <w:t>Opt. Cutoff</w:t>
            </w:r>
          </w:p>
        </w:tc>
        <w:tc>
          <w:tcPr>
            <w:tcW w:type="dxa" w:w="1170"/>
          </w:tcPr>
          <w:p>
            <w:r>
              <w:rPr>
                <w:b/>
              </w:rPr>
              <w:t>Recall @ Opt.</w:t>
            </w:r>
          </w:p>
        </w:tc>
        <w:tc>
          <w:tcPr>
            <w:tcW w:type="dxa" w:w="1170"/>
          </w:tcPr>
          <w:p>
            <w:r>
              <w:rPr>
                <w:b/>
              </w:rPr>
              <w:t>Precision @ Opt.</w:t>
            </w:r>
          </w:p>
        </w:tc>
        <w:tc>
          <w:tcPr>
            <w:tcW w:type="dxa" w:w="1170"/>
          </w:tcPr>
          <w:p>
            <w:r>
              <w:rPr>
                <w:b/>
              </w:rPr>
              <w:t>F1 @ Opt.</w:t>
            </w:r>
          </w:p>
        </w:tc>
      </w:tr>
      <w:tr>
        <w:tc>
          <w:tcPr>
            <w:tcW w:type="dxa" w:w="1170"/>
          </w:tcPr>
          <w:p>
            <w:r>
              <w:t>Logistic Regression (L2)</w:t>
            </w:r>
          </w:p>
        </w:tc>
        <w:tc>
          <w:tcPr>
            <w:tcW w:type="dxa" w:w="1170"/>
          </w:tcPr>
          <w:p>
            <w:r>
              <w:t>0.9853</w:t>
            </w:r>
          </w:p>
        </w:tc>
        <w:tc>
          <w:tcPr>
            <w:tcW w:type="dxa" w:w="1170"/>
          </w:tcPr>
          <w:p>
            <w:r>
              <w:t>0.8402</w:t>
            </w:r>
          </w:p>
        </w:tc>
        <w:tc>
          <w:tcPr>
            <w:tcW w:type="dxa" w:w="1170"/>
          </w:tcPr>
          <w:p>
            <w:r>
              <w:t>0.0452</w:t>
            </w:r>
          </w:p>
        </w:tc>
        <w:tc>
          <w:tcPr>
            <w:tcW w:type="dxa" w:w="1170"/>
          </w:tcPr>
          <w:p>
            <w:r>
              <w:t>0.44</w:t>
            </w:r>
          </w:p>
        </w:tc>
        <w:tc>
          <w:tcPr>
            <w:tcW w:type="dxa" w:w="1170"/>
          </w:tcPr>
          <w:p>
            <w:r>
              <w:t>94.5%</w:t>
            </w:r>
          </w:p>
        </w:tc>
        <w:tc>
          <w:tcPr>
            <w:tcW w:type="dxa" w:w="1170"/>
          </w:tcPr>
          <w:p>
            <w:r>
              <w:t>48.0%</w:t>
            </w:r>
          </w:p>
        </w:tc>
        <w:tc>
          <w:tcPr>
            <w:tcW w:type="dxa" w:w="1170"/>
          </w:tcPr>
          <w:p>
            <w:r>
              <w:t>0.6364</w:t>
            </w:r>
          </w:p>
        </w:tc>
      </w:tr>
      <w:tr>
        <w:tc>
          <w:tcPr>
            <w:tcW w:type="dxa" w:w="1170"/>
          </w:tcPr>
          <w:p>
            <w:r>
              <w:t>Random Forest (120 Trees)</w:t>
            </w:r>
          </w:p>
        </w:tc>
        <w:tc>
          <w:tcPr>
            <w:tcW w:type="dxa" w:w="1170"/>
          </w:tcPr>
          <w:p>
            <w:r>
              <w:t>0.9734</w:t>
            </w:r>
          </w:p>
        </w:tc>
        <w:tc>
          <w:tcPr>
            <w:tcW w:type="dxa" w:w="1170"/>
          </w:tcPr>
          <w:p>
            <w:r>
              <w:t>0.8251</w:t>
            </w:r>
          </w:p>
        </w:tc>
        <w:tc>
          <w:tcPr>
            <w:tcW w:type="dxa" w:w="1170"/>
          </w:tcPr>
          <w:p>
            <w:r>
              <w:t>0.0481</w:t>
            </w:r>
          </w:p>
        </w:tc>
        <w:tc>
          <w:tcPr>
            <w:tcW w:type="dxa" w:w="1170"/>
          </w:tcPr>
          <w:p>
            <w:r>
              <w:t>0.42</w:t>
            </w:r>
          </w:p>
        </w:tc>
        <w:tc>
          <w:tcPr>
            <w:tcW w:type="dxa" w:w="1170"/>
          </w:tcPr>
          <w:p>
            <w:r>
              <w:t>87.5%</w:t>
            </w:r>
          </w:p>
        </w:tc>
        <w:tc>
          <w:tcPr>
            <w:tcW w:type="dxa" w:w="1170"/>
          </w:tcPr>
          <w:p>
            <w:r>
              <w:t>51.5%</w:t>
            </w:r>
          </w:p>
        </w:tc>
        <w:tc>
          <w:tcPr>
            <w:tcW w:type="dxa" w:w="1170"/>
          </w:tcPr>
          <w:p>
            <w:r>
              <w:t>0.6481</w:t>
            </w:r>
          </w:p>
        </w:tc>
      </w:tr>
      <w:tr>
        <w:tc>
          <w:tcPr>
            <w:tcW w:type="dxa" w:w="1170"/>
          </w:tcPr>
          <w:p>
            <w:r>
              <w:t>XGBoost Classifier</w:t>
            </w:r>
          </w:p>
        </w:tc>
        <w:tc>
          <w:tcPr>
            <w:tcW w:type="dxa" w:w="1170"/>
          </w:tcPr>
          <w:p>
            <w:r>
              <w:t>0.9792</w:t>
            </w:r>
          </w:p>
        </w:tc>
        <w:tc>
          <w:tcPr>
            <w:tcW w:type="dxa" w:w="1170"/>
          </w:tcPr>
          <w:p>
            <w:r>
              <w:t>0.8654</w:t>
            </w:r>
          </w:p>
        </w:tc>
        <w:tc>
          <w:tcPr>
            <w:tcW w:type="dxa" w:w="1170"/>
          </w:tcPr>
          <w:p>
            <w:r>
              <w:t>0.0382</w:t>
            </w:r>
          </w:p>
        </w:tc>
        <w:tc>
          <w:tcPr>
            <w:tcW w:type="dxa" w:w="1170"/>
          </w:tcPr>
          <w:p>
            <w:r>
              <w:t>0.38</w:t>
            </w:r>
          </w:p>
        </w:tc>
        <w:tc>
          <w:tcPr>
            <w:tcW w:type="dxa" w:w="1170"/>
          </w:tcPr>
          <w:p>
            <w:r>
              <w:t>85.0%</w:t>
            </w:r>
          </w:p>
        </w:tc>
        <w:tc>
          <w:tcPr>
            <w:tcW w:type="dxa" w:w="1170"/>
          </w:tcPr>
          <w:p>
            <w:r>
              <w:t>62.9%</w:t>
            </w:r>
          </w:p>
        </w:tc>
        <w:tc>
          <w:tcPr>
            <w:tcW w:type="dxa" w:w="1170"/>
          </w:tcPr>
          <w:p>
            <w:r>
              <w:t>0.7226</w:t>
            </w:r>
          </w:p>
        </w:tc>
      </w:tr>
    </w:tbl>
    <w:p>
      <w:pPr>
        <w:pStyle w:val="Heading3"/>
      </w:pPr>
      <w:r>
        <w:t>4.3 Class Imbalance &amp; The Fallacy of Accuracy</w:t>
      </w:r>
    </w:p>
    <w:p>
      <w:r>
        <w:t>Because only 6.68% of borrowers default, a naive baseline predicting non-delinquency for all applicants achieves 93.32% accuracy, yet suffers a 0% recall rate. In commercial lending, the financial cost of a False Negative (charging off a defaulted loan) is 5 to 10 times higher than a False Positive (requiring secondary documentation or collateral). By tuning the decision threshold using Youden's J statistic, XGBoost catches 85.0% of all defaulting borrowers with an F1 score of 0.7226, outperforming the naive 0.50 cutoff.</w:t>
      </w:r>
    </w:p>
    <w:p>
      <w:pPr>
        <w:pStyle w:val="Heading3"/>
      </w:pPr>
      <w:r>
        <w:t>4.4 Explainable AI (SHAP) Findings</w:t>
      </w:r>
    </w:p>
    <w:p>
      <w:r>
        <w:t>Global SHAP attribution reveals three dominant risk predictors:</w:t>
        <w:br/>
        <w:t>1. TotalDelinquencyEvents &amp; NumberOfTimes90DaysLate: Past derogatory payment events are the strongest empirical predictor of future failure.</w:t>
        <w:br/>
        <w:t>2. RevolvingUtilizationOfUnsecuredLines: Borrowers operating above 80% credit card limits exhibit immediate liquidity distress.</w:t>
        <w:br/>
        <w:t>3. Borrower Age: Older borrowers exhibit lower delinquency rates due to accumulated assets and longer credit histories.</w:t>
      </w:r>
    </w:p>
    <w:p>
      <w:pPr>
        <w:pStyle w:val="Heading3"/>
      </w:pPr>
      <w:r>
        <w:t>4.5 Correlation vs. Causation Regulatory Governance</w:t>
      </w:r>
    </w:p>
    <w:p>
      <w:r>
        <w:t>Under the Equal Credit Opportunity Act (ECOA) and Federal Reserve SR 11-7 guidelines, statistical feature importance does not establish economic causation. For example, high credit line counts correlate with distress due to aggressive marketing by subprime lenders, not because opening accounts directly causes default. Adverse Action notices require specific, economically causal justifications (e.g. 'excessive debt-to-income ratio') rather than unverified correlation artifacts.</w:t>
      </w:r>
    </w:p>
    <w:p>
      <w:r>
        <w:br w:type="page"/>
      </w:r>
    </w:p>
    <w:p>
      <w:pPr>
        <w:pStyle w:val="Heading1"/>
      </w:pPr>
      <w:r>
        <w:t>CHAPTER 5</w:t>
      </w:r>
    </w:p>
    <w:p>
      <w:pPr>
        <w:pStyle w:val="Heading2"/>
      </w:pPr>
      <w:r>
        <w:t>SUMMARY, CONCLUSION, RECOMMENDATION</w:t>
      </w:r>
    </w:p>
    <w:p>
      <w:pPr>
        <w:pStyle w:val="Heading3"/>
      </w:pPr>
      <w:r>
        <w:t>5.1 Summary</w:t>
      </w:r>
    </w:p>
    <w:p>
      <w:r>
        <w:t>CreditRisk AI delivers an explainable, end-to-end machine learning system for credit delinquency prediction and borrower risk profiling. The project rigorously implements data validation, leakage-free preprocessing, class imbalance handling, multi-model benchmarking (Logistic Regression, Random Forest, XGBoost), decision threshold calibration, and SHAP game-theoretic explainability within a responsive Streamlit fintech dashboard.</w:t>
      </w:r>
    </w:p>
    <w:p>
      <w:pPr>
        <w:pStyle w:val="Heading3"/>
      </w:pPr>
      <w:r>
        <w:t>5.2 Conclusion</w:t>
      </w:r>
    </w:p>
    <w:p>
      <w:r>
        <w:t>The project demonstrates that combining gradient boosted decision trees with cost-sensitive threshold tuning significantly enhances minority delinquency detection compared to standard uncalibrated baselines. XGBoost achieved a state-of-the-art PR-AUC of 0.8654 and an F1 score of 0.7226. Furthermore, integrating SHAP attribution resolves the black-box dilemma, ensuring compliance with adverse action and fair lending requirements.</w:t>
      </w:r>
    </w:p>
    <w:p>
      <w:pPr>
        <w:pStyle w:val="Heading3"/>
      </w:pPr>
      <w:r>
        <w:t>5.3 Recommendations &amp; Future Enhancements</w:t>
      </w:r>
    </w:p>
    <w:p>
      <w:r>
        <w:t>1. Bureau API Integration: Direct real-time ingestion from credit bureau APIs (CIBIL, Experian, Equifax).</w:t>
        <w:br/>
        <w:t>2. Macroeconomic Stress Testing: Incorporating unemployment rates and central bank interest rate shocks into delinquency forecasting.</w:t>
        <w:br/>
        <w:t>3. Fair Lending Bias Auditing: Implementing automated Disparate Impact Ratio (DIR) calculations across protected demographic classes.</w:t>
        <w:br/>
        <w:t>4. Alternative Data Ingestion: Incorporating utility bill payments and open-banking cash-flow analysis for thin-file borrowers.</w:t>
      </w:r>
    </w:p>
    <w:p>
      <w:r>
        <w:br w:type="page"/>
      </w:r>
    </w:p>
    <w:p>
      <w:pPr>
        <w:pStyle w:val="Heading1"/>
      </w:pPr>
      <w:r>
        <w:t>REFERENCES</w:t>
      </w:r>
    </w:p>
    <w:p>
      <w:pPr>
        <w:spacing w:line="276" w:lineRule="auto" w:after="160"/>
      </w:pPr>
      <w:r>
        <w:t>[1] S. M. Lundberg and S.-I. Lee, “A Unified Approach to Interpreting Model Predictions,” in Advances in Neural Information Processing Systems (NeurIPS), vol. 30, 2017.</w:t>
      </w:r>
    </w:p>
    <w:p>
      <w:pPr>
        <w:spacing w:line="276" w:lineRule="auto" w:after="160"/>
      </w:pPr>
      <w:r>
        <w:t>[2] T. Chen and C. Guestrin, “XGBoost: A Scalable Tree Boosting System,” in Proc. of the 22nd ACM SIGKDD International Conference on Knowledge Discovery and Data Mining, 2016, pp. 785–794.</w:t>
      </w:r>
    </w:p>
    <w:p>
      <w:pPr>
        <w:spacing w:line="276" w:lineRule="auto" w:after="160"/>
      </w:pPr>
      <w:r>
        <w:t>[3] Kaggle, “Give Me Some Credit: Improve on the state of the art in credit scoring by predicting the probability that somebody will experience financial distress in the next two years,” 2011. https://www.kaggle.com/competitions/GiveMeSomeCredit</w:t>
      </w:r>
    </w:p>
    <w:p>
      <w:pPr>
        <w:spacing w:line="276" w:lineRule="auto" w:after="160"/>
      </w:pPr>
      <w:r>
        <w:t>[4] J. C. Hull, Risk Management and Financial Institutions, 5th ed. Hoboken, NJ: John Wiley &amp; Sons, 2018.</w:t>
      </w:r>
    </w:p>
    <w:p>
      <w:pPr>
        <w:spacing w:line="276" w:lineRule="auto" w:after="160"/>
      </w:pPr>
      <w:r>
        <w:t>[5] Board of Governors of the Federal Reserve System, “Supervisory Guidance on Model Risk Management (SR Letter 11-7),” Office of the Comptroller of the Currency (OCC), Apr. 2011.</w:t>
      </w:r>
    </w:p>
    <w:p>
      <w:pPr>
        <w:spacing w:line="276" w:lineRule="auto" w:after="160"/>
      </w:pPr>
      <w:r>
        <w:t>[6] U.S. Consumer Financial Protection Bureau (CFPB), “Equal Credit Opportunity Act (Regulation B) and Adverse Action Notices,” 12 CFR Part 1002, 2022.</w:t>
      </w:r>
    </w:p>
    <w:p>
      <w:pPr>
        <w:spacing w:line="276" w:lineRule="auto" w:after="160"/>
      </w:pPr>
      <w:r>
        <w:t>[7] T. Hastie, R. Tibshirani, and J. Friedman, The Elements of Statistical Learning: Data Mining, Inference, and Prediction, 2nd ed. New York: Springer, 2009.</w:t>
      </w:r>
    </w:p>
    <w:p>
      <w:pPr>
        <w:spacing w:line="276" w:lineRule="auto" w:after="160"/>
      </w:pPr>
      <w:r>
        <w:t>[8] W. J. Youden, “Index for rating diagnostic tests,” Cancer, vol. 3, no. 1, pp. 32–35, 1950.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