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i w:val="0"/>
          <w:color w:val="1F232E"/>
          <w:sz w:val="36"/>
        </w:rPr>
        <w:t>Uber Technologies, Inc.   |   NYSE: UBER</w:t>
      </w:r>
    </w:p>
    <w:p>
      <w:pPr>
        <w:spacing w:after="40"/>
      </w:pPr>
      <w:r>
        <w:rPr>
          <w:b w:val="0"/>
          <w:i w:val="0"/>
          <w:color w:val="606878"/>
          <w:sz w:val="18"/>
        </w:rPr>
        <w:t xml:space="preserve">Equity Analyst Note  ·  </w:t>
      </w:r>
      <w:r>
        <w:rPr>
          <w:b/>
          <w:i w:val="0"/>
          <w:color w:val="606878"/>
          <w:sz w:val="18"/>
        </w:rPr>
        <w:t>May 14, 2026</w:t>
      </w:r>
      <w:r>
        <w:rPr>
          <w:b w:val="0"/>
          <w:i w:val="0"/>
          <w:color w:val="606878"/>
          <w:sz w:val="18"/>
        </w:rPr>
        <w:t xml:space="preserve">  ·  Framework: V. Khandelwal 15-Q template</w:t>
      </w:r>
    </w:p>
    <w:p>
      <w:pPr>
        <w:spacing w:before="120" w:after="120"/>
      </w:pPr>
      <w:r>
        <w:rPr>
          <w:b w:val="0"/>
          <w:i w:val="0"/>
          <w:color w:val="606878"/>
          <w:sz w:val="20"/>
        </w:rPr>
        <w:t xml:space="preserve">Rating:  </w:t>
      </w:r>
      <w:r>
        <w:rPr>
          <w:b/>
          <w:i w:val="0"/>
          <w:color w:val="B45309"/>
          <w:sz w:val="24"/>
        </w:rPr>
        <w:t>HOLD</w:t>
      </w:r>
      <w:r>
        <w:rPr>
          <w:b w:val="0"/>
          <w:i w:val="0"/>
          <w:color w:val="606878"/>
          <w:sz w:val="20"/>
        </w:rPr>
        <w:t xml:space="preserve">    Buy &lt; $65  ·  Load &lt; $55  ·  Trim &gt; $120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8DF"/>
          <w:left w:val="single" w:sz="4" w:color="D5D8DF"/>
          <w:bottom w:val="single" w:sz="4" w:color="D5D8DF"/>
          <w:right w:val="single" w:sz="4" w:color="D5D8DF"/>
          <w:insideH w:val="single" w:sz="4" w:color="D5D8DF"/>
          <w:insideV w:val="single" w:sz="4" w:color="D5D8DF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041"/>
          </w:tcPr>
          <w:p>
            <w:r/>
            <w:r>
              <w:rPr>
                <w:b w:val="0"/>
                <w:i w:val="0"/>
                <w:sz w:val="19"/>
              </w:rPr>
              <w:t>Price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$74.69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Market cap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$152.0B</w:t>
            </w:r>
          </w:p>
        </w:tc>
      </w:tr>
      <w:tr>
        <w:tc>
          <w:tcPr>
            <w:tcW w:type="dxa" w:w="2041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52-wk Δ</w:t>
            </w:r>
          </w:p>
        </w:tc>
        <w:tc>
          <w:tcPr>
            <w:tcW w:type="dxa" w:w="2268"/>
            <w:shd w:val="clear" w:color="auto" w:fill="F4F5F8"/>
          </w:tcPr>
          <w:p>
            <w:r/>
            <w:r>
              <w:rPr>
                <w:b w:val="0"/>
                <w:i w:val="0"/>
                <w:color w:val="B91C1C"/>
                <w:sz w:val="19"/>
              </w:rPr>
              <w:t>-18.6%</w:t>
            </w:r>
          </w:p>
        </w:tc>
        <w:tc>
          <w:tcPr>
            <w:tcW w:type="dxa" w:w="2154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Enterprise value</w:t>
            </w:r>
          </w:p>
        </w:tc>
        <w:tc>
          <w:tcPr>
            <w:tcW w:type="dxa" w:w="2268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$154.5B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i w:val="0"/>
                <w:sz w:val="19"/>
              </w:rPr>
              <w:t>TTM Revenue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$53.7B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TTM FCF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color w:val="15803D"/>
                <w:sz w:val="19"/>
              </w:rPr>
              <w:t>$9.8B</w:t>
            </w:r>
          </w:p>
        </w:tc>
      </w:tr>
      <w:tr>
        <w:tc>
          <w:tcPr>
            <w:tcW w:type="dxa" w:w="2041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EV / FCF</w:t>
            </w:r>
          </w:p>
        </w:tc>
        <w:tc>
          <w:tcPr>
            <w:tcW w:type="dxa" w:w="2268"/>
            <w:shd w:val="clear" w:color="auto" w:fill="F4F5F8"/>
          </w:tcPr>
          <w:p>
            <w:r/>
            <w:r>
              <w:rPr>
                <w:b w:val="0"/>
                <w:i w:val="0"/>
                <w:color w:val="15803D"/>
                <w:sz w:val="19"/>
              </w:rPr>
              <w:t>15.8×</w:t>
            </w:r>
          </w:p>
        </w:tc>
        <w:tc>
          <w:tcPr>
            <w:tcW w:type="dxa" w:w="2154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FCF yield</w:t>
            </w:r>
          </w:p>
        </w:tc>
        <w:tc>
          <w:tcPr>
            <w:tcW w:type="dxa" w:w="2268"/>
            <w:shd w:val="clear" w:color="auto" w:fill="F4F5F8"/>
          </w:tcPr>
          <w:p>
            <w:r/>
            <w:r>
              <w:rPr>
                <w:b w:val="0"/>
                <w:i w:val="0"/>
                <w:color w:val="15803D"/>
                <w:sz w:val="19"/>
              </w:rPr>
              <w:t>6.45%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i w:val="0"/>
                <w:sz w:val="19"/>
              </w:rPr>
              <w:t>ROIC / WACC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color w:val="15803D"/>
                <w:sz w:val="19"/>
              </w:rPr>
              <w:t>19.3% / 10.0%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Net debt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$2.5B</w:t>
            </w:r>
          </w:p>
        </w:tc>
      </w:tr>
      <w:tr>
        <w:tc>
          <w:tcPr>
            <w:tcW w:type="dxa" w:w="2041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Analyst PT (cons.)</w:t>
            </w:r>
          </w:p>
        </w:tc>
        <w:tc>
          <w:tcPr>
            <w:tcW w:type="dxa" w:w="2268"/>
            <w:shd w:val="clear" w:color="auto" w:fill="F4F5F8"/>
          </w:tcPr>
          <w:p>
            <w:r/>
            <w:r>
              <w:rPr>
                <w:b w:val="0"/>
                <w:i w:val="0"/>
                <w:color w:val="15803D"/>
                <w:sz w:val="19"/>
              </w:rPr>
              <w:t>$107.79 (+44%)</w:t>
            </w:r>
          </w:p>
        </w:tc>
        <w:tc>
          <w:tcPr>
            <w:tcW w:type="dxa" w:w="2154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Rating</w:t>
            </w:r>
          </w:p>
        </w:tc>
        <w:tc>
          <w:tcPr>
            <w:tcW w:type="dxa" w:w="2268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Strong Buy (34)</w:t>
            </w:r>
          </w:p>
        </w:tc>
      </w:tr>
    </w:tbl>
    <w:p>
      <w:pPr>
        <w:spacing w:before="200" w:after="60"/>
      </w:pPr>
      <w:r>
        <w:rPr>
          <w:b/>
          <w:i w:val="0"/>
          <w:color w:val="6D28D9"/>
          <w:sz w:val="24"/>
        </w:rPr>
        <w:t>Key Takeaways</w:t>
      </w:r>
    </w:p>
    <w:p>
      <w:pPr>
        <w:pStyle w:val="ListBullet"/>
        <w:spacing w:after="20"/>
        <w:ind w:left="283"/>
      </w:pPr>
      <w:r>
        <w:rPr>
          <w:b/>
          <w:i w:val="0"/>
        </w:rPr>
        <w:t xml:space="preserve">Thesis. </w:t>
      </w:r>
      <w:r>
        <w:rPr>
          <w:b w:val="0"/>
          <w:i w:val="0"/>
        </w:rPr>
        <w:t>A good business at a fair price — not a great business at a great price. Asset-light marketplace generating $10B+ FCF on $54B revenue, compounding ~25% CAGR over 4 years.</w:t>
      </w:r>
    </w:p>
    <w:p>
      <w:pPr>
        <w:pStyle w:val="ListBullet"/>
        <w:spacing w:after="20"/>
        <w:ind w:left="283"/>
      </w:pPr>
      <w:r>
        <w:rPr>
          <w:b/>
          <w:i w:val="0"/>
        </w:rPr>
        <w:t xml:space="preserve">Catalyst-light here. </w:t>
      </w:r>
      <w:r>
        <w:rPr>
          <w:b w:val="0"/>
          <w:i w:val="0"/>
        </w:rPr>
        <w:t>Reverse-DCF implies 10–12% FCF CAGR for 10y; my base case 15–18% near-term then 10–12%. Market is pricing roughly what I'd model — no asymmetry today.</w:t>
      </w:r>
    </w:p>
    <w:p>
      <w:pPr>
        <w:pStyle w:val="ListBullet"/>
        <w:spacing w:after="20"/>
        <w:ind w:left="283"/>
      </w:pPr>
      <w:r>
        <w:rPr>
          <w:b/>
          <w:i w:val="0"/>
        </w:rPr>
        <w:t xml:space="preserve">Main debate. </w:t>
      </w:r>
      <w:r>
        <w:rPr>
          <w:b w:val="0"/>
          <w:i w:val="0"/>
        </w:rPr>
        <w:t>AV economics in 5–10 years. Uber positioned on both sides (Waymo/Wayve/Aurora partner + largest demand network). Take-rate compression is the bear case; advertising mix-up is the bull case.</w:t>
      </w:r>
    </w:p>
    <w:p>
      <w:pPr>
        <w:pStyle w:val="ListBullet"/>
        <w:spacing w:after="20"/>
        <w:ind w:left="283"/>
      </w:pPr>
      <w:r>
        <w:rPr>
          <w:b/>
          <w:i w:val="0"/>
        </w:rPr>
        <w:t xml:space="preserve">Position. </w:t>
      </w:r>
      <w:r>
        <w:rPr>
          <w:b w:val="0"/>
          <w:i w:val="0"/>
        </w:rPr>
        <w:t>Starter 2–3% at current; scale 5–6% on AV-fear sell-off below $65; load below $55.</w:t>
      </w:r>
    </w:p>
    <w:p>
      <w:pPr>
        <w:spacing w:before="200" w:after="60"/>
      </w:pPr>
      <w:r>
        <w:rPr>
          <w:b/>
          <w:i w:val="0"/>
          <w:color w:val="6D28D9"/>
          <w:sz w:val="24"/>
        </w:rPr>
        <w:t>Section 1 · Business</w:t>
      </w:r>
    </w:p>
    <w:p>
      <w:pPr>
        <w:spacing w:before="120" w:after="20"/>
      </w:pPr>
      <w:r>
        <w:rPr>
          <w:b/>
          <w:i w:val="0"/>
          <w:color w:val="1F232E"/>
          <w:sz w:val="21"/>
        </w:rPr>
        <w:t>What it does, how it earns</w:t>
      </w:r>
    </w:p>
    <w:p>
      <w:pPr>
        <w:pStyle w:val="ListBullet"/>
        <w:spacing w:after="20"/>
        <w:ind w:left="283"/>
      </w:pPr>
      <w:r>
        <w:rPr>
          <w:b/>
          <w:i w:val="0"/>
        </w:rPr>
        <w:t xml:space="preserve">Platform matching: </w:t>
      </w:r>
      <w:r>
        <w:rPr>
          <w:b w:val="0"/>
          <w:i w:val="0"/>
        </w:rPr>
        <w:t>riders↔drivers (Mobility), eaters↔restaurants↔couriers (Delivery), shippers↔truckers (Freight). Asset-light; ~25–30¢ take of every transacted dollar.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8DF"/>
          <w:left w:val="single" w:sz="4" w:color="D5D8DF"/>
          <w:bottom w:val="single" w:sz="4" w:color="D5D8DF"/>
          <w:right w:val="single" w:sz="4" w:color="D5D8DF"/>
          <w:insideH w:val="single" w:sz="4" w:color="D5D8DF"/>
          <w:insideV w:val="single" w:sz="4" w:color="D5D8DF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1984"/>
            <w:shd w:val="clear" w:color="auto" w:fill="EDE7FE"/>
          </w:tcPr>
          <w:p>
            <w:r/>
            <w:r>
              <w:rPr>
                <w:b/>
                <w:i w:val="0"/>
                <w:color w:val="1F232E"/>
                <w:sz w:val="18"/>
              </w:rPr>
              <w:t>Segment</w:t>
            </w:r>
          </w:p>
        </w:tc>
        <w:tc>
          <w:tcPr>
            <w:tcW w:type="dxa" w:w="2154"/>
            <w:shd w:val="clear" w:color="auto" w:fill="EDE7FE"/>
          </w:tcPr>
          <w:p>
            <w:r/>
            <w:r>
              <w:rPr>
                <w:b/>
                <w:i w:val="0"/>
                <w:color w:val="1F232E"/>
                <w:sz w:val="18"/>
              </w:rPr>
              <w:t>% Revenue</w:t>
            </w:r>
          </w:p>
        </w:tc>
        <w:tc>
          <w:tcPr>
            <w:tcW w:type="dxa" w:w="2268"/>
            <w:shd w:val="clear" w:color="auto" w:fill="EDE7FE"/>
          </w:tcPr>
          <w:p>
            <w:r/>
            <w:r>
              <w:rPr>
                <w:b/>
                <w:i w:val="0"/>
                <w:color w:val="1F232E"/>
                <w:sz w:val="18"/>
              </w:rPr>
              <w:t>Take Rate</w:t>
            </w:r>
          </w:p>
        </w:tc>
        <w:tc>
          <w:tcPr>
            <w:tcW w:type="dxa" w:w="2324"/>
            <w:shd w:val="clear" w:color="auto" w:fill="EDE7FE"/>
          </w:tcPr>
          <w:p>
            <w:r/>
            <w:r>
              <w:rPr>
                <w:b/>
                <w:i w:val="0"/>
                <w:color w:val="1F232E"/>
                <w:sz w:val="18"/>
              </w:rPr>
              <w:t>Seg EBITDA mgn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Mobility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~57%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~30%</w:t>
            </w:r>
          </w:p>
        </w:tc>
        <w:tc>
          <w:tcPr>
            <w:tcW w:type="dxa" w:w="2324"/>
          </w:tcPr>
          <w:p>
            <w:r/>
            <w:r>
              <w:rPr>
                <w:b w:val="0"/>
                <w:i w:val="0"/>
                <w:sz w:val="19"/>
              </w:rPr>
              <w:t>~7–8%</w:t>
            </w:r>
          </w:p>
        </w:tc>
      </w:tr>
      <w:tr>
        <w:tc>
          <w:tcPr>
            <w:tcW w:type="dxa" w:w="1984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Delivery</w:t>
            </w:r>
          </w:p>
        </w:tc>
        <w:tc>
          <w:tcPr>
            <w:tcW w:type="dxa" w:w="2154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~37%</w:t>
            </w:r>
          </w:p>
        </w:tc>
        <w:tc>
          <w:tcPr>
            <w:tcW w:type="dxa" w:w="2268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~19–20%</w:t>
            </w:r>
          </w:p>
        </w:tc>
        <w:tc>
          <w:tcPr>
            <w:tcW w:type="dxa" w:w="2324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~3.5–4%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Freight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~6%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~100% gross</w:t>
            </w:r>
          </w:p>
        </w:tc>
        <w:tc>
          <w:tcPr>
            <w:tcW w:type="dxa" w:w="2324"/>
          </w:tcPr>
          <w:p>
            <w:r/>
            <w:r>
              <w:rPr>
                <w:b w:val="0"/>
                <w:i w:val="0"/>
                <w:sz w:val="19"/>
              </w:rPr>
              <w:t>~0%</w:t>
            </w:r>
          </w:p>
        </w:tc>
      </w:tr>
      <w:tr>
        <w:tc>
          <w:tcPr>
            <w:tcW w:type="dxa" w:w="1984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Ads (embedded)</w:t>
            </w:r>
          </w:p>
        </w:tc>
        <w:tc>
          <w:tcPr>
            <w:tcW w:type="dxa" w:w="2154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~3%</w:t>
            </w:r>
          </w:p>
        </w:tc>
        <w:tc>
          <w:tcPr>
            <w:tcW w:type="dxa" w:w="2268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4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Very high incremental</w:t>
            </w:r>
          </w:p>
        </w:tc>
      </w:tr>
    </w:tbl>
    <w:p>
      <w:pPr>
        <w:spacing w:before="120" w:after="20"/>
      </w:pPr>
      <w:r>
        <w:rPr>
          <w:b/>
          <w:i w:val="0"/>
          <w:color w:val="1F232E"/>
          <w:sz w:val="21"/>
        </w:rPr>
        <w:t>What could kill it (10y view)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8DF"/>
          <w:left w:val="single" w:sz="4" w:color="D5D8DF"/>
          <w:bottom w:val="single" w:sz="4" w:color="D5D8DF"/>
          <w:right w:val="single" w:sz="4" w:color="D5D8DF"/>
          <w:insideH w:val="single" w:sz="4" w:color="D5D8DF"/>
          <w:insideV w:val="single" w:sz="4" w:color="D5D8DF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3685"/>
            <w:shd w:val="clear" w:color="auto" w:fill="EDE7FE"/>
          </w:tcPr>
          <w:p>
            <w:r/>
            <w:r>
              <w:rPr>
                <w:b/>
                <w:i w:val="0"/>
                <w:color w:val="1F232E"/>
                <w:sz w:val="18"/>
              </w:rPr>
              <w:t>Risk</w:t>
            </w:r>
          </w:p>
        </w:tc>
        <w:tc>
          <w:tcPr>
            <w:tcW w:type="dxa" w:w="1134"/>
            <w:shd w:val="clear" w:color="auto" w:fill="EDE7FE"/>
          </w:tcPr>
          <w:p>
            <w:r/>
            <w:r>
              <w:rPr>
                <w:b/>
                <w:i w:val="0"/>
                <w:color w:val="1F232E"/>
                <w:sz w:val="18"/>
              </w:rPr>
              <w:t>Prob.</w:t>
            </w:r>
          </w:p>
        </w:tc>
        <w:tc>
          <w:tcPr>
            <w:tcW w:type="dxa" w:w="1247"/>
            <w:shd w:val="clear" w:color="auto" w:fill="EDE7FE"/>
          </w:tcPr>
          <w:p>
            <w:r/>
            <w:r>
              <w:rPr>
                <w:b/>
                <w:i w:val="0"/>
                <w:color w:val="1F232E"/>
                <w:sz w:val="18"/>
              </w:rPr>
              <w:t>Severity</w:t>
            </w:r>
          </w:p>
        </w:tc>
        <w:tc>
          <w:tcPr>
            <w:tcW w:type="dxa" w:w="2665"/>
            <w:shd w:val="clear" w:color="auto" w:fill="EDE7FE"/>
          </w:tcPr>
          <w:p>
            <w:r/>
            <w:r>
              <w:rPr>
                <w:b/>
                <w:i w:val="0"/>
                <w:color w:val="1F232E"/>
                <w:sz w:val="18"/>
              </w:rPr>
              <w:t>Mitigant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</w:rPr>
              <w:t>AVs bypass demand layer (Tesla/Waymo direct-to-consumer)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</w:rPr>
              <w:t>Med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color w:val="B91C1C"/>
                <w:sz w:val="19"/>
              </w:rPr>
              <w:t>Severe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 w:val="0"/>
                <w:sz w:val="19"/>
              </w:rPr>
              <w:t>Consumer app switching cost; demand-pattern data</w:t>
            </w:r>
          </w:p>
        </w:tc>
      </w:tr>
      <w:tr>
        <w:tc>
          <w:tcPr>
            <w:tcW w:type="dxa" w:w="3685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Driver reclassification (PRO Act, EU PWD)</w:t>
            </w:r>
          </w:p>
        </w:tc>
        <w:tc>
          <w:tcPr>
            <w:tcW w:type="dxa" w:w="1134"/>
            <w:shd w:val="clear" w:color="auto" w:fill="F4F5F8"/>
          </w:tcPr>
          <w:p>
            <w:r/>
            <w:r>
              <w:rPr>
                <w:b w:val="0"/>
                <w:i w:val="0"/>
                <w:color w:val="B45309"/>
                <w:sz w:val="19"/>
              </w:rPr>
              <w:t>Med-High</w:t>
            </w:r>
          </w:p>
        </w:tc>
        <w:tc>
          <w:tcPr>
            <w:tcW w:type="dxa" w:w="1247"/>
            <w:shd w:val="clear" w:color="auto" w:fill="F4F5F8"/>
          </w:tcPr>
          <w:p>
            <w:r/>
            <w:r>
              <w:rPr>
                <w:b w:val="0"/>
                <w:i w:val="0"/>
                <w:color w:val="B91C1C"/>
                <w:sz w:val="19"/>
              </w:rPr>
              <w:t>High</w:t>
            </w:r>
          </w:p>
        </w:tc>
        <w:tc>
          <w:tcPr>
            <w:tcW w:type="dxa" w:w="2665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Survived AB5; can re-price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i w:val="0"/>
                <w:sz w:val="19"/>
              </w:rPr>
              <w:t>Insurance cost spiral (CA/NJ)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19"/>
              </w:rPr>
              <w:t>Med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Med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 w:val="0"/>
                <w:sz w:val="19"/>
              </w:rPr>
              <w:t>Consumer-paid surcharges piloting</w:t>
            </w:r>
          </w:p>
        </w:tc>
      </w:tr>
      <w:tr>
        <w:tc>
          <w:tcPr>
            <w:tcW w:type="dxa" w:w="3685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Recession crushes Delivery</w:t>
            </w:r>
          </w:p>
        </w:tc>
        <w:tc>
          <w:tcPr>
            <w:tcW w:type="dxa" w:w="1134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Med</w:t>
            </w:r>
          </w:p>
        </w:tc>
        <w:tc>
          <w:tcPr>
            <w:tcW w:type="dxa" w:w="1247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Med</w:t>
            </w:r>
          </w:p>
        </w:tc>
        <w:tc>
          <w:tcPr>
            <w:tcW w:type="dxa" w:w="2665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Now profitable, not a cash sink</w:t>
            </w:r>
          </w:p>
        </w:tc>
      </w:tr>
    </w:tbl>
    <w:p>
      <w:pPr>
        <w:spacing w:before="120" w:after="20"/>
      </w:pPr>
      <w:r>
        <w:rPr>
          <w:b/>
          <w:i w:val="0"/>
          <w:color w:val="1F232E"/>
          <w:sz w:val="21"/>
        </w:rPr>
        <w:t>Honest understanding (~80%)</w:t>
      </w:r>
    </w:p>
    <w:p>
      <w:pPr>
        <w:pStyle w:val="ListBullet"/>
        <w:spacing w:after="20"/>
        <w:ind w:left="283"/>
      </w:pPr>
      <w:r>
        <w:rPr>
          <w:b/>
          <w:i w:val="0"/>
        </w:rPr>
        <w:t xml:space="preserve">Understood: </w:t>
      </w:r>
      <w:r>
        <w:rPr>
          <w:b w:val="0"/>
          <w:i w:val="0"/>
        </w:rPr>
        <w:t>two-sided network effects; why Mobility &gt; Delivery economics; asset-light FCF compounding.</w:t>
      </w:r>
    </w:p>
    <w:p>
      <w:pPr>
        <w:pStyle w:val="ListBullet"/>
        <w:spacing w:after="20"/>
        <w:ind w:left="283"/>
      </w:pPr>
      <w:r>
        <w:rPr>
          <w:b/>
          <w:i w:val="0"/>
        </w:rPr>
        <w:t xml:space="preserve">Not fully: </w:t>
      </w:r>
      <w:r>
        <w:rPr>
          <w:b w:val="0"/>
          <w:i w:val="0"/>
        </w:rPr>
        <w:t>gross-vs-net revenue accounting by jurisdiction; AV-era unit economics; insurance reserve actuarial volatility.</w:t>
      </w:r>
    </w:p>
    <w:p>
      <w:pPr>
        <w:spacing w:before="200" w:after="60"/>
      </w:pPr>
      <w:r>
        <w:rPr>
          <w:b/>
          <w:i w:val="0"/>
          <w:color w:val="6D28D9"/>
          <w:sz w:val="24"/>
        </w:rPr>
        <w:t>Section 2 · Management</w:t>
      </w:r>
    </w:p>
    <w:p>
      <w:pPr>
        <w:spacing w:before="120" w:after="20"/>
      </w:pPr>
      <w:r>
        <w:rPr>
          <w:b/>
          <w:i w:val="0"/>
          <w:color w:val="1F232E"/>
          <w:sz w:val="21"/>
        </w:rPr>
        <w:t>Quality</w:t>
      </w:r>
    </w:p>
    <w:p>
      <w:pPr>
        <w:pStyle w:val="ListBullet"/>
        <w:spacing w:after="20"/>
        <w:ind w:left="283"/>
      </w:pPr>
      <w:r>
        <w:rPr>
          <w:b/>
          <w:i w:val="0"/>
        </w:rPr>
        <w:t xml:space="preserve">Dara Khosrowshahi </w:t>
      </w:r>
      <w:r>
        <w:rPr>
          <w:b w:val="0"/>
          <w:i w:val="0"/>
        </w:rPr>
        <w:t xml:space="preserve">(CEO since Aug-2017): clean tenure, turnaround executed. From Expedia (2005–17). New CFO </w:t>
      </w:r>
      <w:r>
        <w:rPr>
          <w:b/>
          <w:i w:val="0"/>
        </w:rPr>
        <w:t xml:space="preserve">Prashanth Mahendra-Rajah </w:t>
      </w:r>
      <w:r>
        <w:rPr>
          <w:b w:val="0"/>
          <w:i w:val="0"/>
        </w:rPr>
        <w:t>(ex-Analog Devices, 2024) signals shift from growth-CFO to discipline-CFO.</w:t>
      </w:r>
    </w:p>
    <w:p>
      <w:pPr>
        <w:spacing w:before="120" w:after="20"/>
      </w:pPr>
      <w:r>
        <w:rPr>
          <w:b/>
          <w:i w:val="0"/>
          <w:color w:val="1F232E"/>
          <w:sz w:val="21"/>
        </w:rPr>
        <w:t>Capital allocation track record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8DF"/>
          <w:left w:val="single" w:sz="4" w:color="D5D8DF"/>
          <w:bottom w:val="single" w:sz="4" w:color="D5D8DF"/>
          <w:right w:val="single" w:sz="4" w:color="D5D8DF"/>
          <w:insideH w:val="single" w:sz="4" w:color="D5D8DF"/>
          <w:insideV w:val="single" w:sz="4" w:color="D5D8DF"/>
        </w:tblBorders>
      </w:tblPr>
      <w:tblGrid>
        <w:gridCol w:w="3475"/>
        <w:gridCol w:w="3475"/>
        <w:gridCol w:w="3475"/>
      </w:tblGrid>
      <w:tr>
        <w:tc>
          <w:tcPr>
            <w:tcW w:type="dxa" w:w="1928"/>
            <w:shd w:val="clear" w:color="auto" w:fill="EDE7FE"/>
          </w:tcPr>
          <w:p>
            <w:r/>
            <w:r>
              <w:rPr>
                <w:b/>
                <w:i w:val="0"/>
                <w:color w:val="1F232E"/>
                <w:sz w:val="18"/>
              </w:rPr>
              <w:t>Era</w:t>
            </w:r>
          </w:p>
        </w:tc>
        <w:tc>
          <w:tcPr>
            <w:tcW w:type="dxa" w:w="5216"/>
            <w:shd w:val="clear" w:color="auto" w:fill="EDE7FE"/>
          </w:tcPr>
          <w:p>
            <w:r/>
            <w:r>
              <w:rPr>
                <w:b/>
                <w:i w:val="0"/>
                <w:color w:val="1F232E"/>
                <w:sz w:val="18"/>
              </w:rPr>
              <w:t>Move</w:t>
            </w:r>
          </w:p>
        </w:tc>
        <w:tc>
          <w:tcPr>
            <w:tcW w:type="dxa" w:w="1587"/>
            <w:shd w:val="clear" w:color="auto" w:fill="EDE7FE"/>
          </w:tcPr>
          <w:p>
            <w:r/>
            <w:r>
              <w:rPr>
                <w:b/>
                <w:i w:val="0"/>
                <w:color w:val="1F232E"/>
                <w:sz w:val="18"/>
              </w:rPr>
              <w:t>Grade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i w:val="0"/>
                <w:sz w:val="19"/>
              </w:rPr>
              <w:t>2014–18 · Kalanick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i w:val="0"/>
                <w:sz w:val="19"/>
              </w:rPr>
              <w:t>Burned ~$10B on China, SE Asia, ATG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color w:val="B91C1C"/>
                <w:sz w:val="19"/>
              </w:rPr>
              <w:t>Disaster (D)</w:t>
            </w:r>
          </w:p>
        </w:tc>
      </w:tr>
      <w:tr>
        <w:tc>
          <w:tcPr>
            <w:tcW w:type="dxa" w:w="1928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2018–20 · Dara P1</w:t>
            </w:r>
          </w:p>
        </w:tc>
        <w:tc>
          <w:tcPr>
            <w:tcW w:type="dxa" w:w="5216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Sold China→Didi, SE Asia→Grab, ATG→Aurora for equity (~$8B LT inv. today)</w:t>
            </w:r>
          </w:p>
        </w:tc>
        <w:tc>
          <w:tcPr>
            <w:tcW w:type="dxa" w:w="1587"/>
            <w:shd w:val="clear" w:color="auto" w:fill="F4F5F8"/>
          </w:tcPr>
          <w:p>
            <w:r/>
            <w:r>
              <w:rPr>
                <w:b w:val="0"/>
                <w:i w:val="0"/>
                <w:color w:val="15803D"/>
                <w:sz w:val="19"/>
              </w:rPr>
              <w:t>Excellent (A)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i w:val="0"/>
                <w:sz w:val="19"/>
              </w:rPr>
              <w:t>2021–23 · Dara P2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i w:val="0"/>
                <w:sz w:val="19"/>
              </w:rPr>
              <w:t>'Sea change' memo; cost discipline; no speculative M&amp;A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color w:val="15803D"/>
                <w:sz w:val="19"/>
              </w:rPr>
              <w:t>Strong (A-)</w:t>
            </w:r>
          </w:p>
        </w:tc>
      </w:tr>
      <w:tr>
        <w:tc>
          <w:tcPr>
            <w:tcW w:type="dxa" w:w="1928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2024–26 · Dara P3</w:t>
            </w:r>
          </w:p>
        </w:tc>
        <w:tc>
          <w:tcPr>
            <w:tcW w:type="dxa" w:w="5216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Initiated buybacks ($1.25B FY24 → $6.5B FY25); Foodpanda Taiwan blocked</w:t>
            </w:r>
          </w:p>
        </w:tc>
        <w:tc>
          <w:tcPr>
            <w:tcW w:type="dxa" w:w="1587"/>
            <w:shd w:val="clear" w:color="auto" w:fill="F4F5F8"/>
          </w:tcPr>
          <w:p>
            <w:r/>
            <w:r>
              <w:rPr>
                <w:b w:val="0"/>
                <w:i w:val="0"/>
                <w:color w:val="B45309"/>
                <w:sz w:val="19"/>
              </w:rPr>
              <w:t>Good (B+)</w:t>
            </w:r>
          </w:p>
        </w:tc>
      </w:tr>
    </w:tbl>
    <w:p>
      <w:pPr>
        <w:spacing w:before="120" w:after="20"/>
      </w:pPr>
      <w:r>
        <w:rPr>
          <w:b/>
          <w:i w:val="0"/>
          <w:color w:val="1F232E"/>
          <w:sz w:val="21"/>
        </w:rPr>
        <w:t>Minority shareholders &amp; honesty</w:t>
      </w:r>
    </w:p>
    <w:p>
      <w:pPr>
        <w:pStyle w:val="ListBullet"/>
        <w:spacing w:after="20"/>
        <w:ind w:left="283"/>
      </w:pPr>
      <w:r>
        <w:rPr>
          <w:b/>
          <w:i w:val="0"/>
          <w:color w:val="15803D"/>
        </w:rPr>
        <w:t xml:space="preserve">+ </w:t>
      </w:r>
      <w:r>
        <w:rPr>
          <w:b w:val="0"/>
          <w:i w:val="0"/>
        </w:rPr>
        <w:t>Killed dual-class supervote (2023); buybacks scaled to $6.5B FY25; segment-level economics disclosed in plain English since 2022.</w:t>
      </w:r>
    </w:p>
    <w:p>
      <w:pPr>
        <w:pStyle w:val="ListBullet"/>
        <w:spacing w:after="20"/>
        <w:ind w:left="283"/>
      </w:pPr>
      <w:r>
        <w:rPr>
          <w:b/>
          <w:i w:val="0"/>
          <w:color w:val="15803D"/>
        </w:rPr>
        <w:t xml:space="preserve">+ </w:t>
      </w:r>
      <w:r>
        <w:rPr>
          <w:b w:val="0"/>
          <w:i w:val="0"/>
        </w:rPr>
        <w:t>Communicated honestly in good years and bad — FY24 letter led with the $5.8B deferred-tax valuation allowance benefit rather than hiding it.</w:t>
      </w:r>
    </w:p>
    <w:p>
      <w:pPr>
        <w:pStyle w:val="ListBullet"/>
        <w:spacing w:after="20"/>
        <w:ind w:left="283"/>
      </w:pPr>
      <w:r>
        <w:rPr>
          <w:b/>
          <w:i w:val="0"/>
          <w:color w:val="B91C1C"/>
        </w:rPr>
        <w:t xml:space="preserve">− </w:t>
      </w:r>
      <w:r>
        <w:rPr>
          <w:b w:val="0"/>
          <w:i w:val="0"/>
        </w:rPr>
        <w:t>SBC $1.86B/yr (~19% of FCF) reduces real shareholder yield from 5% → ~3%.</w:t>
      </w:r>
    </w:p>
    <w:p>
      <w:pPr>
        <w:pStyle w:val="ListBullet"/>
        <w:spacing w:after="20"/>
        <w:ind w:left="283"/>
      </w:pPr>
      <w:r>
        <w:rPr>
          <w:b/>
          <w:i w:val="0"/>
          <w:color w:val="B91C1C"/>
        </w:rPr>
        <w:t xml:space="preserve">− </w:t>
      </w:r>
      <w:r>
        <w:rPr>
          <w:b w:val="0"/>
          <w:i w:val="0"/>
        </w:rPr>
        <w:t>Insider ownership only 0.17%; no founder remains. Travis Kalanick exited entire 8.6% by 2020. Skin in game is weak.</w:t>
      </w:r>
    </w:p>
    <w:p>
      <w:pPr>
        <w:spacing w:before="200" w:after="60"/>
      </w:pPr>
      <w:r>
        <w:rPr>
          <w:b/>
          <w:i w:val="0"/>
          <w:color w:val="6D28D9"/>
          <w:sz w:val="24"/>
        </w:rPr>
        <w:t>Section 3 · Price</w:t>
      </w:r>
    </w:p>
    <w:p>
      <w:pPr>
        <w:spacing w:before="120" w:after="20"/>
      </w:pPr>
      <w:r>
        <w:rPr>
          <w:b/>
          <w:i w:val="0"/>
          <w:color w:val="1F232E"/>
          <w:sz w:val="21"/>
        </w:rPr>
        <w:t>Valuation snapshot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8DF"/>
          <w:left w:val="single" w:sz="4" w:color="D5D8DF"/>
          <w:bottom w:val="single" w:sz="4" w:color="D5D8DF"/>
          <w:right w:val="single" w:sz="4" w:color="D5D8DF"/>
          <w:insideH w:val="single" w:sz="4" w:color="D5D8DF"/>
          <w:insideV w:val="single" w:sz="4" w:color="D5D8DF"/>
        </w:tblBorders>
      </w:tblPr>
      <w:tblGrid>
        <w:gridCol w:w="3475"/>
        <w:gridCol w:w="3475"/>
        <w:gridCol w:w="3475"/>
      </w:tblGrid>
      <w:tr>
        <w:tc>
          <w:tcPr>
            <w:tcW w:type="dxa" w:w="2268"/>
            <w:shd w:val="clear" w:color="auto" w:fill="EDE7FE"/>
          </w:tcPr>
          <w:p>
            <w:r/>
            <w:r>
              <w:rPr>
                <w:b/>
                <w:i w:val="0"/>
                <w:color w:val="1F232E"/>
                <w:sz w:val="18"/>
              </w:rPr>
              <w:t>Multiple</w:t>
            </w:r>
          </w:p>
        </w:tc>
        <w:tc>
          <w:tcPr>
            <w:tcW w:type="dxa" w:w="2268"/>
            <w:shd w:val="clear" w:color="auto" w:fill="EDE7FE"/>
          </w:tcPr>
          <w:p>
            <w:r/>
            <w:r>
              <w:rPr>
                <w:b/>
                <w:i w:val="0"/>
                <w:color w:val="1F232E"/>
                <w:sz w:val="18"/>
              </w:rPr>
              <w:t>Value</w:t>
            </w:r>
          </w:p>
        </w:tc>
        <w:tc>
          <w:tcPr>
            <w:tcW w:type="dxa" w:w="4195"/>
            <w:shd w:val="clear" w:color="auto" w:fill="EDE7FE"/>
          </w:tcPr>
          <w:p>
            <w:r/>
            <w:r>
              <w:rPr>
                <w:b/>
                <w:i w:val="0"/>
                <w:color w:val="1F232E"/>
                <w:sz w:val="18"/>
              </w:rPr>
              <w:t>Read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Trailing P/E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18.5×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i w:val="0"/>
                <w:sz w:val="19"/>
              </w:rPr>
              <w:t>Distorted by tax assets</w:t>
            </w:r>
          </w:p>
        </w:tc>
      </w:tr>
      <w:tr>
        <w:tc>
          <w:tcPr>
            <w:tcW w:type="dxa" w:w="2268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Fwd P/E (2026 cons.)</w:t>
            </w:r>
          </w:p>
        </w:tc>
        <w:tc>
          <w:tcPr>
            <w:tcW w:type="dxa" w:w="2268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21.7×</w:t>
            </w:r>
          </w:p>
        </w:tc>
        <w:tc>
          <w:tcPr>
            <w:tcW w:type="dxa" w:w="4195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Reset year (no tax benefit)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P/E (2027 cons.)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color w:val="15803D"/>
                <w:sz w:val="19"/>
              </w:rPr>
              <w:t>16.9×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i w:val="0"/>
                <w:sz w:val="19"/>
              </w:rPr>
              <w:t>Cleaner lens</w:t>
            </w:r>
          </w:p>
        </w:tc>
      </w:tr>
      <w:tr>
        <w:tc>
          <w:tcPr>
            <w:tcW w:type="dxa" w:w="2268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EV / EBITDA</w:t>
            </w:r>
          </w:p>
        </w:tc>
        <w:tc>
          <w:tcPr>
            <w:tcW w:type="dxa" w:w="2268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22.0×</w:t>
            </w:r>
          </w:p>
        </w:tc>
        <w:tc>
          <w:tcPr>
            <w:tcW w:type="dxa" w:w="4195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Optically high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EV / FCF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color w:val="15803D"/>
                <w:sz w:val="19"/>
              </w:rPr>
              <w:t>15.8×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i w:val="0"/>
                <w:sz w:val="19"/>
              </w:rPr>
              <w:t>Right lens — asset-light</w:t>
            </w:r>
          </w:p>
        </w:tc>
      </w:tr>
      <w:tr>
        <w:tc>
          <w:tcPr>
            <w:tcW w:type="dxa" w:w="2268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PEG</w:t>
            </w:r>
          </w:p>
        </w:tc>
        <w:tc>
          <w:tcPr>
            <w:tcW w:type="dxa" w:w="2268"/>
            <w:shd w:val="clear" w:color="auto" w:fill="F4F5F8"/>
          </w:tcPr>
          <w:p>
            <w:r/>
            <w:r>
              <w:rPr>
                <w:b w:val="0"/>
                <w:i w:val="0"/>
                <w:color w:val="15803D"/>
                <w:sz w:val="19"/>
              </w:rPr>
              <w:t>0.64</w:t>
            </w:r>
          </w:p>
        </w:tc>
        <w:tc>
          <w:tcPr>
            <w:tcW w:type="dxa" w:w="4195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Cheap if growth holds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FCF yield + growth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color w:val="15803D"/>
                <w:sz w:val="19"/>
              </w:rPr>
              <w:t>6.45% + 12–15%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i w:val="0"/>
                <w:sz w:val="19"/>
              </w:rPr>
              <w:t>Mid-teens fwd return potential</w:t>
            </w:r>
          </w:p>
        </w:tc>
      </w:tr>
    </w:tbl>
    <w:p>
      <w:pPr>
        <w:spacing w:before="120" w:after="20"/>
      </w:pPr>
      <w:r>
        <w:rPr>
          <w:b/>
          <w:i w:val="0"/>
          <w:color w:val="1F232E"/>
          <w:sz w:val="21"/>
        </w:rPr>
        <w:t>Reverse-DCF &amp; private-market value</w:t>
      </w:r>
    </w:p>
    <w:p>
      <w:pPr>
        <w:pStyle w:val="ListBullet"/>
        <w:spacing w:after="20"/>
        <w:ind w:left="283"/>
      </w:pPr>
      <w:r>
        <w:rPr>
          <w:b/>
          <w:i w:val="0"/>
        </w:rPr>
        <w:t xml:space="preserve">Reverse-DCF: </w:t>
      </w:r>
      <w:r>
        <w:rPr>
          <w:b w:val="0"/>
          <w:i w:val="0"/>
        </w:rPr>
        <w:t>today's price requires ~10–12% FCF CAGR for 10y, then 3% terminal.</w:t>
      </w:r>
    </w:p>
    <w:p>
      <w:pPr>
        <w:pStyle w:val="ListBullet"/>
        <w:spacing w:after="20"/>
        <w:ind w:left="283"/>
      </w:pPr>
      <w:r>
        <w:rPr>
          <w:b/>
          <w:i w:val="0"/>
        </w:rPr>
        <w:t xml:space="preserve">My base case: </w:t>
      </w:r>
      <w:r>
        <w:rPr>
          <w:b w:val="0"/>
          <w:i w:val="0"/>
        </w:rPr>
        <w:t>15–18% near-term, 10–12% mid-term FCF growth. Market is pricing what I'd model — fair, not cheap.</w:t>
      </w:r>
    </w:p>
    <w:p>
      <w:pPr>
        <w:pStyle w:val="ListBullet"/>
        <w:spacing w:after="20"/>
        <w:ind w:left="283"/>
      </w:pPr>
      <w:r>
        <w:rPr>
          <w:b/>
          <w:i w:val="0"/>
        </w:rPr>
        <w:t xml:space="preserve">Private-market value: </w:t>
      </w:r>
      <w:r>
        <w:rPr>
          <w:b w:val="0"/>
          <w:i w:val="0"/>
        </w:rPr>
        <w:t>Normalized FCF ~$11B ÷ (10%−3%) = EV $157B → equity ~$74/share. Today ≈ rational private buyer.</w:t>
      </w:r>
    </w:p>
    <w:p>
      <w:pPr>
        <w:spacing w:before="120" w:after="20"/>
      </w:pPr>
      <w:r>
        <w:rPr>
          <w:b/>
          <w:i w:val="0"/>
          <w:color w:val="1F232E"/>
          <w:sz w:val="21"/>
        </w:rPr>
        <w:t>Action 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8DF"/>
          <w:left w:val="single" w:sz="4" w:color="D5D8DF"/>
          <w:bottom w:val="single" w:sz="4" w:color="D5D8DF"/>
          <w:right w:val="single" w:sz="4" w:color="D5D8DF"/>
          <w:insideH w:val="single" w:sz="4" w:color="D5D8DF"/>
          <w:insideV w:val="single" w:sz="4" w:color="D5D8DF"/>
        </w:tblBorders>
      </w:tblPr>
      <w:tblGrid>
        <w:gridCol w:w="5213"/>
        <w:gridCol w:w="5213"/>
      </w:tblGrid>
      <w:tr>
        <w:tc>
          <w:tcPr>
            <w:tcW w:type="dxa" w:w="3969"/>
            <w:shd w:val="clear" w:color="auto" w:fill="EDE7FE"/>
          </w:tcPr>
          <w:p>
            <w:r/>
            <w:r>
              <w:rPr>
                <w:b/>
                <w:i w:val="0"/>
                <w:color w:val="1F232E"/>
                <w:sz w:val="18"/>
              </w:rPr>
              <w:t>Trigger</w:t>
            </w:r>
          </w:p>
        </w:tc>
        <w:tc>
          <w:tcPr>
            <w:tcW w:type="dxa" w:w="4762"/>
            <w:shd w:val="clear" w:color="auto" w:fill="EDE7FE"/>
          </w:tcPr>
          <w:p>
            <w:r/>
            <w:r>
              <w:rPr>
                <w:b/>
                <w:i w:val="0"/>
                <w:color w:val="1F232E"/>
                <w:sz w:val="18"/>
              </w:rPr>
              <w:t>Action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i w:val="0"/>
                <w:sz w:val="19"/>
              </w:rPr>
              <w:t>Price &gt; $120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color w:val="B91C1C"/>
                <w:sz w:val="19"/>
              </w:rPr>
              <w:t>Trim 50% (≈ 25× fwd EV/FCF; prices in flawless AV transition)</w:t>
            </w:r>
          </w:p>
        </w:tc>
      </w:tr>
      <w:tr>
        <w:tc>
          <w:tcPr>
            <w:tcW w:type="dxa" w:w="3969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FCF margin contracts 2 consecutive Qs (no one-off)</w:t>
            </w:r>
          </w:p>
        </w:tc>
        <w:tc>
          <w:tcPr>
            <w:tcW w:type="dxa" w:w="4762"/>
            <w:shd w:val="clear" w:color="auto" w:fill="F4F5F8"/>
          </w:tcPr>
          <w:p>
            <w:r/>
            <w:r>
              <w:rPr>
                <w:b w:val="0"/>
                <w:i w:val="0"/>
                <w:color w:val="B91C1C"/>
                <w:sz w:val="19"/>
              </w:rPr>
              <w:t>Exit — AV take-rate compression real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i w:val="0"/>
                <w:sz w:val="19"/>
              </w:rPr>
              <w:t>&gt;$10B acquisition / re-entry China / own AV fleet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color w:val="B91C1C"/>
                <w:sz w:val="19"/>
              </w:rPr>
              <w:t>Exit — capital allocation thesis broken</w:t>
            </w:r>
          </w:p>
        </w:tc>
      </w:tr>
      <w:tr>
        <w:tc>
          <w:tcPr>
            <w:tcW w:type="dxa" w:w="3969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Price &lt; $65 (~13× EV/FCF)</w:t>
            </w:r>
          </w:p>
        </w:tc>
        <w:tc>
          <w:tcPr>
            <w:tcW w:type="dxa" w:w="4762"/>
            <w:shd w:val="clear" w:color="auto" w:fill="F4F5F8"/>
          </w:tcPr>
          <w:p>
            <w:r/>
            <w:r>
              <w:rPr>
                <w:b w:val="0"/>
                <w:i w:val="0"/>
                <w:color w:val="15803D"/>
                <w:sz w:val="19"/>
              </w:rPr>
              <w:t>Add — 13% margin of safety to private-market value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i w:val="0"/>
                <w:sz w:val="19"/>
              </w:rPr>
              <w:t>Price &lt; $55 (~11× EV/FCF)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color w:val="15803D"/>
                <w:sz w:val="19"/>
              </w:rPr>
              <w:t>Load — back up the truck</w:t>
            </w:r>
          </w:p>
        </w:tc>
      </w:tr>
      <w:tr>
        <w:tc>
          <w:tcPr>
            <w:tcW w:type="dxa" w:w="3969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-40% on macro/sentiment only</w:t>
            </w:r>
          </w:p>
        </w:tc>
        <w:tc>
          <w:tcPr>
            <w:tcW w:type="dxa" w:w="4762"/>
            <w:shd w:val="clear" w:color="auto" w:fill="F4F5F8"/>
          </w:tcPr>
          <w:p>
            <w:r/>
            <w:r>
              <w:rPr>
                <w:b w:val="0"/>
                <w:i w:val="0"/>
                <w:color w:val="15803D"/>
                <w:sz w:val="19"/>
              </w:rPr>
              <w:t>Buy aggressively; pre-commitment beats analysis</w:t>
            </w:r>
          </w:p>
        </w:tc>
      </w:tr>
    </w:tbl>
    <w:p>
      <w:pPr>
        <w:spacing w:before="200" w:after="60"/>
      </w:pPr>
      <w:r>
        <w:rPr>
          <w:b/>
          <w:i w:val="0"/>
          <w:color w:val="6D28D9"/>
          <w:sz w:val="24"/>
        </w:rPr>
        <w:t>Scorecard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8DF"/>
          <w:left w:val="single" w:sz="4" w:color="D5D8DF"/>
          <w:bottom w:val="single" w:sz="4" w:color="D5D8DF"/>
          <w:right w:val="single" w:sz="4" w:color="D5D8DF"/>
          <w:insideH w:val="single" w:sz="4" w:color="D5D8DF"/>
          <w:insideV w:val="single" w:sz="4" w:color="D5D8DF"/>
        </w:tblBorders>
      </w:tblPr>
      <w:tblGrid>
        <w:gridCol w:w="3475"/>
        <w:gridCol w:w="3475"/>
        <w:gridCol w:w="3475"/>
      </w:tblGrid>
      <w:tr>
        <w:tc>
          <w:tcPr>
            <w:tcW w:type="dxa" w:w="3402"/>
            <w:shd w:val="clear" w:color="auto" w:fill="EDE7FE"/>
          </w:tcPr>
          <w:p>
            <w:r/>
            <w:r>
              <w:rPr>
                <w:b/>
                <w:i w:val="0"/>
                <w:color w:val="1F232E"/>
                <w:sz w:val="18"/>
              </w:rPr>
              <w:t>Dimension</w:t>
            </w:r>
          </w:p>
        </w:tc>
        <w:tc>
          <w:tcPr>
            <w:tcW w:type="dxa" w:w="1417"/>
            <w:shd w:val="clear" w:color="auto" w:fill="EDE7FE"/>
          </w:tcPr>
          <w:p>
            <w:r/>
            <w:r>
              <w:rPr>
                <w:b/>
                <w:i w:val="0"/>
                <w:color w:val="1F232E"/>
                <w:sz w:val="18"/>
              </w:rPr>
              <w:t>Score (/5)</w:t>
            </w:r>
          </w:p>
        </w:tc>
        <w:tc>
          <w:tcPr>
            <w:tcW w:type="dxa" w:w="3912"/>
            <w:shd w:val="clear" w:color="auto" w:fill="EDE7FE"/>
          </w:tcPr>
          <w:p>
            <w:r/>
            <w:r>
              <w:rPr>
                <w:b/>
                <w:i w:val="0"/>
                <w:color w:val="1F232E"/>
                <w:sz w:val="18"/>
              </w:rPr>
              <w:t>Note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19"/>
              </w:rPr>
              <w:t>Business quality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i w:val="0"/>
                <w:color w:val="15803D"/>
                <w:sz w:val="19"/>
              </w:rPr>
              <w:t>4.0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i w:val="0"/>
                <w:sz w:val="19"/>
              </w:rPr>
              <w:t>Real moat, $10B FCF, asset-light</w:t>
            </w:r>
          </w:p>
        </w:tc>
      </w:tr>
      <w:tr>
        <w:tc>
          <w:tcPr>
            <w:tcW w:type="dxa" w:w="3402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Business durability (10y)</w:t>
            </w:r>
          </w:p>
        </w:tc>
        <w:tc>
          <w:tcPr>
            <w:tcW w:type="dxa" w:w="1417"/>
            <w:shd w:val="clear" w:color="auto" w:fill="F4F5F8"/>
          </w:tcPr>
          <w:p>
            <w:r/>
            <w:r>
              <w:rPr>
                <w:b w:val="0"/>
                <w:i w:val="0"/>
                <w:color w:val="B45309"/>
                <w:sz w:val="19"/>
              </w:rPr>
              <w:t>3.0</w:t>
            </w:r>
          </w:p>
        </w:tc>
        <w:tc>
          <w:tcPr>
            <w:tcW w:type="dxa" w:w="3912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AV transition is a real unknown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19"/>
              </w:rPr>
              <w:t>Management quality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i w:val="0"/>
                <w:color w:val="15803D"/>
                <w:sz w:val="19"/>
              </w:rPr>
              <w:t>4.0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i w:val="0"/>
                <w:sz w:val="19"/>
              </w:rPr>
              <w:t>Honest, disciplined post-2018</w:t>
            </w:r>
          </w:p>
        </w:tc>
      </w:tr>
      <w:tr>
        <w:tc>
          <w:tcPr>
            <w:tcW w:type="dxa" w:w="3402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Skin in game</w:t>
            </w:r>
          </w:p>
        </w:tc>
        <w:tc>
          <w:tcPr>
            <w:tcW w:type="dxa" w:w="1417"/>
            <w:shd w:val="clear" w:color="auto" w:fill="F4F5F8"/>
          </w:tcPr>
          <w:p>
            <w:r/>
            <w:r>
              <w:rPr>
                <w:b w:val="0"/>
                <w:i w:val="0"/>
                <w:color w:val="B91C1C"/>
                <w:sz w:val="19"/>
              </w:rPr>
              <w:t>2.0</w:t>
            </w:r>
          </w:p>
        </w:tc>
        <w:tc>
          <w:tcPr>
            <w:tcW w:type="dxa" w:w="3912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0.17% insider ownership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19"/>
              </w:rPr>
              <w:t>Capital allocation (track record)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i w:val="0"/>
                <w:color w:val="B45309"/>
                <w:sz w:val="19"/>
              </w:rPr>
              <w:t>3.5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i w:val="0"/>
                <w:sz w:val="19"/>
              </w:rPr>
              <w:t>Improving; not yet proven in maturity</w:t>
            </w:r>
          </w:p>
        </w:tc>
      </w:tr>
      <w:tr>
        <w:tc>
          <w:tcPr>
            <w:tcW w:type="dxa" w:w="3402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Price today</w:t>
            </w:r>
          </w:p>
        </w:tc>
        <w:tc>
          <w:tcPr>
            <w:tcW w:type="dxa" w:w="1417"/>
            <w:shd w:val="clear" w:color="auto" w:fill="F4F5F8"/>
          </w:tcPr>
          <w:p>
            <w:r/>
            <w:r>
              <w:rPr>
                <w:b w:val="0"/>
                <w:i w:val="0"/>
                <w:color w:val="B45309"/>
                <w:sz w:val="19"/>
              </w:rPr>
              <w:t>3.0</w:t>
            </w:r>
          </w:p>
        </w:tc>
        <w:tc>
          <w:tcPr>
            <w:tcW w:type="dxa" w:w="3912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Fair, not cheap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19"/>
              </w:rPr>
              <w:t>Price if -40%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i w:val="0"/>
                <w:color w:val="15803D"/>
                <w:sz w:val="19"/>
              </w:rPr>
              <w:t>5.0</w:t>
            </w:r>
          </w:p>
        </w:tc>
        <w:tc>
          <w:tcPr>
            <w:tcW w:type="dxa" w:w="3912"/>
          </w:tcPr>
          <w:p>
            <w:r/>
            <w:r>
              <w:rPr>
                <w:b w:val="0"/>
                <w:i w:val="0"/>
                <w:sz w:val="19"/>
              </w:rPr>
              <w:t>Strong buy zone</w:t>
            </w:r>
          </w:p>
        </w:tc>
      </w:tr>
      <w:tr>
        <w:tc>
          <w:tcPr>
            <w:tcW w:type="dxa" w:w="3402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Upside / downside asymmetry</w:t>
            </w:r>
          </w:p>
        </w:tc>
        <w:tc>
          <w:tcPr>
            <w:tcW w:type="dxa" w:w="1417"/>
            <w:shd w:val="clear" w:color="auto" w:fill="F4F5F8"/>
          </w:tcPr>
          <w:p>
            <w:r/>
            <w:r>
              <w:rPr>
                <w:b w:val="0"/>
                <w:i w:val="0"/>
                <w:color w:val="B45309"/>
                <w:sz w:val="19"/>
              </w:rPr>
              <w:t>3.5</w:t>
            </w:r>
          </w:p>
        </w:tc>
        <w:tc>
          <w:tcPr>
            <w:tcW w:type="dxa" w:w="3912"/>
            <w:shd w:val="clear" w:color="auto" w:fill="F4F5F8"/>
          </w:tcPr>
          <w:p>
            <w:r/>
            <w:r>
              <w:rPr>
                <w:b w:val="0"/>
                <w:i w:val="0"/>
                <w:sz w:val="19"/>
              </w:rPr>
              <w:t>Skewed slightly favorable</w:t>
            </w:r>
          </w:p>
        </w:tc>
      </w:tr>
    </w:tbl>
    <w:p>
      <w:pPr>
        <w:spacing w:before="200"/>
      </w:pPr>
      <w:r>
        <w:rPr>
          <w:b w:val="0"/>
          <w:i/>
          <w:color w:val="606878"/>
          <w:sz w:val="16"/>
        </w:rPr>
        <w:t>Educational analysis · Not investment advice · Data: company filings, stockanalysis.com (May 14, 2026)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3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