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FE849A" wp14:paraId="235ECFD9" wp14:textId="369F1ECD">
      <w:pPr>
        <w:pStyle w:val="Heading3"/>
      </w:pPr>
      <w:r w:rsidRPr="20FE849A" w:rsidR="20FE849A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color w:val="222222"/>
        </w:rPr>
        <w:t>Comparison Chart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0FE849A" w:rsidTr="20FE849A" w14:paraId="764F23B6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0FE849A" w:rsidP="20FE849A" w:rsidRDefault="20FE849A" w14:paraId="6EAE13C8" w14:textId="1E7F9650">
            <w:pPr>
              <w:spacing w:before="0" w:beforeAutospacing="off" w:after="0" w:afterAutospacing="off"/>
              <w:jc w:val="center"/>
            </w:pPr>
            <w:r w:rsidRPr="20FE849A" w:rsidR="20FE849A">
              <w:rPr>
                <w:rFonts w:ascii="Nunito Sans" w:hAnsi="Nunito Sans" w:eastAsia="Nunito Sans" w:cs="Nunito Sans"/>
                <w:b w:val="1"/>
                <w:bCs w:val="1"/>
                <w:i w:val="0"/>
                <w:iCs w:val="0"/>
                <w:caps w:val="1"/>
                <w:color w:val="222222"/>
                <w:sz w:val="27"/>
                <w:szCs w:val="27"/>
              </w:rPr>
              <w:t>BASIS FOR COMPARISON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0FE849A" w:rsidP="20FE849A" w:rsidRDefault="20FE849A" w14:paraId="22383EB5" w14:textId="6CC8D90F">
            <w:pPr>
              <w:spacing w:before="0" w:beforeAutospacing="off" w:after="0" w:afterAutospacing="off"/>
              <w:jc w:val="center"/>
            </w:pPr>
            <w:r w:rsidRPr="20FE849A" w:rsidR="20FE849A">
              <w:rPr>
                <w:rFonts w:ascii="Nunito Sans" w:hAnsi="Nunito Sans" w:eastAsia="Nunito Sans" w:cs="Nunito Sans"/>
                <w:b w:val="1"/>
                <w:bCs w:val="1"/>
                <w:i w:val="0"/>
                <w:iCs w:val="0"/>
                <w:caps w:val="1"/>
                <w:color w:val="222222"/>
                <w:sz w:val="27"/>
                <w:szCs w:val="27"/>
              </w:rPr>
              <w:t>MICROECONOMICS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0FE849A" w:rsidP="20FE849A" w:rsidRDefault="20FE849A" w14:paraId="4D022FE6" w14:textId="075FB8B1">
            <w:pPr>
              <w:spacing w:before="0" w:beforeAutospacing="off" w:after="0" w:afterAutospacing="off"/>
              <w:jc w:val="center"/>
            </w:pPr>
            <w:r w:rsidRPr="20FE849A" w:rsidR="20FE849A">
              <w:rPr>
                <w:rFonts w:ascii="Nunito Sans" w:hAnsi="Nunito Sans" w:eastAsia="Nunito Sans" w:cs="Nunito Sans"/>
                <w:b w:val="1"/>
                <w:bCs w:val="1"/>
                <w:i w:val="0"/>
                <w:iCs w:val="0"/>
                <w:caps w:val="1"/>
                <w:color w:val="222222"/>
                <w:sz w:val="27"/>
                <w:szCs w:val="27"/>
              </w:rPr>
              <w:t>MACROECONOMICS</w:t>
            </w:r>
          </w:p>
        </w:tc>
      </w:tr>
      <w:tr w:rsidR="20FE849A" w:rsidTr="20FE849A" w14:paraId="70BF2A60">
        <w:trPr>
          <w:trHeight w:val="300"/>
        </w:trPr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274898D7" w14:textId="7F8A0737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Meaning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6F5152E1" w14:textId="224F9C8F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The branch of economics that studies the behavior of an individual consumer, firm, family is known as Microeconomics.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7D6A48F5" w14:textId="6771B51E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The branch of economics that studies the behavior of the whole economy, (both national and international) is known as Macroeconomics.</w:t>
            </w:r>
          </w:p>
        </w:tc>
      </w:tr>
      <w:tr w:rsidR="20FE849A" w:rsidTr="20FE849A" w14:paraId="0B2C381C">
        <w:trPr>
          <w:trHeight w:val="300"/>
        </w:trPr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27746FAA" w14:textId="47DC0756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Deals with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38E901D5" w14:textId="5613357A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Individual economic variables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37DF60C7" w14:textId="37150937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Aggregate economic variables</w:t>
            </w:r>
          </w:p>
        </w:tc>
      </w:tr>
      <w:tr w:rsidR="20FE849A" w:rsidTr="20FE849A" w14:paraId="4630C17B">
        <w:trPr>
          <w:trHeight w:val="300"/>
        </w:trPr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726F35B8" w14:textId="2D8DF6FB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Business Application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076F9A2B" w14:textId="6F370CA6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Applied to operational or internal issues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46E9C7A9" w14:textId="43EF1EE7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Environment and external issues</w:t>
            </w:r>
          </w:p>
        </w:tc>
      </w:tr>
      <w:tr w:rsidR="20FE849A" w:rsidTr="20FE849A" w14:paraId="77A68475">
        <w:trPr>
          <w:trHeight w:val="300"/>
        </w:trPr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40B48D12" w14:textId="36447651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Tools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787981BC" w14:textId="6EC56FBB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Demand and Supply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3855E300" w14:textId="342F3D82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Aggregate Demand and Aggregate Supply</w:t>
            </w:r>
          </w:p>
        </w:tc>
      </w:tr>
      <w:tr w:rsidR="20FE849A" w:rsidTr="20FE849A" w14:paraId="24B50E2A">
        <w:trPr>
          <w:trHeight w:val="300"/>
        </w:trPr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3CBBFB64" w14:textId="3BF8B98F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Assumption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14425D05" w14:textId="195F8C0F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assumes that all macro-economic variables are constant.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09CE07C5" w14:textId="5E5CE959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assumes that all micro-economic variables are constant.</w:t>
            </w:r>
          </w:p>
        </w:tc>
      </w:tr>
      <w:tr w:rsidR="20FE849A" w:rsidTr="20FE849A" w14:paraId="1BEA3D92">
        <w:trPr>
          <w:trHeight w:val="300"/>
        </w:trPr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6489A076" w14:textId="0396E6C2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Concerned with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4F960454" w14:textId="6AD25DF0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Theory of Product Pricing, Theory of Factor Pricing, Theory of Economic Welfare.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1E26CC8C" w14:textId="221A5BCD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Theory of National Income, Aggregate Consumption, Theory of General Price Level, Economic Growth.</w:t>
            </w:r>
          </w:p>
        </w:tc>
      </w:tr>
      <w:tr w:rsidR="20FE849A" w:rsidTr="20FE849A" w14:paraId="6A48A2AA">
        <w:trPr>
          <w:trHeight w:val="300"/>
        </w:trPr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08FACCED" w14:textId="0B4F79C3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Scope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263DF8D1" w14:textId="6DDF6CAA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Covers various issues like demand, supply, product pricing, factor pricing, production, consumption, economic welfare, etc.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7E8FB1F5" w14:textId="3C978AEA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Covers various issues like, national income, general price level, distribution, employment, money etc.</w:t>
            </w:r>
          </w:p>
        </w:tc>
      </w:tr>
      <w:tr w:rsidR="20FE849A" w:rsidTr="20FE849A" w14:paraId="5BD55F55">
        <w:trPr>
          <w:trHeight w:val="300"/>
        </w:trPr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1ECA7E72" w14:textId="0145FF75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Importance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3862F4B9" w14:textId="2085C5BE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Helpful in determining the prices of a product along with the prices of factors of production (land, labor, capital, entrepreneur etc.) within the economy.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42749923" w14:textId="505A38AA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Maintains stability in the general price level and resolves the major problems of the economy like inflation, deflation, reflation, unemployment and poverty as a whole.</w:t>
            </w:r>
          </w:p>
        </w:tc>
      </w:tr>
      <w:tr w:rsidR="20FE849A" w:rsidTr="20FE849A" w14:paraId="01579162">
        <w:trPr>
          <w:trHeight w:val="300"/>
        </w:trPr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68445141" w14:textId="6E5CDF7D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Limitations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06315F40" w14:textId="04FA5E15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is based on unrealistic assumptions, i.e. In microeconomics it is assumed that there is a full employment in the society which is not at all possible.</w:t>
            </w:r>
          </w:p>
        </w:tc>
        <w:tc>
          <w:tcPr>
            <w:tcW w:w="3120" w:type="dxa"/>
            <w:tcBorders>
              <w:left w:val="nil"/>
              <w:bottom w:val="nil"/>
              <w:right w:val="nil"/>
            </w:tcBorders>
            <w:tcMar/>
            <w:vAlign w:val="top"/>
          </w:tcPr>
          <w:p w:rsidR="20FE849A" w:rsidP="20FE849A" w:rsidRDefault="20FE849A" w14:paraId="4D0A2529" w14:textId="6D1BB0D5">
            <w:pPr>
              <w:spacing w:before="0" w:beforeAutospacing="off" w:after="0" w:afterAutospacing="off"/>
              <w:jc w:val="left"/>
            </w:pPr>
            <w:r w:rsidRPr="20FE849A" w:rsidR="20FE849A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has been analyzed that 'Fallacy of Composition' involves, which sometimes doesn't proves true because it is possible that what is true for aggregate may not be true for individuals too.</w:t>
            </w:r>
          </w:p>
        </w:tc>
      </w:tr>
    </w:tbl>
    <w:p xmlns:wp14="http://schemas.microsoft.com/office/word/2010/wordml" w:rsidP="20FE849A" wp14:paraId="2C078E63" wp14:textId="3403CE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57D27"/>
    <w:rsid w:val="07157D27"/>
    <w:rsid w:val="161CD38E"/>
    <w:rsid w:val="20FE8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D38E"/>
  <w15:chartTrackingRefBased/>
  <w15:docId w15:val="{B4AB363A-3EDA-43C5-81F3-C997F7620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2023-11-30T10:01:30.6955145Z</dcterms:created>
  <dcterms:modified xsi:type="dcterms:W3CDTF">2023-11-30T10:02:18.1965299Z</dcterms:modified>
  <dc:creator>Puttu Guruprasad</dc:creator>
  <lastModifiedBy>Puttu Guruprasad</lastModifiedBy>
</coreProperties>
</file>