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6"/>
        </w:rPr>
        <w:t>VAHANA</w:t>
      </w:r>
    </w:p>
    <w:p>
      <w:pPr>
        <w:jc w:val="center"/>
      </w:pPr>
      <w:r>
        <w:rPr>
          <w:sz w:val="30"/>
        </w:rPr>
        <w:t>Vehicle Advertising Platform</w:t>
      </w:r>
    </w:p>
    <w:p>
      <w:pPr>
        <w:jc w:val="center"/>
      </w:pPr>
      <w:r>
        <w:rPr>
          <w:b/>
          <w:sz w:val="38"/>
        </w:rPr>
        <w:t>Software Requirements Specification (SRS)</w:t>
      </w:r>
    </w:p>
    <w:p>
      <w:pPr>
        <w:jc w:val="center"/>
      </w:pPr>
      <w:r>
        <w:rPr>
          <w:i/>
        </w:rPr>
        <w:t>Functional and non-functional requirements</w:t>
        <w:br/>
        <w:t>Version 2.0 | October 2026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5F3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968"/>
          </w:tcPr>
          <w:p>
            <w:r>
              <w:t>Vahana</w:t>
            </w:r>
          </w:p>
        </w:tc>
      </w:tr>
      <w:tr>
        <w:tc>
          <w:tcPr>
            <w:tcW w:type="dxa" w:w="4968"/>
            <w:shd w:fill="D9E5F3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t>Software Requirements Specification (SRS)</w:t>
            </w:r>
          </w:p>
        </w:tc>
      </w:tr>
      <w:tr>
        <w:tc>
          <w:tcPr>
            <w:tcW w:type="dxa" w:w="4968"/>
            <w:shd w:fill="D9E5F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Version 2.0 | October 2026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describes the major software requirements for the current Vahana application, a role-based vehicle advertising platform.</w:t>
      </w:r>
    </w:p>
    <w:p>
      <w:pPr>
        <w:pStyle w:val="Heading1"/>
      </w:pPr>
      <w:r>
        <w:t>2. System Overview</w:t>
      </w:r>
    </w:p>
    <w:p>
      <w:r>
        <w:t>The frontend uses React and Vite. It communicates with a Node.js/Express REST API. MongoDB stores application data through Mongoose models. JWT authentication uses HTTP-only cookies, and protected routes apply role-based authorization.</w:t>
      </w:r>
    </w:p>
    <w:p>
      <w:pPr>
        <w:pStyle w:val="Heading1"/>
      </w:pPr>
      <w:r>
        <w:t>3.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5F3"/>
          </w:tcPr>
          <w:p>
            <w:r>
              <w:rPr>
                <w:b/>
              </w:rPr>
              <w:t>ID</w:t>
            </w:r>
          </w:p>
        </w:tc>
        <w:tc>
          <w:tcPr>
            <w:tcW w:type="dxa" w:w="4968"/>
            <w:shd w:fill="D9E5F3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</w:tcPr>
          <w:p>
            <w:r>
              <w:t>FR-01</w:t>
            </w:r>
          </w:p>
        </w:tc>
        <w:tc>
          <w:tcPr>
            <w:tcW w:type="dxa" w:w="4968"/>
          </w:tcPr>
          <w:p>
            <w:r>
              <w:t>The system shall authenticate users and protect private API routes.</w:t>
            </w:r>
          </w:p>
        </w:tc>
      </w:tr>
      <w:tr>
        <w:tc>
          <w:tcPr>
            <w:tcW w:type="dxa" w:w="4968"/>
          </w:tcPr>
          <w:p>
            <w:r>
              <w:t>FR-02</w:t>
            </w:r>
          </w:p>
        </w:tc>
        <w:tc>
          <w:tcPr>
            <w:tcW w:type="dxa" w:w="4968"/>
          </w:tcPr>
          <w:p>
            <w:r>
              <w:t>The system shall restrict auto-owner, advertiser, and admin operations by role.</w:t>
            </w:r>
          </w:p>
        </w:tc>
      </w:tr>
      <w:tr>
        <w:tc>
          <w:tcPr>
            <w:tcW w:type="dxa" w:w="4968"/>
          </w:tcPr>
          <w:p>
            <w:r>
              <w:t>FR-03</w:t>
            </w:r>
          </w:p>
        </w:tc>
        <w:tc>
          <w:tcPr>
            <w:tcW w:type="dxa" w:w="4968"/>
          </w:tcPr>
          <w:p>
            <w:r>
              <w:t>Auto owners shall be able to create/update their profile and manage their own vehicle records.</w:t>
            </w:r>
          </w:p>
        </w:tc>
      </w:tr>
      <w:tr>
        <w:tc>
          <w:tcPr>
            <w:tcW w:type="dxa" w:w="4968"/>
          </w:tcPr>
          <w:p>
            <w:r>
              <w:t>FR-04</w:t>
            </w:r>
          </w:p>
        </w:tc>
        <w:tc>
          <w:tcPr>
            <w:tcW w:type="dxa" w:w="4968"/>
          </w:tcPr>
          <w:p>
            <w:r>
              <w:t>Auto owners shall be able to upload supported documents for vehicles they own.</w:t>
            </w:r>
          </w:p>
        </w:tc>
      </w:tr>
      <w:tr>
        <w:tc>
          <w:tcPr>
            <w:tcW w:type="dxa" w:w="4968"/>
          </w:tcPr>
          <w:p>
            <w:r>
              <w:t>FR-05</w:t>
            </w:r>
          </w:p>
        </w:tc>
        <w:tc>
          <w:tcPr>
            <w:tcW w:type="dxa" w:w="4968"/>
          </w:tcPr>
          <w:p>
            <w:r>
              <w:t>Administrators shall be able to review auto-owner profiles, vehicles, and submitted documents.</w:t>
            </w:r>
          </w:p>
        </w:tc>
      </w:tr>
      <w:tr>
        <w:tc>
          <w:tcPr>
            <w:tcW w:type="dxa" w:w="4968"/>
          </w:tcPr>
          <w:p>
            <w:r>
              <w:t>FR-06</w:t>
            </w:r>
          </w:p>
        </w:tc>
        <w:tc>
          <w:tcPr>
            <w:tcW w:type="dxa" w:w="4968"/>
          </w:tcPr>
          <w:p>
            <w:r>
              <w:t>Advertisers shall complete an advertiser profile before creating campaigns.</w:t>
            </w:r>
          </w:p>
        </w:tc>
      </w:tr>
      <w:tr>
        <w:tc>
          <w:tcPr>
            <w:tcW w:type="dxa" w:w="4968"/>
          </w:tcPr>
          <w:p>
            <w:r>
              <w:t>FR-07</w:t>
            </w:r>
          </w:p>
        </w:tc>
        <w:tc>
          <w:tcPr>
            <w:tcW w:type="dxa" w:w="4968"/>
          </w:tcPr>
          <w:p>
            <w:r>
              <w:t>Advertisers shall create campaigns with title, description, objectives, city, locality, dates, and requested auto count.</w:t>
            </w:r>
          </w:p>
        </w:tc>
      </w:tr>
      <w:tr>
        <w:tc>
          <w:tcPr>
            <w:tcW w:type="dxa" w:w="4968"/>
          </w:tcPr>
          <w:p>
            <w:r>
              <w:t>FR-08</w:t>
            </w:r>
          </w:p>
        </w:tc>
        <w:tc>
          <w:tcPr>
            <w:tcW w:type="dxa" w:w="4968"/>
          </w:tcPr>
          <w:p>
            <w:r>
              <w:t>Advertisers shall be able to edit their own campaign while it is pending review.</w:t>
            </w:r>
          </w:p>
        </w:tc>
      </w:tr>
      <w:tr>
        <w:tc>
          <w:tcPr>
            <w:tcW w:type="dxa" w:w="4968"/>
          </w:tcPr>
          <w:p>
            <w:r>
              <w:t>FR-09</w:t>
            </w:r>
          </w:p>
        </w:tc>
        <w:tc>
          <w:tcPr>
            <w:tcW w:type="dxa" w:w="4968"/>
          </w:tcPr>
          <w:p>
            <w:r>
              <w:t>Administrators shall review campaigns and approve or reject pending submissions.</w:t>
            </w:r>
          </w:p>
        </w:tc>
      </w:tr>
      <w:tr>
        <w:tc>
          <w:tcPr>
            <w:tcW w:type="dxa" w:w="4968"/>
          </w:tcPr>
          <w:p>
            <w:r>
              <w:t>FR-10</w:t>
            </w:r>
          </w:p>
        </w:tc>
        <w:tc>
          <w:tcPr>
            <w:tcW w:type="dxa" w:w="4968"/>
          </w:tcPr>
          <w:p>
            <w:r>
              <w:t>Eligible auto owners shall be able to retrieve available campaigns and join campaigns through the supported participation workflow.</w:t>
            </w:r>
          </w:p>
        </w:tc>
      </w:tr>
      <w:tr>
        <w:tc>
          <w:tcPr>
            <w:tcW w:type="dxa" w:w="4968"/>
          </w:tcPr>
          <w:p>
            <w:r>
              <w:t>FR-11</w:t>
            </w:r>
          </w:p>
        </w:tc>
        <w:tc>
          <w:tcPr>
            <w:tcW w:type="dxa" w:w="4968"/>
          </w:tcPr>
          <w:p>
            <w:r>
              <w:t>Campaign parties shall coordinate commercial terms and payment outside Vahana.</w:t>
            </w:r>
          </w:p>
        </w:tc>
      </w:tr>
      <w:tr>
        <w:tc>
          <w:tcPr>
            <w:tcW w:type="dxa" w:w="4968"/>
          </w:tcPr>
          <w:p>
            <w:r>
              <w:t>FR-12</w:t>
            </w:r>
          </w:p>
        </w:tc>
        <w:tc>
          <w:tcPr>
            <w:tcW w:type="dxa" w:w="4968"/>
          </w:tcPr>
          <w:p>
            <w:r>
              <w:t>The system shall not process, collect, or track payments.</w:t>
            </w:r>
          </w:p>
        </w:tc>
      </w:tr>
    </w:tbl>
    <w:p/>
    <w:p>
      <w:pPr>
        <w:pStyle w:val="Heading1"/>
      </w:pPr>
      <w:r>
        <w:t>4. Data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5F3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4968"/>
            <w:shd w:fill="D9E5F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User</w:t>
            </w:r>
          </w:p>
        </w:tc>
        <w:tc>
          <w:tcPr>
            <w:tcW w:type="dxa" w:w="4968"/>
          </w:tcPr>
          <w:p>
            <w:r>
              <w:t>Account identity and role.</w:t>
            </w:r>
          </w:p>
        </w:tc>
      </w:tr>
      <w:tr>
        <w:tc>
          <w:tcPr>
            <w:tcW w:type="dxa" w:w="4968"/>
          </w:tcPr>
          <w:p>
            <w:r>
              <w:t>AutoOwnerProfile</w:t>
            </w:r>
          </w:p>
        </w:tc>
        <w:tc>
          <w:tcPr>
            <w:tcW w:type="dxa" w:w="4968"/>
          </w:tcPr>
          <w:p>
            <w:r>
              <w:t>Auto-owner address/location and verification status.</w:t>
            </w:r>
          </w:p>
        </w:tc>
      </w:tr>
      <w:tr>
        <w:tc>
          <w:tcPr>
            <w:tcW w:type="dxa" w:w="4968"/>
          </w:tcPr>
          <w:p>
            <w:r>
              <w:t>AdvertiserProfile</w:t>
            </w:r>
          </w:p>
        </w:tc>
        <w:tc>
          <w:tcPr>
            <w:tcW w:type="dxa" w:w="4968"/>
          </w:tcPr>
          <w:p>
            <w:r>
              <w:t>Advertiser business and location information.</w:t>
            </w:r>
          </w:p>
        </w:tc>
      </w:tr>
      <w:tr>
        <w:tc>
          <w:tcPr>
            <w:tcW w:type="dxa" w:w="4968"/>
          </w:tcPr>
          <w:p>
            <w:r>
              <w:t>Vehicle</w:t>
            </w:r>
          </w:p>
        </w:tc>
        <w:tc>
          <w:tcPr>
            <w:tcW w:type="dxa" w:w="4968"/>
          </w:tcPr>
          <w:p>
            <w:r>
              <w:t>Vehicle information and verification status.</w:t>
            </w:r>
          </w:p>
        </w:tc>
      </w:tr>
      <w:tr>
        <w:tc>
          <w:tcPr>
            <w:tcW w:type="dxa" w:w="4968"/>
          </w:tcPr>
          <w:p>
            <w:r>
              <w:t>Document</w:t>
            </w:r>
          </w:p>
        </w:tc>
        <w:tc>
          <w:tcPr>
            <w:tcW w:type="dxa" w:w="4968"/>
          </w:tcPr>
          <w:p>
            <w:r>
              <w:t>Vehicle document metadata, storage key, file type, size, and review status.</w:t>
            </w:r>
          </w:p>
        </w:tc>
      </w:tr>
      <w:tr>
        <w:tc>
          <w:tcPr>
            <w:tcW w:type="dxa" w:w="4968"/>
          </w:tcPr>
          <w:p>
            <w:r>
              <w:t>Campaign</w:t>
            </w:r>
          </w:p>
        </w:tc>
        <w:tc>
          <w:tcPr>
            <w:tcW w:type="dxa" w:w="4968"/>
          </w:tcPr>
          <w:p>
            <w:r>
              <w:t>Advertiser campaign details, location, dates, requested auto count, and review status.</w:t>
            </w:r>
          </w:p>
        </w:tc>
      </w:tr>
      <w:tr>
        <w:tc>
          <w:tcPr>
            <w:tcW w:type="dxa" w:w="4968"/>
          </w:tcPr>
          <w:p>
            <w:r>
              <w:t>CampaignParticipation</w:t>
            </w:r>
          </w:p>
        </w:tc>
        <w:tc>
          <w:tcPr>
            <w:tcW w:type="dxa" w:w="4968"/>
          </w:tcPr>
          <w:p>
            <w:r>
              <w:t>Campaign, auto owner, vehicle, and participation status relationship.</w:t>
            </w:r>
          </w:p>
        </w:tc>
      </w:tr>
    </w:tbl>
    <w:p/>
    <w:p>
      <w:pPr>
        <w:pStyle w:val="Heading1"/>
      </w:pPr>
      <w:r>
        <w:t>5. Campaign Validation</w:t>
      </w:r>
    </w:p>
    <w:p>
      <w:r>
        <w:t>The campaign model requires title, description, objectives, city, locality, start date, end date, and requested auto count. End date must be after start date. The current model does not define a separate numeric price field; price may be described in the campaign description.</w:t>
      </w:r>
    </w:p>
    <w:p>
      <w:pPr>
        <w:pStyle w:val="Heading1"/>
      </w:pPr>
      <w:r>
        <w:t>6. Document Requirements</w:t>
      </w:r>
    </w:p>
    <w:p>
      <w:pPr>
        <w:pStyle w:val="ListBullet"/>
      </w:pPr>
      <w:r>
        <w:t>Supported file types in the model: PDF, JPEG, and PNG.</w:t>
      </w:r>
    </w:p>
    <w:p>
      <w:pPr>
        <w:pStyle w:val="ListBullet"/>
      </w:pPr>
      <w:r>
        <w:t>The document model allows files up to 5 MB.</w:t>
      </w:r>
    </w:p>
    <w:p>
      <w:pPr>
        <w:pStyle w:val="ListBullet"/>
      </w:pPr>
      <w:r>
        <w:t>Documents are associated with a vehicle and have a verification status.</w:t>
      </w:r>
    </w:p>
    <w:p>
      <w:pPr>
        <w:pStyle w:val="ListBullet"/>
      </w:pPr>
      <w:r>
        <w:t>Document retrieval is performed through backend endpoints.</w:t>
      </w:r>
    </w:p>
    <w:p>
      <w:pPr>
        <w:pStyle w:val="ListBullet"/>
      </w:pPr>
      <w:r>
        <w:t>Cloudinary uploads require valid backend environment credentials and end-to-end testing.</w:t>
      </w:r>
    </w:p>
    <w:p>
      <w:pPr>
        <w:pStyle w:val="Heading1"/>
      </w:pPr>
      <w:r>
        <w:t>7.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5F3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shd w:fill="D9E5F3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</w:tcPr>
          <w:p>
            <w:r>
              <w:t>Security</w:t>
            </w:r>
          </w:p>
        </w:tc>
        <w:tc>
          <w:tcPr>
            <w:tcW w:type="dxa" w:w="4968"/>
          </w:tcPr>
          <w:p>
            <w:r>
              <w:t>Authenticate users and enforce role-based access.</w:t>
            </w:r>
          </w:p>
        </w:tc>
      </w:tr>
      <w:tr>
        <w:tc>
          <w:tcPr>
            <w:tcW w:type="dxa" w:w="4968"/>
          </w:tcPr>
          <w:p>
            <w:r>
              <w:t>Validation</w:t>
            </w:r>
          </w:p>
        </w:tc>
        <w:tc>
          <w:tcPr>
            <w:tcW w:type="dxa" w:w="4968"/>
          </w:tcPr>
          <w:p>
            <w:r>
              <w:t>Validate required fields, identifiers, campaign dates, and supported document formats.</w:t>
            </w:r>
          </w:p>
        </w:tc>
      </w:tr>
      <w:tr>
        <w:tc>
          <w:tcPr>
            <w:tcW w:type="dxa" w:w="4968"/>
          </w:tcPr>
          <w:p>
            <w:r>
              <w:t>Privacy</w:t>
            </w:r>
          </w:p>
        </w:tc>
        <w:tc>
          <w:tcPr>
            <w:tcW w:type="dxa" w:w="4968"/>
          </w:tcPr>
          <w:p>
            <w:r>
              <w:t>Restrict access to user-specific records according to backend authorization.</w:t>
            </w:r>
          </w:p>
        </w:tc>
      </w:tr>
      <w:tr>
        <w:tc>
          <w:tcPr>
            <w:tcW w:type="dxa" w:w="4968"/>
          </w:tcPr>
          <w:p>
            <w:r>
              <w:t>Maintainability</w:t>
            </w:r>
          </w:p>
        </w:tc>
        <w:tc>
          <w:tcPr>
            <w:tcW w:type="dxa" w:w="4968"/>
          </w:tcPr>
          <w:p>
            <w:r>
              <w:t>Separate routes, controllers, models, middleware, and storage service.</w:t>
            </w:r>
          </w:p>
        </w:tc>
      </w:tr>
      <w:tr>
        <w:tc>
          <w:tcPr>
            <w:tcW w:type="dxa" w:w="4968"/>
          </w:tcPr>
          <w:p>
            <w:r>
              <w:t>Usability</w:t>
            </w:r>
          </w:p>
        </w:tc>
        <w:tc>
          <w:tcPr>
            <w:tcW w:type="dxa" w:w="4968"/>
          </w:tcPr>
          <w:p>
            <w:r>
              <w:t>Provide role-specific workflows and useful validation/error feedback.</w:t>
            </w:r>
          </w:p>
        </w:tc>
      </w:tr>
    </w:tbl>
    <w:p/>
    <w:p>
      <w:pPr>
        <w:pStyle w:val="Heading1"/>
      </w:pPr>
      <w:r>
        <w:t>8. Health Endpoint</w:t>
      </w:r>
    </w:p>
    <w:p>
      <w:r>
        <w:t>GET /api/v1/health returns a simple response indicating that the API is responding. It is a liveness check and does not confirm MongoDB or Cloudinary connectivity.</w:t>
      </w:r>
    </w:p>
    <w:p>
      <w:pPr>
        <w:pStyle w:val="Heading1"/>
      </w:pPr>
      <w:r>
        <w:t>9. Limitations</w:t>
      </w:r>
    </w:p>
    <w:p>
      <w:pPr>
        <w:pStyle w:val="ListBullet"/>
      </w:pPr>
      <w:r>
        <w:t>No in-app payment processing or payment tracking.</w:t>
      </w:r>
    </w:p>
    <w:p>
      <w:pPr>
        <w:pStyle w:val="ListBullet"/>
      </w:pPr>
      <w:r>
        <w:t>No separate structured campaign price field in the current campaign schema.</w:t>
      </w:r>
    </w:p>
    <w:p>
      <w:pPr>
        <w:pStyle w:val="ListBullet"/>
      </w:pPr>
      <w:r>
        <w:t>Health endpoint does not actively test external dependencies.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Vahana | Project Documentation | Version 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