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4E79"/>
          <w:sz w:val="52"/>
          <w:szCs w:val="52"/>
        </w:rPr>
        <w:t xml:space="preserve">FMCG Sales &amp; Performance Analytics</w:t>
      </w:r>
    </w:p>
    <w:p>
      <w:pPr>
        <w:spacing w:before="0" w:after="60"/>
        <w:jc w:val="center"/>
      </w:pPr>
      <w:r>
        <w:rPr>
          <w:rFonts w:ascii="Arial" w:cs="Arial" w:eastAsia="Arial" w:hAnsi="Arial"/>
          <w:i/>
          <w:iCs/>
          <w:color w:val="444444"/>
          <w:sz w:val="26"/>
          <w:szCs w:val="26"/>
        </w:rPr>
        <w:t xml:space="preserve">Excel MIS Project Report</w:t>
      </w:r>
    </w:p>
    <w:p>
      <w:pPr>
        <w:spacing w:before="0" w:after="40"/>
        <w:jc w:val="center"/>
      </w:pPr>
      <w:r>
        <w:rPr>
          <w:rFonts w:ascii="Arial" w:cs="Arial" w:eastAsia="Arial" w:hAnsi="Arial"/>
          <w:b/>
          <w:bCs/>
          <w:color w:val="2E75B6"/>
          <w:sz w:val="22"/>
          <w:szCs w:val="22"/>
        </w:rPr>
        <w:t xml:space="preserve">SunRise Consumer Goods Pvt. Ltd.</w:t>
      </w:r>
    </w:p>
    <w:p>
      <w:pPr>
        <w:spacing w:before="0" w:after="200"/>
        <w:jc w:val="center"/>
      </w:pPr>
      <w:r>
        <w:rPr>
          <w:rFonts w:ascii="Arial" w:cs="Arial" w:eastAsia="Arial" w:hAnsi="Arial"/>
          <w:color w:val="444444"/>
          <w:sz w:val="19"/>
          <w:szCs w:val="19"/>
        </w:rPr>
        <w:t xml:space="preserve">Tools: Microsoft Excel  |  Domain: FMCG  |  Period: FY2022-23 &amp; FY2023-24</w:t>
      </w:r>
    </w:p>
    <w:p>
      <w:pPr>
        <w:pBdr>
          <w:bottom w:val="single" w:color="1F4E79" w:sz="12" w:space="2"/>
        </w:pBdr>
        <w:spacing w:before="300" w:after="100"/>
      </w:pPr>
      <w:r>
        <w:rPr>
          <w:rFonts w:ascii="Arial" w:cs="Arial" w:eastAsia="Arial" w:hAnsi="Arial"/>
          <w:b/>
          <w:bCs/>
          <w:color w:val="1F4E79"/>
          <w:sz w:val="30"/>
          <w:szCs w:val="30"/>
        </w:rPr>
        <w:t xml:space="preserve">1. Company Background</w:t>
      </w:r>
    </w:p>
    <w:p>
      <w:pPr>
        <w:spacing w:before="80" w:after="0"/>
      </w:pPr>
      <w:r>
        <w:t xml:space="preserve"/>
      </w:r>
    </w:p>
    <w:p>
      <w:pPr>
        <w:spacing w:before="60" w:after="60"/>
      </w:pPr>
      <w:r>
        <w:rPr>
          <w:rFonts w:ascii="Arial" w:cs="Arial" w:eastAsia="Arial" w:hAnsi="Arial"/>
          <w:color w:val="1A1A1A"/>
          <w:sz w:val="20"/>
          <w:szCs w:val="20"/>
        </w:rPr>
        <w:t xml:space="preserve">SunRise Consumer Goods Pvt. Ltd. is a mid-sized Indian FMCG company headquartered in Mumbai. The company manufactures and sells products across three major categories — Personal Care (Hair Care, Skin Care, Oral Care), Household (Home Care, Laundry), and Food &amp; Beverage (Breakfast, Beverages, Cooking Oil, Snacks).</w:t>
      </w:r>
    </w:p>
    <w:p>
      <w:pPr>
        <w:spacing w:before="60" w:after="0"/>
      </w:pPr>
      <w:r>
        <w:t xml:space="preserve"/>
      </w:r>
    </w:p>
    <w:p>
      <w:pPr>
        <w:spacing w:before="60" w:after="60"/>
      </w:pPr>
      <w:r>
        <w:rPr>
          <w:rFonts w:ascii="Arial" w:cs="Arial" w:eastAsia="Arial" w:hAnsi="Arial"/>
          <w:color w:val="1A1A1A"/>
          <w:sz w:val="20"/>
          <w:szCs w:val="20"/>
        </w:rPr>
        <w:t xml:space="preserve">The company operates across four regions — North, South, East, and West — and sells through three channels: Modern Trade (DMart, Reliance Retail, Big Bazaar, Spencer's), E-Commerce (Amazon Fresh, Flipkart Wholesale, JioMart), and General Trade (local kirana stores and wholesale distributors).</w:t>
      </w:r>
    </w:p>
    <w:p>
      <w:pPr>
        <w:spacing w:before="120" w:after="0"/>
      </w:pPr>
      <w:r>
        <w:t xml:space="preserve"/>
      </w:r>
    </w:p>
    <w:p>
      <w:pPr>
        <w:pBdr>
          <w:bottom w:val="single" w:color="1F4E79" w:sz="12" w:space="2"/>
        </w:pBdr>
        <w:spacing w:before="300" w:after="100"/>
      </w:pPr>
      <w:r>
        <w:rPr>
          <w:rFonts w:ascii="Arial" w:cs="Arial" w:eastAsia="Arial" w:hAnsi="Arial"/>
          <w:b/>
          <w:bCs/>
          <w:color w:val="1F4E79"/>
          <w:sz w:val="30"/>
          <w:szCs w:val="30"/>
        </w:rPr>
        <w:t xml:space="preserve">2. Business Problem Statement</w:t>
      </w:r>
    </w:p>
    <w:p>
      <w:pPr>
        <w:spacing w:before="80" w:after="0"/>
      </w:pPr>
      <w:r>
        <w:t xml:space="preserve"/>
      </w:r>
    </w:p>
    <w:p>
      <w:pPr>
        <w:spacing w:before="60" w:after="60"/>
      </w:pPr>
      <w:r>
        <w:rPr>
          <w:rFonts w:ascii="Arial" w:cs="Arial" w:eastAsia="Arial" w:hAnsi="Arial"/>
          <w:color w:val="1A1A1A"/>
          <w:sz w:val="20"/>
          <w:szCs w:val="20"/>
        </w:rPr>
        <w:t xml:space="preserve">SunRise Consumer Goods had no structured reporting system to track sales performance across customers, regions, products, and channels. The VP of Sales raised the following key concerns:</w:t>
      </w:r>
    </w:p>
    <w:p>
      <w:pPr>
        <w:spacing w:before="60" w:after="0"/>
      </w:pPr>
      <w:r>
        <w:t xml:space="preserve"/>
      </w:r>
    </w:p>
    <w:p>
      <w:pPr>
        <w:pStyle w:val="ListParagraph"/>
        <w:numPr>
          <w:ilvl w:val="0"/>
          <w:numId w:val="2"/>
        </w:numPr>
        <w:spacing w:before="60" w:after="60"/>
      </w:pPr>
      <w:r>
        <w:rPr>
          <w:rFonts w:ascii="Arial" w:cs="Arial" w:eastAsia="Arial" w:hAnsi="Arial"/>
          <w:color w:val="444444"/>
          <w:sz w:val="20"/>
          <w:szCs w:val="20"/>
        </w:rPr>
        <w:t xml:space="preserve">No visibility into which customers were growing or declining year over year</w:t>
      </w:r>
    </w:p>
    <w:p>
      <w:pPr>
        <w:pStyle w:val="ListParagraph"/>
        <w:numPr>
          <w:ilvl w:val="0"/>
          <w:numId w:val="2"/>
        </w:numPr>
        <w:spacing w:before="60" w:after="60"/>
      </w:pPr>
      <w:r>
        <w:rPr>
          <w:rFonts w:ascii="Arial" w:cs="Arial" w:eastAsia="Arial" w:hAnsi="Arial"/>
          <w:color w:val="444444"/>
          <w:sz w:val="20"/>
          <w:szCs w:val="20"/>
        </w:rPr>
        <w:t xml:space="preserve">No tracking of whether regional sales teams were hitting monthly targets</w:t>
      </w:r>
    </w:p>
    <w:p>
      <w:pPr>
        <w:pStyle w:val="ListParagraph"/>
        <w:numPr>
          <w:ilvl w:val="0"/>
          <w:numId w:val="2"/>
        </w:numPr>
        <w:spacing w:before="60" w:after="60"/>
      </w:pPr>
      <w:r>
        <w:rPr>
          <w:rFonts w:ascii="Arial" w:cs="Arial" w:eastAsia="Arial" w:hAnsi="Arial"/>
          <w:color w:val="444444"/>
          <w:sz w:val="20"/>
          <w:szCs w:val="20"/>
        </w:rPr>
        <w:t xml:space="preserve">No product-level profitability analysis to identify margin leaders and laggards</w:t>
      </w:r>
    </w:p>
    <w:p>
      <w:pPr>
        <w:pStyle w:val="ListParagraph"/>
        <w:numPr>
          <w:ilvl w:val="0"/>
          <w:numId w:val="2"/>
        </w:numPr>
        <w:spacing w:before="60" w:after="60"/>
      </w:pPr>
      <w:r>
        <w:rPr>
          <w:rFonts w:ascii="Arial" w:cs="Arial" w:eastAsia="Arial" w:hAnsi="Arial"/>
          <w:color w:val="444444"/>
          <w:sz w:val="20"/>
          <w:szCs w:val="20"/>
        </w:rPr>
        <w:t xml:space="preserve">No monthly P&amp;L view to track revenue and profit trends over the fiscal year</w:t>
      </w:r>
    </w:p>
    <w:p>
      <w:pPr>
        <w:pStyle w:val="ListParagraph"/>
        <w:numPr>
          <w:ilvl w:val="0"/>
          <w:numId w:val="2"/>
        </w:numPr>
        <w:spacing w:before="60" w:after="60"/>
      </w:pPr>
      <w:r>
        <w:rPr>
          <w:rFonts w:ascii="Arial" w:cs="Arial" w:eastAsia="Arial" w:hAnsi="Arial"/>
          <w:color w:val="444444"/>
          <w:sz w:val="20"/>
          <w:szCs w:val="20"/>
        </w:rPr>
        <w:t xml:space="preserve">No channel-wise breakdown to understand which channel was most profitable</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E2EFDA" w:val="clear"/>
            <w:tcMar>
              <w:top w:type="dxa" w:w="120"/>
              <w:left w:type="dxa" w:w="180"/>
              <w:bottom w:type="dxa" w:w="120"/>
              <w:right w:type="dxa" w:w="180"/>
            </w:tcMar>
          </w:tcPr>
          <w:p>
            <w:pPr>
              <w:spacing w:before="0" w:after="60"/>
            </w:pPr>
            <w:r>
              <w:rPr>
                <w:rFonts w:ascii="Arial" w:cs="Arial" w:eastAsia="Arial" w:hAnsi="Arial"/>
                <w:b/>
                <w:bCs/>
                <w:color w:val="375623"/>
                <w:sz w:val="21"/>
                <w:szCs w:val="21"/>
              </w:rPr>
              <w:t xml:space="preserve">Objective</w:t>
            </w:r>
          </w:p>
          <w:p>
            <w:r>
              <w:rPr>
                <w:rFonts w:ascii="Arial" w:cs="Arial" w:eastAsia="Arial" w:hAnsi="Arial"/>
                <w:color w:val="1A1A1A"/>
                <w:sz w:val="20"/>
                <w:szCs w:val="20"/>
              </w:rPr>
              <w:t xml:space="preserve">As MIS Analyst, I was tasked with analyzing 2 years of sales data (FY2022-23 and FY2023-24) and building 5 professional MIS reports in Excel to support data-driven business decision making.</w:t>
            </w:r>
          </w:p>
        </w:tc>
      </w:tr>
    </w:tbl>
    <w:p>
      <w:pPr>
        <w:spacing w:before="120" w:after="0"/>
      </w:pPr>
      <w:r>
        <w:t xml:space="preserve"/>
      </w:r>
    </w:p>
    <w:p>
      <w:pPr>
        <w:pBdr>
          <w:bottom w:val="single" w:color="1F4E79" w:sz="12" w:space="2"/>
        </w:pBdr>
        <w:spacing w:before="300" w:after="100"/>
      </w:pPr>
      <w:r>
        <w:rPr>
          <w:rFonts w:ascii="Arial" w:cs="Arial" w:eastAsia="Arial" w:hAnsi="Arial"/>
          <w:b/>
          <w:bCs/>
          <w:color w:val="1F4E79"/>
          <w:sz w:val="30"/>
          <w:szCs w:val="30"/>
        </w:rPr>
        <w:t xml:space="preserve">3. Dataset Overview</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rPr>
          <w:tblHeader/>
        </w:trPr>
        <w:tc>
          <w:tcPr>
            <w:tcW w:type="dxa" w:w="3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Parameter</w:t>
            </w:r>
          </w:p>
        </w:tc>
        <w:tc>
          <w:tcPr>
            <w:tcW w:type="dxa" w:w="5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Details</w:t>
            </w:r>
          </w:p>
        </w:tc>
      </w:tr>
      <w:tr>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Total Transactions</w:t>
            </w:r>
          </w:p>
        </w:tc>
        <w:tc>
          <w:tcPr>
            <w:tcW w:type="dxa" w:w="5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9,651 orders</w:t>
            </w:r>
          </w:p>
        </w:tc>
      </w:tr>
      <w:tr>
        <w:tc>
          <w:tcPr>
            <w:tcW w:type="dxa" w:w="3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Time Period</w:t>
            </w:r>
          </w:p>
        </w:tc>
        <w:tc>
          <w:tcPr>
            <w:tcW w:type="dxa" w:w="57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April 2022 to March 2024</w:t>
            </w:r>
          </w:p>
        </w:tc>
      </w:tr>
      <w:tr>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Fiscal Years Covered</w:t>
            </w:r>
          </w:p>
        </w:tc>
        <w:tc>
          <w:tcPr>
            <w:tcW w:type="dxa" w:w="5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FY2022-23 and FY2023-24</w:t>
            </w:r>
          </w:p>
        </w:tc>
      </w:tr>
      <w:tr>
        <w:tc>
          <w:tcPr>
            <w:tcW w:type="dxa" w:w="3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Total Customers</w:t>
            </w:r>
          </w:p>
        </w:tc>
        <w:tc>
          <w:tcPr>
            <w:tcW w:type="dxa" w:w="57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20 customers</w:t>
            </w:r>
          </w:p>
        </w:tc>
      </w:tr>
      <w:tr>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Total Products</w:t>
            </w:r>
          </w:p>
        </w:tc>
        <w:tc>
          <w:tcPr>
            <w:tcW w:type="dxa" w:w="5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25 products</w:t>
            </w:r>
          </w:p>
        </w:tc>
      </w:tr>
      <w:tr>
        <w:tc>
          <w:tcPr>
            <w:tcW w:type="dxa" w:w="3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Regions</w:t>
            </w:r>
          </w:p>
        </w:tc>
        <w:tc>
          <w:tcPr>
            <w:tcW w:type="dxa" w:w="57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North, South, East, West</w:t>
            </w:r>
          </w:p>
        </w:tc>
      </w:tr>
      <w:tr>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Sales Channels</w:t>
            </w:r>
          </w:p>
        </w:tc>
        <w:tc>
          <w:tcPr>
            <w:tcW w:type="dxa" w:w="5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Modern Trade, E-Commerce, General Trade</w:t>
            </w:r>
          </w:p>
        </w:tc>
      </w:tr>
      <w:tr>
        <w:tc>
          <w:tcPr>
            <w:tcW w:type="dxa" w:w="3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Total Company Revenue</w:t>
            </w:r>
          </w:p>
        </w:tc>
        <w:tc>
          <w:tcPr>
            <w:tcW w:type="dxa" w:w="57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Rs. 18.49 Crore (both years combined)</w:t>
            </w:r>
          </w:p>
        </w:tc>
      </w:tr>
    </w:tbl>
    <w:p>
      <w:pPr>
        <w:spacing w:before="120" w:after="0"/>
      </w:pPr>
      <w:r>
        <w:t xml:space="preserve"/>
      </w:r>
    </w:p>
    <w:p>
      <w:pPr>
        <w:pBdr>
          <w:bottom w:val="single" w:color="1F4E79" w:sz="12" w:space="2"/>
        </w:pBdr>
        <w:spacing w:before="300" w:after="100"/>
      </w:pPr>
      <w:r>
        <w:rPr>
          <w:rFonts w:ascii="Arial" w:cs="Arial" w:eastAsia="Arial" w:hAnsi="Arial"/>
          <w:b/>
          <w:bCs/>
          <w:color w:val="1F4E79"/>
          <w:sz w:val="30"/>
          <w:szCs w:val="30"/>
        </w:rPr>
        <w:t xml:space="preserve">4. Reports &amp; Key Findings</w:t>
      </w:r>
    </w:p>
    <w:p>
      <w:pPr>
        <w:spacing w:before="80" w:after="0"/>
      </w:pPr>
      <w:r>
        <w:t xml:space="preserve"/>
      </w:r>
    </w:p>
    <w:p>
      <w:pPr>
        <w:spacing w:before="240" w:after="80"/>
      </w:pPr>
      <w:r>
        <w:rPr>
          <w:rFonts w:ascii="Arial" w:cs="Arial" w:eastAsia="Arial" w:hAnsi="Arial"/>
          <w:b/>
          <w:bCs/>
          <w:color w:val="2E75B6"/>
          <w:sz w:val="24"/>
          <w:szCs w:val="24"/>
        </w:rPr>
        <w:t xml:space="preserve">Report 1 — Customer Net Sales Performance</w:t>
      </w:r>
    </w:p>
    <w:p>
      <w:pPr>
        <w:spacing w:before="60" w:after="0"/>
      </w:pPr>
      <w:r>
        <w:t xml:space="preserve"/>
      </w:r>
    </w:p>
    <w:p>
      <w:pPr>
        <w:spacing w:before="60" w:after="60"/>
      </w:pPr>
      <w:r>
        <w:rPr>
          <w:rFonts w:ascii="Arial" w:cs="Arial" w:eastAsia="Arial" w:hAnsi="Arial"/>
          <w:color w:val="1A1A1A"/>
          <w:sz w:val="20"/>
          <w:szCs w:val="20"/>
        </w:rPr>
        <w:t xml:space="preserve">This report tracks each customer's Net Sales in FY2022-23 vs FY2023-24 and calculates Year-over-Year growth percentage to identify top growing and declining accounts.</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00"/>
        <w:gridCol w:w="4700"/>
      </w:tblGrid>
      <w:tr>
        <w:trPr>
          <w:tblHeader/>
        </w:trPr>
        <w:tc>
          <w:tcPr>
            <w:tcW w:type="dxa" w:w="4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Metric</w:t>
            </w:r>
          </w:p>
        </w:tc>
        <w:tc>
          <w:tcPr>
            <w:tcW w:type="dxa" w:w="4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Value</w:t>
            </w:r>
          </w:p>
        </w:tc>
      </w:tr>
      <w:tr>
        <w:tc>
          <w:tcPr>
            <w:tcW w:type="dxa" w:w="4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Total Company Net Sales FY2022-23</w:t>
            </w:r>
          </w:p>
        </w:tc>
        <w:tc>
          <w:tcPr>
            <w:tcW w:type="dxa" w:w="4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Rs. 9.04 Crore</w:t>
            </w:r>
          </w:p>
        </w:tc>
      </w:tr>
      <w:tr>
        <w:tc>
          <w:tcPr>
            <w:tcW w:type="dxa" w:w="4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Total Company Net Sales FY2023-24</w:t>
            </w:r>
          </w:p>
        </w:tc>
        <w:tc>
          <w:tcPr>
            <w:tcW w:type="dxa" w:w="47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Rs. 9.45 Crore</w:t>
            </w:r>
          </w:p>
        </w:tc>
      </w:tr>
      <w:tr>
        <w:tc>
          <w:tcPr>
            <w:tcW w:type="dxa" w:w="4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Overall Company Growth</w:t>
            </w:r>
          </w:p>
        </w:tc>
        <w:tc>
          <w:tcPr>
            <w:tcW w:type="dxa" w:w="4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+4.6% YoY</w:t>
            </w:r>
          </w:p>
        </w:tc>
      </w:tr>
      <w:tr>
        <w:tc>
          <w:tcPr>
            <w:tcW w:type="dxa" w:w="4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Top Customer FY2023-24</w:t>
            </w:r>
          </w:p>
        </w:tc>
        <w:tc>
          <w:tcPr>
            <w:tcW w:type="dxa" w:w="47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Sharma General Store — Rs. 52.3 Lakh</w:t>
            </w:r>
          </w:p>
        </w:tc>
      </w:tr>
      <w:tr>
        <w:tc>
          <w:tcPr>
            <w:tcW w:type="dxa" w:w="4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Fastest Growing Customer</w:t>
            </w:r>
          </w:p>
        </w:tc>
        <w:tc>
          <w:tcPr>
            <w:tcW w:type="dxa" w:w="4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Reliance Retail — +17.5% YoY growth</w:t>
            </w:r>
          </w:p>
        </w:tc>
      </w:tr>
      <w:tr>
        <w:tc>
          <w:tcPr>
            <w:tcW w:type="dxa" w:w="4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2nd Fastest Growing</w:t>
            </w:r>
          </w:p>
        </w:tc>
        <w:tc>
          <w:tcPr>
            <w:tcW w:type="dxa" w:w="47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Reddy Traders — +16.7% YoY growth</w:t>
            </w:r>
          </w:p>
        </w:tc>
      </w:tr>
      <w:tr>
        <w:tc>
          <w:tcPr>
            <w:tcW w:type="dxa" w:w="4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3rd Fastest Growing</w:t>
            </w:r>
          </w:p>
        </w:tc>
        <w:tc>
          <w:tcPr>
            <w:tcW w:type="dxa" w:w="4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Sharma General Store — +16.3% YoY growth</w:t>
            </w:r>
          </w:p>
        </w:tc>
      </w:tr>
      <w:tr>
        <w:tc>
          <w:tcPr>
            <w:tcW w:type="dxa" w:w="4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Biggest Declining Customer</w:t>
            </w:r>
          </w:p>
        </w:tc>
        <w:tc>
          <w:tcPr>
            <w:tcW w:type="dxa" w:w="47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Spencer's — -15.3% YoY decline</w:t>
            </w:r>
          </w:p>
        </w:tc>
      </w:tr>
      <w:tr>
        <w:tc>
          <w:tcPr>
            <w:tcW w:type="dxa" w:w="4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2nd Declining Customer</w:t>
            </w:r>
          </w:p>
        </w:tc>
        <w:tc>
          <w:tcPr>
            <w:tcW w:type="dxa" w:w="4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DMart — -15.0% YoY decline</w:t>
            </w:r>
          </w:p>
        </w:tc>
      </w:tr>
      <w:tr>
        <w:tc>
          <w:tcPr>
            <w:tcW w:type="dxa" w:w="4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3rd Declining Customer</w:t>
            </w:r>
          </w:p>
        </w:tc>
        <w:tc>
          <w:tcPr>
            <w:tcW w:type="dxa" w:w="47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Flipkart Wholesale — -6.8% YoY decline</w:t>
            </w:r>
          </w:p>
        </w:tc>
      </w:tr>
      <w:tr>
        <w:tc>
          <w:tcPr>
            <w:tcW w:type="dxa" w:w="4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Customers with Negative Growth</w:t>
            </w:r>
          </w:p>
        </w:tc>
        <w:tc>
          <w:tcPr>
            <w:tcW w:type="dxa" w:w="4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4 out of 20 customers declined</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EBF3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Key Insight</w:t>
            </w:r>
          </w:p>
          <w:p>
            <w:r>
              <w:rPr>
                <w:rFonts w:ascii="Arial" w:cs="Arial" w:eastAsia="Arial" w:hAnsi="Arial"/>
                <w:color w:val="1A1A1A"/>
                <w:sz w:val="20"/>
                <w:szCs w:val="20"/>
              </w:rPr>
              <w:t xml:space="preserve">While the overall company grew 4.6%, growth is uneven. General Trade customers like Reliance Retail and Sharma General Store are growing strongly while Modern Trade giants DMart and Spencer's are declining — suggesting a shift in consumer buying patterns towards neighbourhood retail.</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E2EFDA" w:val="clear"/>
            <w:tcMar>
              <w:top w:type="dxa" w:w="120"/>
              <w:left w:type="dxa" w:w="180"/>
              <w:bottom w:type="dxa" w:w="120"/>
              <w:right w:type="dxa" w:w="180"/>
            </w:tcMar>
          </w:tcPr>
          <w:p>
            <w:pPr>
              <w:spacing w:before="0" w:after="60"/>
            </w:pPr>
            <w:r>
              <w:rPr>
                <w:rFonts w:ascii="Arial" w:cs="Arial" w:eastAsia="Arial" w:hAnsi="Arial"/>
                <w:b/>
                <w:bCs/>
                <w:color w:val="375623"/>
                <w:sz w:val="21"/>
                <w:szCs w:val="21"/>
              </w:rPr>
              <w:t xml:space="preserve">Business Recommendation</w:t>
            </w:r>
          </w:p>
          <w:p>
            <w:r>
              <w:rPr>
                <w:rFonts w:ascii="Arial" w:cs="Arial" w:eastAsia="Arial" w:hAnsi="Arial"/>
                <w:color w:val="1A1A1A"/>
                <w:sz w:val="20"/>
                <w:szCs w:val="20"/>
              </w:rPr>
              <w:t xml:space="preserve">Prioritize retention strategies for DMart and Spencer's. Investigate why these large Modern Trade accounts are declining. Simultaneously increase investment in high-growth General Trade accounts.</w:t>
            </w:r>
          </w:p>
        </w:tc>
      </w:tr>
    </w:tbl>
    <w:p>
      <w:pPr>
        <w:spacing w:before="120" w:after="0"/>
      </w:pPr>
      <w:r>
        <w:t xml:space="preserve"/>
      </w:r>
    </w:p>
    <w:p>
      <w:pPr>
        <w:spacing w:before="240" w:after="80"/>
      </w:pPr>
      <w:r>
        <w:rPr>
          <w:rFonts w:ascii="Arial" w:cs="Arial" w:eastAsia="Arial" w:hAnsi="Arial"/>
          <w:b/>
          <w:bCs/>
          <w:color w:val="2E75B6"/>
          <w:sz w:val="24"/>
          <w:szCs w:val="24"/>
        </w:rPr>
        <w:t xml:space="preserve">Report 2 — Region vs Target Performance</w:t>
      </w:r>
    </w:p>
    <w:p>
      <w:pPr>
        <w:spacing w:before="60" w:after="0"/>
      </w:pPr>
      <w:r>
        <w:t xml:space="preserve"/>
      </w:r>
    </w:p>
    <w:p>
      <w:pPr>
        <w:spacing w:before="60" w:after="60"/>
      </w:pPr>
      <w:r>
        <w:rPr>
          <w:rFonts w:ascii="Arial" w:cs="Arial" w:eastAsia="Arial" w:hAnsi="Arial"/>
          <w:color w:val="1A1A1A"/>
          <w:sz w:val="20"/>
          <w:szCs w:val="20"/>
        </w:rPr>
        <w:t xml:space="preserve">This report compares actual monthly Net Sales against targets for each region in FY2023-24 to identify regional performance gaps.</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70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Region</w:t>
            </w:r>
          </w:p>
        </w:tc>
        <w:tc>
          <w:tcPr>
            <w:tcW w:type="dxa" w:w="3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Total Actual Net Sales</w:t>
            </w:r>
          </w:p>
        </w:tc>
        <w:tc>
          <w:tcPr>
            <w:tcW w:type="dxa" w:w="2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Observation</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North</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Rs. 2.87 Crore (highest)</w:t>
            </w:r>
          </w:p>
        </w:tc>
        <w:tc>
          <w:tcPr>
            <w:tcW w:type="dxa" w:w="2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Consistently strong performer</w:t>
            </w:r>
          </w:p>
        </w:tc>
      </w:tr>
      <w:tr>
        <w:tc>
          <w:tcPr>
            <w:tcW w:type="dxa" w:w="30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South</w:t>
            </w:r>
          </w:p>
        </w:tc>
        <w:tc>
          <w:tcPr>
            <w:tcW w:type="dxa" w:w="3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Rs. 2.41 Crore</w:t>
            </w:r>
          </w:p>
        </w:tc>
        <w:tc>
          <w:tcPr>
            <w:tcW w:type="dxa" w:w="27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Mid-range performance</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West</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Rs. 2.18 Crore</w:t>
            </w:r>
          </w:p>
        </w:tc>
        <w:tc>
          <w:tcPr>
            <w:tcW w:type="dxa" w:w="2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Improving trend</w:t>
            </w:r>
          </w:p>
        </w:tc>
      </w:tr>
      <w:tr>
        <w:tc>
          <w:tcPr>
            <w:tcW w:type="dxa" w:w="30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East</w:t>
            </w:r>
          </w:p>
        </w:tc>
        <w:tc>
          <w:tcPr>
            <w:tcW w:type="dxa" w:w="3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Rs. 1.86 Crore (lowest)</w:t>
            </w:r>
          </w:p>
        </w:tc>
        <w:tc>
          <w:tcPr>
            <w:tcW w:type="dxa" w:w="27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Needs attention</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Best Month Overall</w:t>
            </w:r>
          </w:p>
        </w:tc>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March 2024 — Rs. 88.4 Lakh</w:t>
            </w:r>
          </w:p>
        </w:tc>
        <w:tc>
          <w:tcPr>
            <w:tcW w:type="dxa" w:w="2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Strong year end</w:t>
            </w:r>
          </w:p>
        </w:tc>
      </w:tr>
      <w:tr>
        <w:tc>
          <w:tcPr>
            <w:tcW w:type="dxa" w:w="30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Weakest Month Overall</w:t>
            </w:r>
          </w:p>
        </w:tc>
        <w:tc>
          <w:tcPr>
            <w:tcW w:type="dxa" w:w="3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May 2023 — Rs. 72.0 Lakh</w:t>
            </w:r>
          </w:p>
        </w:tc>
        <w:tc>
          <w:tcPr>
            <w:tcW w:type="dxa" w:w="27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Post quarter dip</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EBF3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Key Insight</w:t>
            </w:r>
          </w:p>
          <w:p>
            <w:r>
              <w:rPr>
                <w:rFonts w:ascii="Arial" w:cs="Arial" w:eastAsia="Arial" w:hAnsi="Arial"/>
                <w:color w:val="1A1A1A"/>
                <w:sz w:val="20"/>
                <w:szCs w:val="20"/>
              </w:rPr>
              <w:t xml:space="preserve">North region is the strongest performer contributing the highest Net Sales. East region is the weakest and needs focused sales efforts. March 2024 was the best month suggesting strong year-end push by the sales team.</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E2EFDA" w:val="clear"/>
            <w:tcMar>
              <w:top w:type="dxa" w:w="120"/>
              <w:left w:type="dxa" w:w="180"/>
              <w:bottom w:type="dxa" w:w="120"/>
              <w:right w:type="dxa" w:w="180"/>
            </w:tcMar>
          </w:tcPr>
          <w:p>
            <w:pPr>
              <w:spacing w:before="0" w:after="60"/>
            </w:pPr>
            <w:r>
              <w:rPr>
                <w:rFonts w:ascii="Arial" w:cs="Arial" w:eastAsia="Arial" w:hAnsi="Arial"/>
                <w:b/>
                <w:bCs/>
                <w:color w:val="375623"/>
                <w:sz w:val="21"/>
                <w:szCs w:val="21"/>
              </w:rPr>
              <w:t xml:space="preserve">Business Recommendation</w:t>
            </w:r>
          </w:p>
          <w:p>
            <w:r>
              <w:rPr>
                <w:rFonts w:ascii="Arial" w:cs="Arial" w:eastAsia="Arial" w:hAnsi="Arial"/>
                <w:color w:val="1A1A1A"/>
                <w:sz w:val="20"/>
                <w:szCs w:val="20"/>
              </w:rPr>
              <w:t xml:space="preserve">Deploy additional sales resources and incentives in the East region. Analyze what the North region team is doing differently and replicate that approach across underperforming regions.</w:t>
            </w:r>
          </w:p>
        </w:tc>
      </w:tr>
    </w:tbl>
    <w:p>
      <w:pPr>
        <w:spacing w:before="120" w:after="0"/>
      </w:pPr>
      <w:r>
        <w:t xml:space="preserve"/>
      </w:r>
    </w:p>
    <w:p>
      <w:pPr>
        <w:spacing w:before="240" w:after="80"/>
      </w:pPr>
      <w:r>
        <w:rPr>
          <w:rFonts w:ascii="Arial" w:cs="Arial" w:eastAsia="Arial" w:hAnsi="Arial"/>
          <w:b/>
          <w:bCs/>
          <w:color w:val="2E75B6"/>
          <w:sz w:val="24"/>
          <w:szCs w:val="24"/>
        </w:rPr>
        <w:t xml:space="preserve">Report 3 — Monthly P&amp;L Summary</w:t>
      </w:r>
    </w:p>
    <w:p>
      <w:pPr>
        <w:spacing w:before="60" w:after="0"/>
      </w:pPr>
      <w:r>
        <w:t xml:space="preserve"/>
      </w:r>
    </w:p>
    <w:p>
      <w:pPr>
        <w:spacing w:before="60" w:after="60"/>
      </w:pPr>
      <w:r>
        <w:rPr>
          <w:rFonts w:ascii="Arial" w:cs="Arial" w:eastAsia="Arial" w:hAnsi="Arial"/>
          <w:color w:val="1A1A1A"/>
          <w:sz w:val="20"/>
          <w:szCs w:val="20"/>
        </w:rPr>
        <w:t xml:space="preserve">This report tracks monthly Gross Sales, Discount Amount, Net Sales, COGS, and Gross Profit for FY2023-24 to identify profitability trends across the year.</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00"/>
        <w:gridCol w:w="4700"/>
      </w:tblGrid>
      <w:tr>
        <w:trPr>
          <w:tblHeader/>
        </w:trPr>
        <w:tc>
          <w:tcPr>
            <w:tcW w:type="dxa" w:w="4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P&amp;L Metric</w:t>
            </w:r>
          </w:p>
        </w:tc>
        <w:tc>
          <w:tcPr>
            <w:tcW w:type="dxa" w:w="4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FY2023-24 Full Year</w:t>
            </w:r>
          </w:p>
        </w:tc>
      </w:tr>
      <w:tr>
        <w:tc>
          <w:tcPr>
            <w:tcW w:type="dxa" w:w="4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Total Gross Sales</w:t>
            </w:r>
          </w:p>
        </w:tc>
        <w:tc>
          <w:tcPr>
            <w:tcW w:type="dxa" w:w="4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Rs. 10.12 Crore</w:t>
            </w:r>
          </w:p>
        </w:tc>
      </w:tr>
      <w:tr>
        <w:tc>
          <w:tcPr>
            <w:tcW w:type="dxa" w:w="4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Total Discount Amount</w:t>
            </w:r>
          </w:p>
        </w:tc>
        <w:tc>
          <w:tcPr>
            <w:tcW w:type="dxa" w:w="47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Rs. 66.9 Lakh</w:t>
            </w:r>
          </w:p>
        </w:tc>
      </w:tr>
      <w:tr>
        <w:tc>
          <w:tcPr>
            <w:tcW w:type="dxa" w:w="4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Total Net Sales</w:t>
            </w:r>
          </w:p>
        </w:tc>
        <w:tc>
          <w:tcPr>
            <w:tcW w:type="dxa" w:w="4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Rs. 9.45 Crore</w:t>
            </w:r>
          </w:p>
        </w:tc>
      </w:tr>
      <w:tr>
        <w:tc>
          <w:tcPr>
            <w:tcW w:type="dxa" w:w="4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Total COGS</w:t>
            </w:r>
          </w:p>
        </w:tc>
        <w:tc>
          <w:tcPr>
            <w:tcW w:type="dxa" w:w="47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Rs. 5.60 Crore</w:t>
            </w:r>
          </w:p>
        </w:tc>
      </w:tr>
      <w:tr>
        <w:tc>
          <w:tcPr>
            <w:tcW w:type="dxa" w:w="4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Total Gross Profit</w:t>
            </w:r>
          </w:p>
        </w:tc>
        <w:tc>
          <w:tcPr>
            <w:tcW w:type="dxa" w:w="4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Rs. 3.85 Crore (approx)</w:t>
            </w:r>
          </w:p>
        </w:tc>
      </w:tr>
      <w:tr>
        <w:tc>
          <w:tcPr>
            <w:tcW w:type="dxa" w:w="4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Best Month by Net Sales</w:t>
            </w:r>
          </w:p>
        </w:tc>
        <w:tc>
          <w:tcPr>
            <w:tcW w:type="dxa" w:w="47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March 2024 — Rs. 88.4 Lakh</w:t>
            </w:r>
          </w:p>
        </w:tc>
      </w:tr>
      <w:tr>
        <w:tc>
          <w:tcPr>
            <w:tcW w:type="dxa" w:w="4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Weakest Month by Net Sales</w:t>
            </w:r>
          </w:p>
        </w:tc>
        <w:tc>
          <w:tcPr>
            <w:tcW w:type="dxa" w:w="4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October 2023 — Rs. 69.8 Lakh</w:t>
            </w:r>
          </w:p>
        </w:tc>
      </w:tr>
      <w:tr>
        <w:tc>
          <w:tcPr>
            <w:tcW w:type="dxa" w:w="4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Best Month by Gross Sales</w:t>
            </w:r>
          </w:p>
        </w:tc>
        <w:tc>
          <w:tcPr>
            <w:tcW w:type="dxa" w:w="47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March 2024 — Rs. 94.5 Lakh</w:t>
            </w:r>
          </w:p>
        </w:tc>
      </w:tr>
      <w:tr>
        <w:tc>
          <w:tcPr>
            <w:tcW w:type="dxa" w:w="4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H1 Net Sales (Apr-Sep 2023)</w:t>
            </w:r>
          </w:p>
        </w:tc>
        <w:tc>
          <w:tcPr>
            <w:tcW w:type="dxa" w:w="4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Rs. 47.5 Lakh (approx)</w:t>
            </w:r>
          </w:p>
        </w:tc>
      </w:tr>
      <w:tr>
        <w:tc>
          <w:tcPr>
            <w:tcW w:type="dxa" w:w="4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H2 Net Sales (Oct-Mar 2024)</w:t>
            </w:r>
          </w:p>
        </w:tc>
        <w:tc>
          <w:tcPr>
            <w:tcW w:type="dxa" w:w="47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Rs. 47.0 Lakh (approx)</w:t>
            </w:r>
          </w:p>
        </w:tc>
      </w:tr>
      <w:tr>
        <w:tc>
          <w:tcPr>
            <w:tcW w:type="dxa" w:w="4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Discount as % of Gross Sales</w:t>
            </w:r>
          </w:p>
        </w:tc>
        <w:tc>
          <w:tcPr>
            <w:tcW w:type="dxa" w:w="4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Approx 6.6%</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EBF3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Key Insight</w:t>
            </w:r>
          </w:p>
          <w:p>
            <w:r>
              <w:rPr>
                <w:rFonts w:ascii="Arial" w:cs="Arial" w:eastAsia="Arial" w:hAnsi="Arial"/>
                <w:color w:val="1A1A1A"/>
                <w:sz w:val="20"/>
                <w:szCs w:val="20"/>
              </w:rPr>
              <w:t xml:space="preserve">March 2024 was the strongest month in both revenue and gross sales — likely driven by year-end deals and festive demand. October 2023 was the weakest month, suggesting a post-festive slowdown. H1 and H2 performance is balanced showing consistent year-round business.</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E2EFDA" w:val="clear"/>
            <w:tcMar>
              <w:top w:type="dxa" w:w="120"/>
              <w:left w:type="dxa" w:w="180"/>
              <w:bottom w:type="dxa" w:w="120"/>
              <w:right w:type="dxa" w:w="180"/>
            </w:tcMar>
          </w:tcPr>
          <w:p>
            <w:pPr>
              <w:spacing w:before="0" w:after="60"/>
            </w:pPr>
            <w:r>
              <w:rPr>
                <w:rFonts w:ascii="Arial" w:cs="Arial" w:eastAsia="Arial" w:hAnsi="Arial"/>
                <w:b/>
                <w:bCs/>
                <w:color w:val="375623"/>
                <w:sz w:val="21"/>
                <w:szCs w:val="21"/>
              </w:rPr>
              <w:t xml:space="preserve">Business Recommendation</w:t>
            </w:r>
          </w:p>
          <w:p>
            <w:r>
              <w:rPr>
                <w:rFonts w:ascii="Arial" w:cs="Arial" w:eastAsia="Arial" w:hAnsi="Arial"/>
                <w:color w:val="1A1A1A"/>
                <w:sz w:val="20"/>
                <w:szCs w:val="20"/>
              </w:rPr>
              <w:t xml:space="preserve">Focus promotional activity in October to counter the seasonal dip. Explore cost reduction in COGS which forms over 59% of Net Sales — even a 2-3% reduction would significantly improve profitability.</w:t>
            </w:r>
          </w:p>
        </w:tc>
      </w:tr>
    </w:tbl>
    <w:p>
      <w:pPr>
        <w:spacing w:before="120" w:after="0"/>
      </w:pPr>
      <w:r>
        <w:t xml:space="preserve"/>
      </w:r>
    </w:p>
    <w:p>
      <w:pPr>
        <w:spacing w:before="240" w:after="80"/>
      </w:pPr>
      <w:r>
        <w:rPr>
          <w:rFonts w:ascii="Arial" w:cs="Arial" w:eastAsia="Arial" w:hAnsi="Arial"/>
          <w:b/>
          <w:bCs/>
          <w:color w:val="2E75B6"/>
          <w:sz w:val="24"/>
          <w:szCs w:val="24"/>
        </w:rPr>
        <w:t xml:space="preserve">Report 4 — Top 10 Product Performance</w:t>
      </w:r>
    </w:p>
    <w:p>
      <w:pPr>
        <w:spacing w:before="60" w:after="0"/>
      </w:pPr>
      <w:r>
        <w:t xml:space="preserve"/>
      </w:r>
    </w:p>
    <w:p>
      <w:pPr>
        <w:spacing w:before="60" w:after="60"/>
      </w:pPr>
      <w:r>
        <w:rPr>
          <w:rFonts w:ascii="Arial" w:cs="Arial" w:eastAsia="Arial" w:hAnsi="Arial"/>
          <w:color w:val="1A1A1A"/>
          <w:sz w:val="20"/>
          <w:szCs w:val="20"/>
        </w:rPr>
        <w:t xml:space="preserve">This report identifies the top 10 revenue-generating products in FY2023-24 and analyzes their gross profit contribution.</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600"/>
      </w:tblGrid>
      <w:tr>
        <w:trPr>
          <w:tblHeader/>
        </w:trPr>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Rank</w:t>
            </w:r>
          </w:p>
        </w:tc>
        <w:tc>
          <w:tcPr>
            <w:tcW w:type="dxa" w:w="3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Product</w:t>
            </w:r>
          </w:p>
        </w:tc>
        <w:tc>
          <w:tcPr>
            <w:tcW w:type="dxa" w:w="4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Net Sales</w:t>
            </w:r>
          </w:p>
        </w:tc>
      </w:tr>
      <w:tr>
        <w:tc>
          <w:tcPr>
            <w:tcW w:type="dxa" w:w="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w:t>
            </w:r>
          </w:p>
        </w:tc>
        <w:tc>
          <w:tcPr>
            <w:tcW w:type="dxa" w:w="3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SunGold Refined Oil 5L</w:t>
            </w:r>
          </w:p>
        </w:tc>
        <w:tc>
          <w:tcPr>
            <w:tcW w:type="dxa" w:w="4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Rs. 1.50 Crore — Highest revenue product</w:t>
            </w:r>
          </w:p>
        </w:tc>
      </w:tr>
      <w:tr>
        <w:tc>
          <w:tcPr>
            <w:tcW w:type="dxa" w:w="8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2</w:t>
            </w:r>
          </w:p>
        </w:tc>
        <w:tc>
          <w:tcPr>
            <w:tcW w:type="dxa" w:w="38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GreenLeaf Tea 500g</w:t>
            </w:r>
          </w:p>
        </w:tc>
        <w:tc>
          <w:tcPr>
            <w:tcW w:type="dxa" w:w="46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Rs. 78.7 Lakh</w:t>
            </w:r>
          </w:p>
        </w:tc>
      </w:tr>
      <w:tr>
        <w:tc>
          <w:tcPr>
            <w:tcW w:type="dxa" w:w="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3</w:t>
            </w:r>
          </w:p>
        </w:tc>
        <w:tc>
          <w:tcPr>
            <w:tcW w:type="dxa" w:w="3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PureWash Detergent 2kg</w:t>
            </w:r>
          </w:p>
        </w:tc>
        <w:tc>
          <w:tcPr>
            <w:tcW w:type="dxa" w:w="4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Rs. 73.2 Lakh</w:t>
            </w:r>
          </w:p>
        </w:tc>
      </w:tr>
      <w:tr>
        <w:tc>
          <w:tcPr>
            <w:tcW w:type="dxa" w:w="8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4</w:t>
            </w:r>
          </w:p>
        </w:tc>
        <w:tc>
          <w:tcPr>
            <w:tcW w:type="dxa" w:w="38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NutriMeal Oats 1kg</w:t>
            </w:r>
          </w:p>
        </w:tc>
        <w:tc>
          <w:tcPr>
            <w:tcW w:type="dxa" w:w="46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Rs. 61.7 Lakh</w:t>
            </w:r>
          </w:p>
        </w:tc>
      </w:tr>
      <w:tr>
        <w:tc>
          <w:tcPr>
            <w:tcW w:type="dxa" w:w="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5</w:t>
            </w:r>
          </w:p>
        </w:tc>
        <w:tc>
          <w:tcPr>
            <w:tcW w:type="dxa" w:w="3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SparkFloor Cleaner 2L</w:t>
            </w:r>
          </w:p>
        </w:tc>
        <w:tc>
          <w:tcPr>
            <w:tcW w:type="dxa" w:w="4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Rs. 52.5 Lakh</w:t>
            </w:r>
          </w:p>
        </w:tc>
      </w:tr>
      <w:tr>
        <w:tc>
          <w:tcPr>
            <w:tcW w:type="dxa" w:w="8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6</w:t>
            </w:r>
          </w:p>
        </w:tc>
        <w:tc>
          <w:tcPr>
            <w:tcW w:type="dxa" w:w="38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FreshBreeze Shampoo 340ml</w:t>
            </w:r>
          </w:p>
        </w:tc>
        <w:tc>
          <w:tcPr>
            <w:tcW w:type="dxa" w:w="46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Rs. 56.7 Lakh</w:t>
            </w:r>
          </w:p>
        </w:tc>
      </w:tr>
      <w:tr>
        <w:tc>
          <w:tcPr>
            <w:tcW w:type="dxa" w:w="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7</w:t>
            </w:r>
          </w:p>
        </w:tc>
        <w:tc>
          <w:tcPr>
            <w:tcW w:type="dxa" w:w="3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PureWash Detergent 1kg</w:t>
            </w:r>
          </w:p>
        </w:tc>
        <w:tc>
          <w:tcPr>
            <w:tcW w:type="dxa" w:w="4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Rs. 39.6 Lakh</w:t>
            </w:r>
          </w:p>
        </w:tc>
      </w:tr>
      <w:tr>
        <w:tc>
          <w:tcPr>
            <w:tcW w:type="dxa" w:w="8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8</w:t>
            </w:r>
          </w:p>
        </w:tc>
        <w:tc>
          <w:tcPr>
            <w:tcW w:type="dxa" w:w="38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Glow Face Wash 100g</w:t>
            </w:r>
          </w:p>
        </w:tc>
        <w:tc>
          <w:tcPr>
            <w:tcW w:type="dxa" w:w="46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Rs. 39.6 Lakh</w:t>
            </w:r>
          </w:p>
        </w:tc>
      </w:tr>
      <w:tr>
        <w:tc>
          <w:tcPr>
            <w:tcW w:type="dxa" w:w="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9</w:t>
            </w:r>
          </w:p>
        </w:tc>
        <w:tc>
          <w:tcPr>
            <w:tcW w:type="dxa" w:w="3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GreenLeaf Tea 250g</w:t>
            </w:r>
          </w:p>
        </w:tc>
        <w:tc>
          <w:tcPr>
            <w:tcW w:type="dxa" w:w="4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Rs. 36.3 Lakh</w:t>
            </w:r>
          </w:p>
        </w:tc>
      </w:tr>
      <w:tr>
        <w:tc>
          <w:tcPr>
            <w:tcW w:type="dxa" w:w="8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10</w:t>
            </w:r>
          </w:p>
        </w:tc>
        <w:tc>
          <w:tcPr>
            <w:tcW w:type="dxa" w:w="38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FreshBreeze Shampoo 180ml</w:t>
            </w:r>
          </w:p>
        </w:tc>
        <w:tc>
          <w:tcPr>
            <w:tcW w:type="dxa" w:w="46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Rs. 34.7 Lakh</w:t>
            </w:r>
          </w:p>
        </w:tc>
      </w:tr>
      <w:tr>
        <w:tc>
          <w:tcPr>
            <w:tcW w:type="dxa" w:w="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Top 10 Combined Contribution</w:t>
            </w:r>
          </w:p>
        </w:tc>
        <w:tc>
          <w:tcPr>
            <w:tcW w:type="dxa" w:w="3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Rs. 6.23 Crore</w:t>
            </w:r>
          </w:p>
        </w:tc>
        <w:tc>
          <w:tcPr>
            <w:tcW w:type="dxa" w:w="4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65.7% of total company revenue</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EBF3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Key Insight</w:t>
            </w:r>
          </w:p>
          <w:p>
            <w:r>
              <w:rPr>
                <w:rFonts w:ascii="Arial" w:cs="Arial" w:eastAsia="Arial" w:hAnsi="Arial"/>
                <w:color w:val="1A1A1A"/>
                <w:sz w:val="20"/>
                <w:szCs w:val="20"/>
              </w:rPr>
              <w:t xml:space="preserve">SunGold Refined Oil 5L is the single biggest revenue product contributing Rs. 1.50 Crore — nearly 16% of total company revenue alone. The Top 10 products contribute 65.7% of total revenue showing strong product concentration. Food &amp; Beverage products dominate the top 5.</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E2EFDA" w:val="clear"/>
            <w:tcMar>
              <w:top w:type="dxa" w:w="120"/>
              <w:left w:type="dxa" w:w="180"/>
              <w:bottom w:type="dxa" w:w="120"/>
              <w:right w:type="dxa" w:w="180"/>
            </w:tcMar>
          </w:tcPr>
          <w:p>
            <w:pPr>
              <w:spacing w:before="0" w:after="60"/>
            </w:pPr>
            <w:r>
              <w:rPr>
                <w:rFonts w:ascii="Arial" w:cs="Arial" w:eastAsia="Arial" w:hAnsi="Arial"/>
                <w:b/>
                <w:bCs/>
                <w:color w:val="375623"/>
                <w:sz w:val="21"/>
                <w:szCs w:val="21"/>
              </w:rPr>
              <w:t xml:space="preserve">Business Recommendation</w:t>
            </w:r>
          </w:p>
          <w:p>
            <w:r>
              <w:rPr>
                <w:rFonts w:ascii="Arial" w:cs="Arial" w:eastAsia="Arial" w:hAnsi="Arial"/>
                <w:color w:val="1A1A1A"/>
                <w:sz w:val="20"/>
                <w:szCs w:val="20"/>
              </w:rPr>
              <w:t xml:space="preserve">Protect availability and distribution of SunGold Refined Oil 5L at all costs — any supply disruption would severely impact revenue. Consider launching more variants in the Food &amp; Beverage category given its strong performance.</w:t>
            </w:r>
          </w:p>
        </w:tc>
      </w:tr>
    </w:tbl>
    <w:p>
      <w:pPr>
        <w:spacing w:before="120" w:after="0"/>
      </w:pPr>
      <w:r>
        <w:t xml:space="preserve"/>
      </w:r>
    </w:p>
    <w:p>
      <w:pPr>
        <w:spacing w:before="240" w:after="80"/>
      </w:pPr>
      <w:r>
        <w:rPr>
          <w:rFonts w:ascii="Arial" w:cs="Arial" w:eastAsia="Arial" w:hAnsi="Arial"/>
          <w:b/>
          <w:bCs/>
          <w:color w:val="2E75B6"/>
          <w:sz w:val="24"/>
          <w:szCs w:val="24"/>
        </w:rPr>
        <w:t xml:space="preserve">Report 5 — Channel Performance Analysis</w:t>
      </w:r>
    </w:p>
    <w:p>
      <w:pPr>
        <w:spacing w:before="60" w:after="0"/>
      </w:pPr>
      <w:r>
        <w:t xml:space="preserve"/>
      </w:r>
    </w:p>
    <w:p>
      <w:pPr>
        <w:spacing w:before="60" w:after="60"/>
      </w:pPr>
      <w:r>
        <w:rPr>
          <w:rFonts w:ascii="Arial" w:cs="Arial" w:eastAsia="Arial" w:hAnsi="Arial"/>
          <w:color w:val="1A1A1A"/>
          <w:sz w:val="20"/>
          <w:szCs w:val="20"/>
        </w:rPr>
        <w:t xml:space="preserve">This report compares Net Sales, growth rate, discount levels, and contribution across Modern Trade, E-Commerce, and General Trade channels.</w:t>
      </w:r>
    </w:p>
    <w:p>
      <w:pPr>
        <w:spacing w:before="80" w:after="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800"/>
        <w:gridCol w:w="2300"/>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Channel</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Total Net Sales (Both Years)</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Contribution %</w:t>
            </w:r>
          </w:p>
        </w:tc>
        <w:tc>
          <w:tcPr>
            <w:tcW w:type="dxa" w:w="2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YoY Growth</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General Trade</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Rs. 9.44 Crore</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51.1%</w:t>
            </w:r>
          </w:p>
        </w:tc>
        <w:tc>
          <w:tcPr>
            <w:tcW w:type="dxa" w:w="2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+7.0% — Fastest growing</w:t>
            </w:r>
          </w:p>
        </w:tc>
      </w:tr>
      <w:tr>
        <w:tc>
          <w:tcPr>
            <w:tcW w:type="dxa" w:w="2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Modern Trade</w:t>
            </w:r>
          </w:p>
        </w:tc>
        <w:tc>
          <w:tcPr>
            <w:tcW w:type="dxa" w:w="28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Rs. 6.55 Crore</w:t>
            </w:r>
          </w:p>
        </w:tc>
        <w:tc>
          <w:tcPr>
            <w:tcW w:type="dxa" w:w="18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35.5%</w:t>
            </w:r>
          </w:p>
        </w:tc>
        <w:tc>
          <w:tcPr>
            <w:tcW w:type="dxa" w:w="23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+2.0% — Slowest growing</w:t>
            </w:r>
          </w:p>
        </w:tc>
      </w:tr>
      <w:tr>
        <w:tc>
          <w:tcPr>
            <w:tcW w:type="dxa" w:w="2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E-Commerce</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Rs. 2.49 Crore</w:t>
            </w:r>
          </w:p>
        </w:tc>
        <w:tc>
          <w:tcPr>
            <w:tcW w:type="dxa" w:w="1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13.5%</w:t>
            </w:r>
          </w:p>
        </w:tc>
        <w:tc>
          <w:tcPr>
            <w:tcW w:type="dxa" w:w="23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+2.4%</w:t>
            </w:r>
          </w:p>
        </w:tc>
      </w:tr>
      <w:tr>
        <w:tc>
          <w:tcPr>
            <w:tcW w:type="dxa" w:w="2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Total</w:t>
            </w:r>
          </w:p>
        </w:tc>
        <w:tc>
          <w:tcPr>
            <w:tcW w:type="dxa" w:w="28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Rs. 18.49 Crore</w:t>
            </w:r>
          </w:p>
        </w:tc>
        <w:tc>
          <w:tcPr>
            <w:tcW w:type="dxa" w:w="18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100%</w:t>
            </w:r>
          </w:p>
        </w:tc>
        <w:tc>
          <w:tcPr>
            <w:tcW w:type="dxa" w:w="23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+4.6% overall</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40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Channel</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Avg Discount Amount</w:t>
            </w:r>
          </w:p>
        </w:tc>
        <w:tc>
          <w:tcPr>
            <w:tcW w:type="dxa" w:w="3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Observation</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E-Commerce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Rs. 2,578 per order</w:t>
            </w:r>
          </w:p>
        </w:tc>
        <w:tc>
          <w:tcPr>
            <w:tcW w:type="dxa" w:w="3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Highest discount — most expensive channel</w:t>
            </w:r>
          </w:p>
        </w:tc>
      </w:tr>
      <w:tr>
        <w:tc>
          <w:tcPr>
            <w:tcW w:type="dxa" w:w="28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Modern Trade</w:t>
            </w:r>
          </w:p>
        </w:tc>
        <w:tc>
          <w:tcPr>
            <w:tcW w:type="dxa" w:w="30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Rs. 1,824 per order</w:t>
            </w:r>
          </w:p>
        </w:tc>
        <w:tc>
          <w:tcPr>
            <w:tcW w:type="dxa" w:w="34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Medium discount</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General Trade</w:t>
            </w:r>
          </w:p>
        </w:tc>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Rs. 679 per order</w:t>
            </w:r>
          </w:p>
        </w:tc>
        <w:tc>
          <w:tcPr>
            <w:tcW w:type="dxa" w:w="3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Lowest discount — most efficient channel</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EBF3FB" w:val="clear"/>
            <w:tcMar>
              <w:top w:type="dxa" w:w="120"/>
              <w:left w:type="dxa" w:w="180"/>
              <w:bottom w:type="dxa" w:w="120"/>
              <w:right w:type="dxa" w:w="180"/>
            </w:tcMar>
          </w:tcPr>
          <w:p>
            <w:pPr>
              <w:spacing w:before="0" w:after="60"/>
            </w:pPr>
            <w:r>
              <w:rPr>
                <w:rFonts w:ascii="Arial" w:cs="Arial" w:eastAsia="Arial" w:hAnsi="Arial"/>
                <w:b/>
                <w:bCs/>
                <w:color w:val="1F4E79"/>
                <w:sz w:val="21"/>
                <w:szCs w:val="21"/>
              </w:rPr>
              <w:t xml:space="preserve">Key Insight</w:t>
            </w:r>
          </w:p>
          <w:p>
            <w:r>
              <w:rPr>
                <w:rFonts w:ascii="Arial" w:cs="Arial" w:eastAsia="Arial" w:hAnsi="Arial"/>
                <w:color w:val="1A1A1A"/>
                <w:sz w:val="20"/>
                <w:szCs w:val="20"/>
              </w:rPr>
              <w:t xml:space="preserve">General Trade is the largest and fastest growing channel contributing 51% of revenue with the lowest discount levels — making it the most profitable channel. E-Commerce gives the highest discounts per order making it the most expensive channel to service despite being the smallest revenue contributor.</w:t>
            </w:r>
          </w:p>
        </w:tc>
      </w:tr>
    </w:tbl>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E2EFDA" w:val="clear"/>
            <w:tcMar>
              <w:top w:type="dxa" w:w="120"/>
              <w:left w:type="dxa" w:w="180"/>
              <w:bottom w:type="dxa" w:w="120"/>
              <w:right w:type="dxa" w:w="180"/>
            </w:tcMar>
          </w:tcPr>
          <w:p>
            <w:pPr>
              <w:spacing w:before="0" w:after="60"/>
            </w:pPr>
            <w:r>
              <w:rPr>
                <w:rFonts w:ascii="Arial" w:cs="Arial" w:eastAsia="Arial" w:hAnsi="Arial"/>
                <w:b/>
                <w:bCs/>
                <w:color w:val="375623"/>
                <w:sz w:val="21"/>
                <w:szCs w:val="21"/>
              </w:rPr>
              <w:t xml:space="preserve">Business Recommendation</w:t>
            </w:r>
          </w:p>
          <w:p>
            <w:r>
              <w:rPr>
                <w:rFonts w:ascii="Arial" w:cs="Arial" w:eastAsia="Arial" w:hAnsi="Arial"/>
                <w:color w:val="1A1A1A"/>
                <w:sz w:val="20"/>
                <w:szCs w:val="20"/>
              </w:rPr>
              <w:t xml:space="preserve">Double down on General Trade expansion — it is the most profitable channel with the best growth momentum. Evaluate E-Commerce profitability carefully since high discounts may be eroding margins despite growing volume.</w:t>
            </w:r>
          </w:p>
        </w:tc>
      </w:tr>
    </w:tbl>
    <w:p>
      <w:pPr>
        <w:spacing w:before="120" w:after="0"/>
      </w:pPr>
      <w:r>
        <w:t xml:space="preserve"/>
      </w:r>
    </w:p>
    <w:p>
      <w:pPr>
        <w:pBdr>
          <w:bottom w:val="single" w:color="1F4E79" w:sz="12" w:space="2"/>
        </w:pBdr>
        <w:spacing w:before="300" w:after="100"/>
      </w:pPr>
      <w:r>
        <w:rPr>
          <w:rFonts w:ascii="Arial" w:cs="Arial" w:eastAsia="Arial" w:hAnsi="Arial"/>
          <w:b/>
          <w:bCs/>
          <w:color w:val="1F4E79"/>
          <w:sz w:val="30"/>
          <w:szCs w:val="30"/>
        </w:rPr>
        <w:t xml:space="preserve">5. Overall Business Insights</w:t>
      </w:r>
    </w:p>
    <w:p>
      <w:pPr>
        <w:spacing w:before="80" w:after="0"/>
      </w:pPr>
      <w:r>
        <w:t xml:space="preserve"/>
      </w:r>
    </w:p>
    <w:p>
      <w:pPr>
        <w:pStyle w:val="ListParagraph"/>
        <w:numPr>
          <w:ilvl w:val="0"/>
          <w:numId w:val="2"/>
        </w:numPr>
        <w:spacing w:before="60" w:after="60"/>
      </w:pPr>
      <w:r>
        <w:rPr>
          <w:rFonts w:ascii="Arial" w:cs="Arial" w:eastAsia="Arial" w:hAnsi="Arial"/>
          <w:b/>
          <w:bCs/>
          <w:color w:val="1A1A1A"/>
          <w:sz w:val="20"/>
          <w:szCs w:val="20"/>
        </w:rPr>
        <w:t xml:space="preserve">Company Growth: </w:t>
      </w:r>
      <w:r>
        <w:rPr>
          <w:rFonts w:ascii="Arial" w:cs="Arial" w:eastAsia="Arial" w:hAnsi="Arial"/>
          <w:color w:val="444444"/>
          <w:sz w:val="20"/>
          <w:szCs w:val="20"/>
        </w:rPr>
        <w:t xml:space="preserve"/>
      </w:r>
    </w:p>
    <w:p>
      <w:pPr>
        <w:pStyle w:val="ListParagraph"/>
        <w:numPr>
          <w:ilvl w:val="0"/>
          <w:numId w:val="2"/>
        </w:numPr>
        <w:spacing w:before="60" w:after="60"/>
      </w:pPr>
      <w:r>
        <w:rPr>
          <w:rFonts w:ascii="Arial" w:cs="Arial" w:eastAsia="Arial" w:hAnsi="Arial"/>
          <w:color w:val="444444"/>
          <w:sz w:val="20"/>
          <w:szCs w:val="20"/>
        </w:rPr>
        <w:t xml:space="preserve">SunRise Consumer Goods grew 4.6% from FY2022-23 to FY2023-24 — from Rs. 9.04 Crore to Rs. 9.45 Crore in Net Sales.</w:t>
      </w:r>
    </w:p>
    <w:p>
      <w:pPr>
        <w:spacing w:before="40" w:after="0"/>
      </w:pPr>
      <w:r>
        <w:t xml:space="preserve"/>
      </w:r>
    </w:p>
    <w:p>
      <w:pPr>
        <w:pStyle w:val="ListParagraph"/>
        <w:numPr>
          <w:ilvl w:val="0"/>
          <w:numId w:val="2"/>
        </w:numPr>
        <w:spacing w:before="60" w:after="60"/>
      </w:pPr>
      <w:r>
        <w:rPr>
          <w:rFonts w:ascii="Arial" w:cs="Arial" w:eastAsia="Arial" w:hAnsi="Arial"/>
          <w:b/>
          <w:bCs/>
          <w:color w:val="1A1A1A"/>
          <w:sz w:val="20"/>
          <w:szCs w:val="20"/>
        </w:rPr>
        <w:t xml:space="preserve">Customer Concentration Risk: </w:t>
      </w:r>
      <w:r>
        <w:rPr>
          <w:rFonts w:ascii="Arial" w:cs="Arial" w:eastAsia="Arial" w:hAnsi="Arial"/>
          <w:color w:val="444444"/>
          <w:sz w:val="20"/>
          <w:szCs w:val="20"/>
        </w:rPr>
        <w:t xml:space="preserve"/>
      </w:r>
    </w:p>
    <w:p>
      <w:pPr>
        <w:pStyle w:val="ListParagraph"/>
        <w:numPr>
          <w:ilvl w:val="0"/>
          <w:numId w:val="2"/>
        </w:numPr>
        <w:spacing w:before="60" w:after="60"/>
      </w:pPr>
      <w:r>
        <w:rPr>
          <w:rFonts w:ascii="Arial" w:cs="Arial" w:eastAsia="Arial" w:hAnsi="Arial"/>
          <w:color w:val="444444"/>
          <w:sz w:val="20"/>
          <w:szCs w:val="20"/>
        </w:rPr>
        <w:t xml:space="preserve">Top 5 customers contribute Rs. 2.59 Crore — 27.4% of FY2023-24 revenue. High dependency on few accounts is a risk.</w:t>
      </w:r>
    </w:p>
    <w:p>
      <w:pPr>
        <w:spacing w:before="40" w:after="0"/>
      </w:pPr>
      <w:r>
        <w:t xml:space="preserve"/>
      </w:r>
    </w:p>
    <w:p>
      <w:pPr>
        <w:pStyle w:val="ListParagraph"/>
        <w:numPr>
          <w:ilvl w:val="0"/>
          <w:numId w:val="2"/>
        </w:numPr>
        <w:spacing w:before="60" w:after="60"/>
      </w:pPr>
      <w:r>
        <w:rPr>
          <w:rFonts w:ascii="Arial" w:cs="Arial" w:eastAsia="Arial" w:hAnsi="Arial"/>
          <w:b/>
          <w:bCs/>
          <w:color w:val="1A1A1A"/>
          <w:sz w:val="20"/>
          <w:szCs w:val="20"/>
        </w:rPr>
        <w:t xml:space="preserve">Product Concentration: </w:t>
      </w:r>
      <w:r>
        <w:rPr>
          <w:rFonts w:ascii="Arial" w:cs="Arial" w:eastAsia="Arial" w:hAnsi="Arial"/>
          <w:color w:val="444444"/>
          <w:sz w:val="20"/>
          <w:szCs w:val="20"/>
        </w:rPr>
        <w:t xml:space="preserve"/>
      </w:r>
    </w:p>
    <w:p>
      <w:pPr>
        <w:pStyle w:val="ListParagraph"/>
        <w:numPr>
          <w:ilvl w:val="0"/>
          <w:numId w:val="2"/>
        </w:numPr>
        <w:spacing w:before="60" w:after="60"/>
      </w:pPr>
      <w:r>
        <w:rPr>
          <w:rFonts w:ascii="Arial" w:cs="Arial" w:eastAsia="Arial" w:hAnsi="Arial"/>
          <w:color w:val="444444"/>
          <w:sz w:val="20"/>
          <w:szCs w:val="20"/>
        </w:rPr>
        <w:t xml:space="preserve">Top 10 products drive 65.7% of total revenue. SunGold Refined Oil 5L alone contributes ~16% — a supply or pricing risk.</w:t>
      </w:r>
    </w:p>
    <w:p>
      <w:pPr>
        <w:spacing w:before="40" w:after="0"/>
      </w:pPr>
      <w:r>
        <w:t xml:space="preserve"/>
      </w:r>
    </w:p>
    <w:p>
      <w:pPr>
        <w:pStyle w:val="ListParagraph"/>
        <w:numPr>
          <w:ilvl w:val="0"/>
          <w:numId w:val="2"/>
        </w:numPr>
        <w:spacing w:before="60" w:after="60"/>
      </w:pPr>
      <w:r>
        <w:rPr>
          <w:rFonts w:ascii="Arial" w:cs="Arial" w:eastAsia="Arial" w:hAnsi="Arial"/>
          <w:b/>
          <w:bCs/>
          <w:color w:val="1A1A1A"/>
          <w:sz w:val="20"/>
          <w:szCs w:val="20"/>
        </w:rPr>
        <w:t xml:space="preserve">Regional Imbalance: </w:t>
      </w:r>
      <w:r>
        <w:rPr>
          <w:rFonts w:ascii="Arial" w:cs="Arial" w:eastAsia="Arial" w:hAnsi="Arial"/>
          <w:color w:val="444444"/>
          <w:sz w:val="20"/>
          <w:szCs w:val="20"/>
        </w:rPr>
        <w:t xml:space="preserve"/>
      </w:r>
    </w:p>
    <w:p>
      <w:pPr>
        <w:pStyle w:val="ListParagraph"/>
        <w:numPr>
          <w:ilvl w:val="0"/>
          <w:numId w:val="2"/>
        </w:numPr>
        <w:spacing w:before="60" w:after="60"/>
      </w:pPr>
      <w:r>
        <w:rPr>
          <w:rFonts w:ascii="Arial" w:cs="Arial" w:eastAsia="Arial" w:hAnsi="Arial"/>
          <w:color w:val="444444"/>
          <w:sz w:val="20"/>
          <w:szCs w:val="20"/>
        </w:rPr>
        <w:t xml:space="preserve">North region significantly outperforms East region. Focused East region strategy needed to balance regional revenue.</w:t>
      </w:r>
    </w:p>
    <w:p>
      <w:pPr>
        <w:spacing w:before="40" w:after="0"/>
      </w:pPr>
      <w:r>
        <w:t xml:space="preserve"/>
      </w:r>
    </w:p>
    <w:p>
      <w:pPr>
        <w:pStyle w:val="ListParagraph"/>
        <w:numPr>
          <w:ilvl w:val="0"/>
          <w:numId w:val="2"/>
        </w:numPr>
        <w:spacing w:before="60" w:after="60"/>
      </w:pPr>
      <w:r>
        <w:rPr>
          <w:rFonts w:ascii="Arial" w:cs="Arial" w:eastAsia="Arial" w:hAnsi="Arial"/>
          <w:b/>
          <w:bCs/>
          <w:color w:val="1A1A1A"/>
          <w:sz w:val="20"/>
          <w:szCs w:val="20"/>
        </w:rPr>
        <w:t xml:space="preserve">Channel Shift: </w:t>
      </w:r>
      <w:r>
        <w:rPr>
          <w:rFonts w:ascii="Arial" w:cs="Arial" w:eastAsia="Arial" w:hAnsi="Arial"/>
          <w:color w:val="444444"/>
          <w:sz w:val="20"/>
          <w:szCs w:val="20"/>
        </w:rPr>
        <w:t xml:space="preserve"/>
      </w:r>
    </w:p>
    <w:p>
      <w:pPr>
        <w:pStyle w:val="ListParagraph"/>
        <w:numPr>
          <w:ilvl w:val="0"/>
          <w:numId w:val="2"/>
        </w:numPr>
        <w:spacing w:before="60" w:after="60"/>
      </w:pPr>
      <w:r>
        <w:rPr>
          <w:rFonts w:ascii="Arial" w:cs="Arial" w:eastAsia="Arial" w:hAnsi="Arial"/>
          <w:color w:val="444444"/>
          <w:sz w:val="20"/>
          <w:szCs w:val="20"/>
        </w:rPr>
        <w:t xml:space="preserve">General Trade growing at 7% while Modern Trade only growing at 2% — consumer preference shifting towards local retail.</w:t>
      </w:r>
    </w:p>
    <w:p>
      <w:pPr>
        <w:spacing w:before="40" w:after="0"/>
      </w:pPr>
      <w:r>
        <w:t xml:space="preserve"/>
      </w:r>
    </w:p>
    <w:p>
      <w:pPr>
        <w:pStyle w:val="ListParagraph"/>
        <w:numPr>
          <w:ilvl w:val="0"/>
          <w:numId w:val="2"/>
        </w:numPr>
        <w:spacing w:before="60" w:after="60"/>
      </w:pPr>
      <w:r>
        <w:rPr>
          <w:rFonts w:ascii="Arial" w:cs="Arial" w:eastAsia="Arial" w:hAnsi="Arial"/>
          <w:b/>
          <w:bCs/>
          <w:color w:val="1A1A1A"/>
          <w:sz w:val="20"/>
          <w:szCs w:val="20"/>
        </w:rPr>
        <w:t xml:space="preserve">Discount Efficiency: </w:t>
      </w:r>
      <w:r>
        <w:rPr>
          <w:rFonts w:ascii="Arial" w:cs="Arial" w:eastAsia="Arial" w:hAnsi="Arial"/>
          <w:color w:val="444444"/>
          <w:sz w:val="20"/>
          <w:szCs w:val="20"/>
        </w:rPr>
        <w:t xml:space="preserve"/>
      </w:r>
    </w:p>
    <w:p>
      <w:pPr>
        <w:pStyle w:val="ListParagraph"/>
        <w:numPr>
          <w:ilvl w:val="0"/>
          <w:numId w:val="2"/>
        </w:numPr>
        <w:spacing w:before="60" w:after="60"/>
      </w:pPr>
      <w:r>
        <w:rPr>
          <w:rFonts w:ascii="Arial" w:cs="Arial" w:eastAsia="Arial" w:hAnsi="Arial"/>
          <w:color w:val="444444"/>
          <w:sz w:val="20"/>
          <w:szCs w:val="20"/>
        </w:rPr>
        <w:t xml:space="preserve">E-Commerce channel receives 3.8x more discount per order than General Trade — needs profitability review.</w:t>
      </w:r>
    </w:p>
    <w:p>
      <w:pPr>
        <w:spacing w:before="120" w:after="0"/>
      </w:pPr>
      <w:r>
        <w:t xml:space="preserve"/>
      </w:r>
    </w:p>
    <w:p>
      <w:pPr>
        <w:pBdr>
          <w:bottom w:val="single" w:color="1F4E79" w:sz="12" w:space="2"/>
        </w:pBdr>
        <w:spacing w:before="300" w:after="100"/>
      </w:pPr>
      <w:r>
        <w:rPr>
          <w:rFonts w:ascii="Arial" w:cs="Arial" w:eastAsia="Arial" w:hAnsi="Arial"/>
          <w:b/>
          <w:bCs/>
          <w:color w:val="1F4E79"/>
          <w:sz w:val="30"/>
          <w:szCs w:val="30"/>
        </w:rPr>
        <w:t xml:space="preserve">6. Tools &amp; Techniques Used</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rPr>
          <w:tblHeader/>
        </w:trPr>
        <w:tc>
          <w:tcPr>
            <w:tcW w:type="dxa" w:w="3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Tool / Technique</w:t>
            </w:r>
          </w:p>
        </w:tc>
        <w:tc>
          <w:tcPr>
            <w:tcW w:type="dxa" w:w="5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Used For</w:t>
            </w:r>
          </w:p>
        </w:tc>
      </w:tr>
      <w:tr>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Pivot Tables</w:t>
            </w:r>
          </w:p>
        </w:tc>
        <w:tc>
          <w:tcPr>
            <w:tcW w:type="dxa" w:w="5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Summarizing customer, product, channel and monthly data</w:t>
            </w:r>
          </w:p>
        </w:tc>
      </w:tr>
      <w:tr>
        <w:tc>
          <w:tcPr>
            <w:tcW w:type="dxa" w:w="3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SUMIFS Formula</w:t>
            </w:r>
          </w:p>
        </w:tc>
        <w:tc>
          <w:tcPr>
            <w:tcW w:type="dxa" w:w="57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Fetching actual Net Sales by region and month for target comparison</w:t>
            </w:r>
          </w:p>
        </w:tc>
      </w:tr>
      <w:tr>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Calculated Columns</w:t>
            </w:r>
          </w:p>
        </w:tc>
        <w:tc>
          <w:tcPr>
            <w:tcW w:type="dxa" w:w="5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YoY Growth %, Variance, Variance %, GP%, Contribution %</w:t>
            </w:r>
          </w:p>
        </w:tc>
      </w:tr>
      <w:tr>
        <w:tc>
          <w:tcPr>
            <w:tcW w:type="dxa" w:w="3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Conditional Formatting</w:t>
            </w:r>
          </w:p>
        </w:tc>
        <w:tc>
          <w:tcPr>
            <w:tcW w:type="dxa" w:w="57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Highlighting growth vs decline, HIT vs MISS status</w:t>
            </w:r>
          </w:p>
        </w:tc>
      </w:tr>
      <w:tr>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IF Formula</w:t>
            </w:r>
          </w:p>
        </w:tc>
        <w:tc>
          <w:tcPr>
            <w:tcW w:type="dxa" w:w="5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Creating HIT/MISS status column in Region vs Target report</w:t>
            </w:r>
          </w:p>
        </w:tc>
      </w:tr>
      <w:tr>
        <w:tc>
          <w:tcPr>
            <w:tcW w:type="dxa" w:w="35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Excel Charts</w:t>
            </w:r>
          </w:p>
        </w:tc>
        <w:tc>
          <w:tcPr>
            <w:tcW w:type="dxa" w:w="5700"/>
            <w:tcBorders>
              <w:top w:val="single" w:color="BBBBBB" w:sz="1"/>
              <w:left w:val="single" w:color="BBBBBB" w:sz="1"/>
              <w:bottom w:val="single" w:color="BBBBBB" w:sz="1"/>
              <w:right w:val="single" w:color="BBBBBB" w:sz="1"/>
            </w:tcBorders>
            <w:shd w:fill="EBF3FB" w:val="clear"/>
            <w:tcMar>
              <w:top w:type="dxa" w:w="70"/>
              <w:left w:type="dxa" w:w="120"/>
              <w:bottom w:type="dxa" w:w="70"/>
              <w:right w:type="dxa" w:w="120"/>
            </w:tcMar>
          </w:tcPr>
          <w:p>
            <w:r>
              <w:rPr>
                <w:rFonts w:ascii="Arial" w:cs="Arial" w:eastAsia="Arial" w:hAnsi="Arial"/>
                <w:color w:val="1A1A1A"/>
                <w:sz w:val="19"/>
                <w:szCs w:val="19"/>
              </w:rPr>
              <w:t xml:space="preserve">Supporting visualizations for P&amp;L and channel trends</w:t>
            </w:r>
          </w:p>
        </w:tc>
      </w:tr>
      <w:tr>
        <w:tc>
          <w:tcPr>
            <w:tcW w:type="dxa" w:w="35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Data Sorting &amp; Filtering</w:t>
            </w:r>
          </w:p>
        </w:tc>
        <w:tc>
          <w:tcPr>
            <w:tcW w:type="dxa" w:w="57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Top 10 product identification and customer ranking</w:t>
            </w:r>
          </w:p>
        </w:tc>
      </w:tr>
    </w:tbl>
    <w:p>
      <w:pPr>
        <w:spacing w:before="120" w:after="0"/>
      </w:pPr>
      <w:r>
        <w:t xml:space="preserve"/>
      </w:r>
    </w:p>
    <w:p>
      <w:pPr>
        <w:pBdr>
          <w:bottom w:val="single" w:color="1F4E79" w:sz="12" w:space="2"/>
        </w:pBdr>
        <w:spacing w:before="300" w:after="100"/>
      </w:pPr>
      <w:r>
        <w:rPr>
          <w:rFonts w:ascii="Arial" w:cs="Arial" w:eastAsia="Arial" w:hAnsi="Arial"/>
          <w:b/>
          <w:bCs/>
          <w:color w:val="1F4E79"/>
          <w:sz w:val="30"/>
          <w:szCs w:val="30"/>
        </w:rPr>
        <w:t xml:space="preserve">7. Conclusion</w:t>
      </w:r>
    </w:p>
    <w:p>
      <w:pPr>
        <w:spacing w:before="80" w:after="0"/>
      </w:pPr>
      <w:r>
        <w:t xml:space="preserve"/>
      </w:r>
    </w:p>
    <w:p>
      <w:pPr>
        <w:spacing w:before="60" w:after="60"/>
      </w:pPr>
      <w:r>
        <w:rPr>
          <w:rFonts w:ascii="Arial" w:cs="Arial" w:eastAsia="Arial" w:hAnsi="Arial"/>
          <w:color w:val="1A1A1A"/>
          <w:sz w:val="20"/>
          <w:szCs w:val="20"/>
        </w:rPr>
        <w:t xml:space="preserve">This Excel MIS project successfully transformed 9,651 raw FMCG transactions into 5 structured management reports that enable SunRise Consumer Goods leadership to make data-driven decisions on customer strategy, regional accountability, product prioritization, and channel investment.</w:t>
      </w:r>
    </w:p>
    <w:p>
      <w:pPr>
        <w:spacing w:before="60" w:after="0"/>
      </w:pPr>
      <w:r>
        <w:t xml:space="preserve"/>
      </w:r>
    </w:p>
    <w:p>
      <w:pPr>
        <w:spacing w:before="60" w:after="60"/>
      </w:pPr>
      <w:r>
        <w:rPr>
          <w:rFonts w:ascii="Arial" w:cs="Arial" w:eastAsia="Arial" w:hAnsi="Arial"/>
          <w:color w:val="1A1A1A"/>
          <w:sz w:val="20"/>
          <w:szCs w:val="20"/>
        </w:rPr>
        <w:t xml:space="preserve">The analysis reveals that while the company is growing at 4.6%, growth is uneven across customers, regions, and channels. General Trade is the most efficient and fastest growing channel, SunGold Refined Oil 5L is the single biggest revenue driver, North region leads in sales performance, and Spencer's and DMart are the biggest declining accounts that need urgent attention.</w:t>
      </w:r>
    </w:p>
    <w:p>
      <w:pPr>
        <w:spacing w:before="80" w:after="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BBBB" w:sz="1"/>
              <w:left w:val="single" w:color="BBBBBB" w:sz="1"/>
              <w:bottom w:val="single" w:color="BBBBBB" w:sz="1"/>
              <w:right w:val="single" w:color="BBBBBB" w:sz="1"/>
            </w:tcBorders>
            <w:shd w:fill="E2EFDA" w:val="clear"/>
            <w:tcMar>
              <w:top w:type="dxa" w:w="120"/>
              <w:left w:type="dxa" w:w="180"/>
              <w:bottom w:type="dxa" w:w="120"/>
              <w:right w:type="dxa" w:w="180"/>
            </w:tcMar>
          </w:tcPr>
          <w:p>
            <w:pPr>
              <w:spacing w:before="0" w:after="60"/>
            </w:pPr>
            <w:r>
              <w:rPr>
                <w:rFonts w:ascii="Arial" w:cs="Arial" w:eastAsia="Arial" w:hAnsi="Arial"/>
                <w:b/>
                <w:bCs/>
                <w:color w:val="375623"/>
                <w:sz w:val="21"/>
                <w:szCs w:val="21"/>
              </w:rPr>
              <w:t xml:space="preserve">Author</w:t>
            </w:r>
          </w:p>
          <w:p>
            <w:r>
              <w:rPr>
                <w:rFonts w:ascii="Arial" w:cs="Arial" w:eastAsia="Arial" w:hAnsi="Arial"/>
                <w:color w:val="1A1A1A"/>
                <w:sz w:val="20"/>
                <w:szCs w:val="20"/>
              </w:rPr>
              <w:t xml:space="preserve">Harisha Thoparapu | Data Analyst | Excel | SQL | Power BI | MIS Reporting
Location: Hyderabad, India</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2026-04-09T14:25:22.372Z</dcterms:created>
  <dcterms:modified xsi:type="dcterms:W3CDTF">2026-04-09T14:25:22.372Z</dcterms:modified>
</cp:coreProperties>
</file>

<file path=docProps/custom.xml><?xml version="1.0" encoding="utf-8"?>
<Properties xmlns="http://schemas.openxmlformats.org/officeDocument/2006/custom-properties" xmlns:vt="http://schemas.openxmlformats.org/officeDocument/2006/docPropsVTypes"/>
</file>