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44"/>
          <w:szCs w:val="44"/>
        </w:rPr>
        <w:t xml:space="preserve">Architecture Decision Records</w:t>
      </w:r>
    </w:p>
    <w:p>
      <w:pPr>
        <w:spacing w:after="40"/>
      </w:pPr>
      <w:r>
        <w:rPr>
          <w:b/>
          <w:bCs/>
          <w:color w:val="D85A30"/>
          <w:sz w:val="28"/>
          <w:szCs w:val="28"/>
        </w:rPr>
        <w:t xml:space="preserve">Smart Queue Management System</w:t>
      </w:r>
    </w:p>
    <w:p>
      <w:pPr>
        <w:spacing w:after="300"/>
      </w:pPr>
      <w:r>
        <w:rPr>
          <w:i/>
          <w:iCs/>
          <w:color w:val="666666"/>
          <w:sz w:val="21"/>
          <w:szCs w:val="21"/>
        </w:rPr>
        <w:t xml:space="preserve">Service: React frontend, Spring Boot API, MySQL — deployed via Docker containers orchestrated by Kubernetes, monitored with Prometheus/Grafana, CI/CD via GitHub Actions</w:t>
      </w:r>
    </w:p>
    <w:p>
      <w:pPr>
        <w:pStyle w:val="Heading1"/>
        <w:pBdr>
          <w:bottom w:val="single" w:color="D85A30" w:sz="12" w:space="4"/>
        </w:pBdr>
        <w:spacing w:after="160" w:before="320"/>
      </w:pPr>
      <w:r>
        <w:rPr>
          <w:b/>
          <w:bCs/>
          <w:color w:val="D85A30"/>
          <w:sz w:val="30"/>
          <w:szCs w:val="30"/>
        </w:rPr>
        <w:t xml:space="preserve">ADR-001: Deployment region / cluster placement</w:t>
      </w:r>
    </w:p>
    <w:p>
      <w:pPr>
        <w:spacing w:after="60" w:before="160"/>
      </w:pPr>
      <w:r>
        <w:rPr>
          <w:b/>
          <w:bCs/>
          <w:color w:val="1A1A1A"/>
          <w:sz w:val="21"/>
          <w:szCs w:val="21"/>
        </w:rPr>
        <w:t xml:space="preserve">Status: Accepted</w:t>
      </w:r>
    </w:p>
    <w:p>
      <w:pPr>
        <w:spacing w:after="60" w:before="160"/>
      </w:pPr>
      <w:r>
        <w:rPr>
          <w:b/>
          <w:bCs/>
          <w:color w:val="1A1A1A"/>
          <w:sz w:val="21"/>
          <w:szCs w:val="21"/>
        </w:rPr>
        <w:t xml:space="preserve">Context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The system runs on Kubernetes rather than a single managed platform, so “region” is really about where the cluster's nodes are placed. Since the project must stay free, the cluster likely starts on a single machine (local K3s/minikube) or a free-tier cloud VM.</w:t>
      </w:r>
    </w:p>
    <w:p>
      <w:pPr>
        <w:spacing w:after="60" w:before="160"/>
      </w:pPr>
      <w:r>
        <w:rPr>
          <w:b/>
          <w:bCs/>
          <w:color w:val="1A1A1A"/>
          <w:sz w:val="21"/>
          <w:szCs w:val="21"/>
        </w:rPr>
        <w:t xml:space="preserve">Decision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Start with a single-node cluster hosted on the free tier of a cloud provider (or run locally during development), placed in the region closest to expected users (Mumbai / ap-south-1-equivalent if using a real cloud free tier). Keep all node placement config in the Kubernetes manifests so it's a one-line change to relocate later.</w:t>
      </w:r>
    </w:p>
    <w:p>
      <w:pPr>
        <w:spacing w:after="60" w:before="160"/>
      </w:pPr>
      <w:r>
        <w:rPr>
          <w:b/>
          <w:bCs/>
          <w:color w:val="1A1A1A"/>
          <w:sz w:val="21"/>
          <w:szCs w:val="21"/>
        </w:rPr>
        <w:t xml:space="preserve">Consequences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A single-node cluster is also a single point of failure at the infrastructure level, on top of the single-replica risk called out in the Lean scenario. Moving to Balanced/Resilient means adding nodes across zones, not just re-choosing a region.</w:t>
      </w:r>
    </w:p>
    <w:p>
      <w:pPr>
        <w:pStyle w:val="Heading1"/>
        <w:pBdr>
          <w:bottom w:val="single" w:color="D85A30" w:sz="12" w:space="4"/>
        </w:pBdr>
        <w:spacing w:after="160" w:before="320"/>
      </w:pPr>
      <w:r>
        <w:rPr>
          <w:b/>
          <w:bCs/>
          <w:color w:val="D85A30"/>
          <w:sz w:val="30"/>
          <w:szCs w:val="30"/>
        </w:rPr>
        <w:t xml:space="preserve">ADR-002: Recovery objectives (RPO / RTO)</w:t>
      </w:r>
    </w:p>
    <w:p>
      <w:pPr>
        <w:spacing w:after="60" w:before="160"/>
      </w:pPr>
      <w:r>
        <w:rPr>
          <w:b/>
          <w:bCs/>
          <w:color w:val="1A1A1A"/>
          <w:sz w:val="21"/>
          <w:szCs w:val="21"/>
        </w:rPr>
        <w:t xml:space="preserve">Status: Accepted</w:t>
      </w:r>
    </w:p>
    <w:p>
      <w:pPr>
        <w:spacing w:after="60" w:before="160"/>
      </w:pPr>
      <w:r>
        <w:rPr>
          <w:b/>
          <w:bCs/>
          <w:color w:val="1A1A1A"/>
          <w:sz w:val="21"/>
          <w:szCs w:val="21"/>
        </w:rPr>
        <w:t xml:space="preserve">Context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MySQL runs inside Kubernetes (via a StatefulSet + PersistentVolume) rather than as a managed database service, so backups and failover are the team's own responsibility, not a vendor feature.</w:t>
      </w:r>
    </w:p>
    <w:p>
      <w:pPr>
        <w:spacing w:after="60" w:before="160"/>
      </w:pPr>
      <w:r>
        <w:rPr>
          <w:b/>
          <w:bCs/>
          <w:color w:val="1A1A1A"/>
          <w:sz w:val="21"/>
          <w:szCs w:val="21"/>
        </w:rPr>
        <w:t xml:space="preserve">Decision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Lean: RPO 1440 min (24h) — manual mysqldump exports run once daily via a CronJob, stored outside the cluster. RTO 240 min (4h) — recovery means redeploying the pod and manually restoring the last dump.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Balanced: RPO 60 min — automated hourly mysqldump CronJob with backups pushed to external storage. RTO 60 min — a documented restore script plus Kubernetes auto-restart of failed pods.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Resilient: RPO 15 min — MySQL primary-replica replication plus frequent snapshotting. RTO 30 min — automated failover to the replica, verified with periodic restore drills.</w:t>
      </w:r>
    </w:p>
    <w:p>
      <w:pPr>
        <w:spacing w:after="60" w:before="160"/>
      </w:pPr>
      <w:r>
        <w:rPr>
          <w:b/>
          <w:bCs/>
          <w:color w:val="1A1A1A"/>
          <w:sz w:val="21"/>
          <w:szCs w:val="21"/>
        </w:rPr>
        <w:t xml:space="preserve">Consequences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Because there's no managed database vendor doing this automatically, the CronJob backup scripts and restore runbooks are real engineering work the team must build and test themselves — this is a genuine cost difference from a managed-DB approach, not just a config toggle.</w:t>
      </w:r>
    </w:p>
    <w:p>
      <w:pPr>
        <w:pStyle w:val="Heading1"/>
        <w:pBdr>
          <w:bottom w:val="single" w:color="D85A30" w:sz="12" w:space="4"/>
        </w:pBdr>
        <w:spacing w:after="160" w:before="320"/>
      </w:pPr>
      <w:r>
        <w:rPr>
          <w:b/>
          <w:bCs/>
          <w:color w:val="D85A30"/>
          <w:sz w:val="30"/>
          <w:szCs w:val="30"/>
        </w:rPr>
        <w:t xml:space="preserve">ADR-003: Secrets management</w:t>
      </w:r>
    </w:p>
    <w:p>
      <w:pPr>
        <w:spacing w:after="60" w:before="160"/>
      </w:pPr>
      <w:r>
        <w:rPr>
          <w:b/>
          <w:bCs/>
          <w:color w:val="1A1A1A"/>
          <w:sz w:val="21"/>
          <w:szCs w:val="21"/>
        </w:rPr>
        <w:t xml:space="preserve">Status: Accepted</w:t>
      </w:r>
    </w:p>
    <w:p>
      <w:pPr>
        <w:spacing w:after="60" w:before="160"/>
      </w:pPr>
      <w:r>
        <w:rPr>
          <w:b/>
          <w:bCs/>
          <w:color w:val="1A1A1A"/>
          <w:sz w:val="21"/>
          <w:szCs w:val="21"/>
        </w:rPr>
        <w:t xml:space="preserve">Context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The Spring Boot API needs a MySQL connection string, DB credentials, and a JWT signing secret. Docker images and Kubernetes manifests must not contain these in plain text if committed to a public repo.</w:t>
      </w:r>
    </w:p>
    <w:p>
      <w:pPr>
        <w:spacing w:after="60" w:before="160"/>
      </w:pPr>
      <w:r>
        <w:rPr>
          <w:b/>
          <w:bCs/>
          <w:color w:val="1A1A1A"/>
          <w:sz w:val="21"/>
          <w:szCs w:val="21"/>
        </w:rPr>
        <w:t xml:space="preserve">Decision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Store all secrets as Kubernetes Secrets (not ConfigMaps), referenced by the Spring Boot deployment via environment variables. Secrets are created via kubectl create secret or a sealed-secrets tool, never committed as YAML with real values — only placeholder/example manifests go in the repo. Local development uses a git-ignored application-local.properties or .env file.</w:t>
      </w:r>
    </w:p>
    <w:p>
      <w:pPr>
        <w:spacing w:after="60" w:before="160"/>
      </w:pPr>
      <w:r>
        <w:rPr>
          <w:b/>
          <w:bCs/>
          <w:color w:val="1A1A1A"/>
          <w:sz w:val="21"/>
          <w:szCs w:val="21"/>
        </w:rPr>
        <w:t xml:space="preserve">Consequences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Kubernetes Secrets are only base64-encoded, not encrypted, by default — for anything beyond the Lean scenario, this should be upgraded to encrypted secrets at rest (e.g., Sealed Secrets or an external secrets operator) as a follow-up decision once budget allows.</w:t>
      </w:r>
    </w:p>
    <w:p>
      <w:pPr>
        <w:pStyle w:val="Heading1"/>
        <w:pBdr>
          <w:bottom w:val="single" w:color="D85A30" w:sz="12" w:space="4"/>
        </w:pBdr>
        <w:spacing w:after="160" w:before="320"/>
      </w:pPr>
      <w:r>
        <w:rPr>
          <w:b/>
          <w:bCs/>
          <w:color w:val="D85A30"/>
          <w:sz w:val="30"/>
          <w:szCs w:val="30"/>
        </w:rPr>
        <w:t xml:space="preserve">ADR-004: Least-privilege access</w:t>
      </w:r>
    </w:p>
    <w:p>
      <w:pPr>
        <w:spacing w:after="60" w:before="160"/>
      </w:pPr>
      <w:r>
        <w:rPr>
          <w:b/>
          <w:bCs/>
          <w:color w:val="1A1A1A"/>
          <w:sz w:val="21"/>
          <w:szCs w:val="21"/>
        </w:rPr>
        <w:t xml:space="preserve">Status: Accepted</w:t>
      </w:r>
    </w:p>
    <w:p>
      <w:pPr>
        <w:spacing w:after="60" w:before="160"/>
      </w:pPr>
      <w:r>
        <w:rPr>
          <w:b/>
          <w:bCs/>
          <w:color w:val="1A1A1A"/>
          <w:sz w:val="21"/>
          <w:szCs w:val="21"/>
        </w:rPr>
        <w:t xml:space="preserve">Context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The cluster, database, and CI/CD pipeline should each grant only the access they need.</w:t>
      </w:r>
    </w:p>
    <w:p>
      <w:pPr>
        <w:spacing w:after="60" w:before="160"/>
      </w:pPr>
      <w:r>
        <w:rPr>
          <w:b/>
          <w:bCs/>
          <w:color w:val="1A1A1A"/>
          <w:sz w:val="21"/>
          <w:szCs w:val="21"/>
        </w:rPr>
        <w:t xml:space="preserve">Decision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MySQL: the application's DB user has grants scoped to only the application database and only the operations it needs (SELECT/INSERT/UPDATE/DELETE) — no admin/root grants used at runtime.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Kubernetes: use RBAC to scope the CI/CD deploy service account to only the namespace this app runs in, not cluster-wide admin rights.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GitHub Actions: the workflow uses a repo-scoped deploy key/token, not a personal account token with broader access.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222222"/>
          <w:sz w:val="21"/>
          <w:szCs w:val="21"/>
        </w:rPr>
        <w:t xml:space="preserve">End users: authenticate via JWT with short-lived tokens; admin-only endpoints are protected by role checks in the Spring Boot API, never exposed to the frontend without a role check.</w:t>
      </w:r>
    </w:p>
    <w:p>
      <w:pPr>
        <w:spacing w:after="60" w:before="160"/>
      </w:pPr>
      <w:r>
        <w:rPr>
          <w:b/>
          <w:bCs/>
          <w:color w:val="1A1A1A"/>
          <w:sz w:val="21"/>
          <w:szCs w:val="21"/>
        </w:rPr>
        <w:t xml:space="preserve">Consequences</w:t>
      </w:r>
    </w:p>
    <w:p>
      <w:pPr>
        <w:spacing w:after="160"/>
      </w:pPr>
      <w:r>
        <w:rPr>
          <w:color w:val="222222"/>
          <w:sz w:val="21"/>
          <w:szCs w:val="21"/>
        </w:rPr>
        <w:t xml:space="preserve">More upfront setup (creating scoped MySQL users, RBAC roles, and scoped tokens) in exchange for containing the damage if any single credential or component is compromised.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2026-08-28T17:13:04.262Z</dcterms:created>
  <dcterms:modified xsi:type="dcterms:W3CDTF">2026-08-28T17:13:04.262Z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