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Solution Requirements (Functional &amp; Non-functional)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Functional Requirements</w:t>
      </w:r>
    </w:p>
    <w:p>
      <w:pPr>
        <w:spacing w:after="120" w:before="0" w:line="300"/>
        <w:jc w:val="left"/>
      </w:pPr>
      <w:r>
        <w:t xml:space="preserve">Following are the 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146"/>
      </w:tblGrid>
      <w:tr>
        <w:trPr>
          <w:tblHeader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FR-1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creation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Create a flow named "Standard laptop task" in Flow Designer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Application scope: Global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Run As: System User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trigger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Add the Service Catalog trigger so the flow starts when a catalog item is ordered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FR-3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Catalog task creation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Add the Create Catalog Task action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Requested Item = Requested Item record from the trigger (table: Catalog Task [sc_task])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Short description: "Laptop needs to Configured"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FR-4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field values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Description = "Laptop needs to Configured"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Assignment group = Hardware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 = Approved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FR-5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activation &amp; assignment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Save and activate the flow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Attach the flow to the Standard Laptop catalog item under Process Engine (Maintain Items)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FR-6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Ordering &amp; approval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 Standard Laptop from Service Catalog &gt; Hardware using Order Now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Approver approves the request from the Approvers related list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FR-7</w:t>
            </w:r>
          </w:p>
        </w:tc>
        <w:tc>
          <w:tcPr>
            <w:tcW w:type="dxa" w:w="2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6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Open the Requested Item and check the Catalog Tasks related list for the generated task with short description and assignment group</w:t>
            </w:r>
          </w:p>
        </w:tc>
      </w:tr>
    </w:tbl>
    <w:p>
      <w:pPr>
        <w:pStyle w:val="Heading1"/>
        <w:keepNext/>
      </w:pPr>
      <w:r>
        <w:t xml:space="preserve">Non-functional Requirements</w:t>
      </w:r>
    </w:p>
    <w:p>
      <w:pPr>
        <w:spacing w:after="120" w:before="0" w:line="300"/>
        <w:jc w:val="left"/>
      </w:pPr>
      <w:r>
        <w:t xml:space="preserve">Following are the non-functional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446"/>
      </w:tblGrid>
      <w:tr>
        <w:trPr>
          <w:tblHeader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NFR No.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Non-Functional Requirement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Requesters use the standard Service Catalog; no extra training is needed. Generated task has a clear short description.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runs as System User; approval is done by an authorised approver; access to records follows ServiceNow roles and ACLs.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Standard Laptop order triggers the same flow, so tasks are not missed. Flow executions can be reviewed in Flow Designer.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catalog task is generated automatically by the platform without manual effort, shortly after the request is processed.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Depends on the availability of the ServiceNow instance (cloud-hosted platform).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same pattern can be reused for other catalog items and assignment groups by creating or copying flows.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Project Team</dc:creator>
  <cp:lastModifiedBy>Un-named</cp:lastModifiedBy>
  <cp:revision>1</cp:revision>
  <dcterms:created xsi:type="dcterms:W3CDTF">2026-10-05T04:19:09.298Z</dcterms:created>
  <dcterms:modified xsi:type="dcterms:W3CDTF">2026-10-05T04:19:09.298Z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