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8A8F"/>
          <w:sz w:val="26"/>
          <w:szCs w:val="26"/>
        </w:rPr>
        <w:t xml:space="preserve">Project Design Phase</w:t>
      </w:r>
    </w:p>
    <w:p>
      <w:pPr>
        <w:spacing w:after="200"/>
        <w:jc w:val="center"/>
      </w:pPr>
      <w:r>
        <w:rPr>
          <w:b/>
          <w:bCs/>
          <w:color w:val="1F3A5F"/>
          <w:sz w:val="34"/>
          <w:szCs w:val="34"/>
        </w:rPr>
        <w:t xml:space="preserve">Proposed Solution Template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cantSplit/>
        </w:trPr>
        <w:tc>
          <w:tcPr>
            <w:tcW w:type="dxa" w:w="3200"/>
            <w:tcBorders>
              <w:top w:val="single" w:color="9AA7B2" w:sz="4"/>
              <w:left w:val="single" w:color="9AA7B2" w:sz="4"/>
              <w:bottom w:val="single" w:color="9AA7B2" w:sz="4"/>
              <w:right w:val="single" w:color="9AA7B2" w:sz="4"/>
            </w:tcBorders>
            <w:shd w:fill="E8F1F5" w:color="auto" w:val="clear"/>
            <w:tcMar>
              <w:top w:type="dxa" w:w="60"/>
              <w:left w:type="dxa" w:w="100"/>
              <w:bottom w:type="dxa" w:w="60"/>
              <w:right w:type="dxa" w:w="100"/>
            </w:tcMar>
            <w:vAlign w:val="top"/>
          </w:tcPr>
          <w:p>
            <w:pPr>
              <w:spacing w:after="40" w:line="260"/>
              <w:jc w:val="left"/>
            </w:pPr>
            <w:r>
              <w:rPr>
                <w:b/>
                <w:bCs/>
                <w:sz w:val="18"/>
                <w:szCs w:val="18"/>
              </w:rPr>
              <w:t xml:space="preserve">Date</w:t>
            </w:r>
          </w:p>
        </w:tc>
        <w:tc>
          <w:tcPr>
            <w:tcW w:type="dxa" w:w="65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04 October 2026</w:t>
            </w:r>
          </w:p>
        </w:tc>
      </w:tr>
      <w:tr>
        <w:trPr>
          <w:cantSplit/>
        </w:trPr>
        <w:tc>
          <w:tcPr>
            <w:tcW w:type="dxa" w:w="3200"/>
            <w:tcBorders>
              <w:top w:val="single" w:color="9AA7B2" w:sz="4"/>
              <w:left w:val="single" w:color="9AA7B2" w:sz="4"/>
              <w:bottom w:val="single" w:color="9AA7B2" w:sz="4"/>
              <w:right w:val="single" w:color="9AA7B2" w:sz="4"/>
            </w:tcBorders>
            <w:shd w:fill="E8F1F5" w:color="auto" w:val="clear"/>
            <w:tcMar>
              <w:top w:type="dxa" w:w="60"/>
              <w:left w:type="dxa" w:w="100"/>
              <w:bottom w:type="dxa" w:w="60"/>
              <w:right w:type="dxa" w:w="100"/>
            </w:tcMar>
            <w:vAlign w:val="top"/>
          </w:tcPr>
          <w:p>
            <w:pPr>
              <w:spacing w:after="40" w:line="260"/>
              <w:jc w:val="left"/>
            </w:pPr>
            <w:r>
              <w:rPr>
                <w:b/>
                <w:bCs/>
                <w:sz w:val="18"/>
                <w:szCs w:val="18"/>
              </w:rPr>
              <w:t xml:space="preserve">Team ID</w:t>
            </w:r>
          </w:p>
        </w:tc>
        <w:tc>
          <w:tcPr>
            <w:tcW w:type="dxa" w:w="65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SWTID-2026-6870</w:t>
            </w:r>
          </w:p>
        </w:tc>
      </w:tr>
      <w:tr>
        <w:trPr>
          <w:cantSplit/>
        </w:trPr>
        <w:tc>
          <w:tcPr>
            <w:tcW w:type="dxa" w:w="3200"/>
            <w:tcBorders>
              <w:top w:val="single" w:color="9AA7B2" w:sz="4"/>
              <w:left w:val="single" w:color="9AA7B2" w:sz="4"/>
              <w:bottom w:val="single" w:color="9AA7B2" w:sz="4"/>
              <w:right w:val="single" w:color="9AA7B2" w:sz="4"/>
            </w:tcBorders>
            <w:shd w:fill="E8F1F5" w:color="auto" w:val="clear"/>
            <w:tcMar>
              <w:top w:type="dxa" w:w="60"/>
              <w:left w:type="dxa" w:w="100"/>
              <w:bottom w:type="dxa" w:w="60"/>
              <w:right w:type="dxa" w:w="100"/>
            </w:tcMar>
            <w:vAlign w:val="top"/>
          </w:tcPr>
          <w:p>
            <w:pPr>
              <w:spacing w:after="40" w:line="260"/>
              <w:jc w:val="left"/>
            </w:pPr>
            <w:r>
              <w:rPr>
                <w:b/>
                <w:bCs/>
                <w:sz w:val="18"/>
                <w:szCs w:val="18"/>
              </w:rPr>
              <w:t xml:space="preserve">Project Name</w:t>
            </w:r>
          </w:p>
        </w:tc>
        <w:tc>
          <w:tcPr>
            <w:tcW w:type="dxa" w:w="65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Streamlining IT Procurement: Automating Standard Laptop Orders with Flow Designer</w:t>
            </w:r>
          </w:p>
        </w:tc>
      </w:tr>
      <w:tr>
        <w:trPr>
          <w:cantSplit/>
        </w:trPr>
        <w:tc>
          <w:tcPr>
            <w:tcW w:type="dxa" w:w="3200"/>
            <w:tcBorders>
              <w:top w:val="single" w:color="9AA7B2" w:sz="4"/>
              <w:left w:val="single" w:color="9AA7B2" w:sz="4"/>
              <w:bottom w:val="single" w:color="9AA7B2" w:sz="4"/>
              <w:right w:val="single" w:color="9AA7B2" w:sz="4"/>
            </w:tcBorders>
            <w:shd w:fill="E8F1F5" w:color="auto" w:val="clear"/>
            <w:tcMar>
              <w:top w:type="dxa" w:w="60"/>
              <w:left w:type="dxa" w:w="100"/>
              <w:bottom w:type="dxa" w:w="60"/>
              <w:right w:type="dxa" w:w="100"/>
            </w:tcMar>
            <w:vAlign w:val="top"/>
          </w:tcPr>
          <w:p>
            <w:pPr>
              <w:spacing w:after="40" w:line="260"/>
              <w:jc w:val="left"/>
            </w:pPr>
            <w:r>
              <w:rPr>
                <w:b/>
                <w:bCs/>
                <w:sz w:val="18"/>
                <w:szCs w:val="18"/>
              </w:rPr>
              <w:t xml:space="preserve">Maximum Marks</w:t>
            </w:r>
          </w:p>
        </w:tc>
        <w:tc>
          <w:tcPr>
            <w:tcW w:type="dxa" w:w="65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2 Marks</w:t>
            </w:r>
          </w:p>
        </w:tc>
      </w:tr>
    </w:tbl>
    <w:p>
      <w:pPr>
        <w:spacing w:after="120"/>
      </w:pPr>
    </w:p>
    <w:p>
      <w:pPr>
        <w:pStyle w:val="Heading1"/>
        <w:keepNext/>
      </w:pPr>
      <w:r>
        <w:t xml:space="preserve">Proposed Solution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6246"/>
      </w:tblGrid>
      <w:tr>
        <w:trPr>
          <w:tblHeader/>
        </w:trPr>
        <w:tc>
          <w:tcPr>
            <w:tcW w:type="dxa" w:w="700"/>
            <w:tcBorders>
              <w:top w:val="single" w:color="9AA7B2" w:sz="4"/>
              <w:left w:val="single" w:color="9AA7B2" w:sz="4"/>
              <w:bottom w:val="single" w:color="9AA7B2" w:sz="4"/>
              <w:right w:val="single" w:color="9AA7B2" w:sz="4"/>
            </w:tcBorders>
            <w:shd w:fill="1F3A5F" w:color="auto" w:val="clear"/>
            <w:tcMar>
              <w:top w:type="dxa" w:w="60"/>
              <w:left w:type="dxa" w:w="100"/>
              <w:bottom w:type="dxa" w:w="60"/>
              <w:right w:type="dxa" w:w="100"/>
            </w:tcMar>
            <w:vAlign w:val="top"/>
          </w:tcPr>
          <w:p>
            <w:pPr>
              <w:spacing w:after="40" w:line="260"/>
              <w:jc w:val="left"/>
            </w:pPr>
            <w:r>
              <w:rPr>
                <w:b/>
                <w:bCs/>
                <w:color w:val="FFFFFF"/>
                <w:sz w:val="18"/>
                <w:szCs w:val="18"/>
              </w:rPr>
              <w:t xml:space="preserve">S.No.</w:t>
            </w:r>
          </w:p>
        </w:tc>
        <w:tc>
          <w:tcPr>
            <w:tcW w:type="dxa" w:w="2800"/>
            <w:tcBorders>
              <w:top w:val="single" w:color="9AA7B2" w:sz="4"/>
              <w:left w:val="single" w:color="9AA7B2" w:sz="4"/>
              <w:bottom w:val="single" w:color="9AA7B2" w:sz="4"/>
              <w:right w:val="single" w:color="9AA7B2" w:sz="4"/>
            </w:tcBorders>
            <w:shd w:fill="1F3A5F" w:color="auto" w:val="clear"/>
            <w:tcMar>
              <w:top w:type="dxa" w:w="60"/>
              <w:left w:type="dxa" w:w="100"/>
              <w:bottom w:type="dxa" w:w="60"/>
              <w:right w:type="dxa" w:w="100"/>
            </w:tcMar>
            <w:vAlign w:val="top"/>
          </w:tcPr>
          <w:p>
            <w:pPr>
              <w:spacing w:after="40" w:line="260"/>
              <w:jc w:val="left"/>
            </w:pPr>
            <w:r>
              <w:rPr>
                <w:b/>
                <w:bCs/>
                <w:color w:val="FFFFFF"/>
                <w:sz w:val="18"/>
                <w:szCs w:val="18"/>
              </w:rPr>
              <w:t xml:space="preserve">Parameter</w:t>
            </w:r>
          </w:p>
        </w:tc>
        <w:tc>
          <w:tcPr>
            <w:tcW w:type="dxa" w:w="6246"/>
            <w:tcBorders>
              <w:top w:val="single" w:color="9AA7B2" w:sz="4"/>
              <w:left w:val="single" w:color="9AA7B2" w:sz="4"/>
              <w:bottom w:val="single" w:color="9AA7B2" w:sz="4"/>
              <w:right w:val="single" w:color="9AA7B2" w:sz="4"/>
            </w:tcBorders>
            <w:shd w:fill="1F3A5F" w:color="auto" w:val="clear"/>
            <w:tcMar>
              <w:top w:type="dxa" w:w="60"/>
              <w:left w:type="dxa" w:w="100"/>
              <w:bottom w:type="dxa" w:w="60"/>
              <w:right w:type="dxa" w:w="100"/>
            </w:tcMar>
            <w:vAlign w:val="top"/>
          </w:tcPr>
          <w:p>
            <w:pPr>
              <w:spacing w:after="40" w:line="260"/>
              <w:jc w:val="left"/>
            </w:pPr>
            <w:r>
              <w:rPr>
                <w:b/>
                <w:bCs/>
                <w:color w:val="FFFFFF"/>
                <w:sz w:val="18"/>
                <w:szCs w:val="18"/>
              </w:rPr>
              <w:t xml:space="preserve">Description</w:t>
            </w:r>
          </w:p>
        </w:tc>
      </w:tr>
      <w:tr>
        <w:trPr>
          <w:cantSplit/>
        </w:trPr>
        <w:tc>
          <w:tcPr>
            <w:tcW w:type="dxa" w:w="7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1.</w:t>
            </w:r>
          </w:p>
        </w:tc>
        <w:tc>
          <w:tcPr>
            <w:tcW w:type="dxa" w:w="28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Problem Statement (Problem to be solved)</w:t>
            </w:r>
          </w:p>
        </w:tc>
        <w:tc>
          <w:tcPr>
            <w:tcW w:type="dxa" w:w="62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The IT procurement process for standard laptops depends on manual steps. Configuration tasks are created and assigned by hand, so they are delayed or missed, users wait longer and IT resources are used inefficiently.</w:t>
            </w:r>
          </w:p>
        </w:tc>
      </w:tr>
      <w:tr>
        <w:trPr>
          <w:cantSplit/>
        </w:trPr>
        <w:tc>
          <w:tcPr>
            <w:tcW w:type="dxa" w:w="7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2.</w:t>
            </w:r>
          </w:p>
        </w:tc>
        <w:tc>
          <w:tcPr>
            <w:tcW w:type="dxa" w:w="28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Idea / Solution description</w:t>
            </w:r>
          </w:p>
        </w:tc>
        <w:tc>
          <w:tcPr>
            <w:tcW w:type="dxa" w:w="62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Create a ServiceNow Flow Designer flow named "Standard laptop task". It uses the Service Catalog trigger and the Create Catalog Task action to generate a task with short description "Laptop needs to Configured", assignment group Hardware and approval Approved. The flow is attached to the Standard Laptop catalog item through the Process Engine tab, so every order creates the task automatically.</w:t>
            </w:r>
          </w:p>
        </w:tc>
      </w:tr>
      <w:tr>
        <w:trPr>
          <w:cantSplit/>
        </w:trPr>
        <w:tc>
          <w:tcPr>
            <w:tcW w:type="dxa" w:w="7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3.</w:t>
            </w:r>
          </w:p>
        </w:tc>
        <w:tc>
          <w:tcPr>
            <w:tcW w:type="dxa" w:w="28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Novelty / Uniqueness</w:t>
            </w:r>
          </w:p>
        </w:tc>
        <w:tc>
          <w:tcPr>
            <w:tcW w:type="dxa" w:w="62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Fully automated hand-off from approved order to the Hardware team using only low-code configuration. No scripting or custom application is needed.</w:t>
            </w:r>
          </w:p>
        </w:tc>
      </w:tr>
      <w:tr>
        <w:trPr>
          <w:cantSplit/>
        </w:trPr>
        <w:tc>
          <w:tcPr>
            <w:tcW w:type="dxa" w:w="7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4.</w:t>
            </w:r>
          </w:p>
        </w:tc>
        <w:tc>
          <w:tcPr>
            <w:tcW w:type="dxa" w:w="28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Social Impact / Customer Satisfaction</w:t>
            </w:r>
          </w:p>
        </w:tc>
        <w:tc>
          <w:tcPr>
            <w:tcW w:type="dxa" w:w="62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Shorter waiting time for employees, fewer follow-ups, less stress for IT staff and a more reliable experience for every requester.</w:t>
            </w:r>
          </w:p>
        </w:tc>
      </w:tr>
      <w:tr>
        <w:trPr>
          <w:cantSplit/>
        </w:trPr>
        <w:tc>
          <w:tcPr>
            <w:tcW w:type="dxa" w:w="7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5.</w:t>
            </w:r>
          </w:p>
        </w:tc>
        <w:tc>
          <w:tcPr>
            <w:tcW w:type="dxa" w:w="28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Business Model (Revenue Model)</w:t>
            </w:r>
          </w:p>
        </w:tc>
        <w:tc>
          <w:tcPr>
            <w:tcW w:type="dxa" w:w="62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Internal efficiency solution. Value comes from saved effort and faster laptop delivery rather than direct revenue. It can be reused as a template service for other IT teams or clients using ServiceNow.</w:t>
            </w:r>
          </w:p>
        </w:tc>
      </w:tr>
      <w:tr>
        <w:trPr>
          <w:cantSplit/>
        </w:trPr>
        <w:tc>
          <w:tcPr>
            <w:tcW w:type="dxa" w:w="7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6.</w:t>
            </w:r>
          </w:p>
        </w:tc>
        <w:tc>
          <w:tcPr>
            <w:tcW w:type="dxa" w:w="28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Scalability of the Solution</w:t>
            </w:r>
          </w:p>
        </w:tc>
        <w:tc>
          <w:tcPr>
            <w:tcW w:type="dxa" w:w="62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The flow can be copied for other hardware items (monitors, mobiles) and other assignment groups. More actions such as notifications or SLAs can be added to the same flow.</w:t>
            </w:r>
          </w:p>
        </w:tc>
      </w:tr>
    </w:tbl>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Standard Laptop Order Automation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SmartInternz | SmartBridge  —  ServiceNow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1B8A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creator>Project Team</dc:creator>
  <cp:lastModifiedBy>Un-named</cp:lastModifiedBy>
  <cp:revision>1</cp:revision>
  <dcterms:created xsi:type="dcterms:W3CDTF">2026-10-05T04:19:09.442Z</dcterms:created>
  <dcterms:modified xsi:type="dcterms:W3CDTF">2026-10-05T04:19:09.442Z</dcterms:modified>
</cp:coreProperties>
</file>

<file path=docProps/custom.xml><?xml version="1.0" encoding="utf-8"?>
<Properties xmlns="http://schemas.openxmlformats.org/officeDocument/2006/custom-properties" xmlns:vt="http://schemas.openxmlformats.org/officeDocument/2006/docPropsVTypes"/>
</file>