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 Architecture and Product Specifications Report: "Upward" Real Estate Unit Sales Platform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Product Overview and System Objectives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digitalization of real estate transactions demands highly sophisticated enterprise platforms capable of navigating fragmented, multi-jurisdictional regulatory frameworks while simultaneously automating high-friction operational workflows. The proposed web-based application, designated as "Upward," serves as an enterprise-grade Unit Sales module designed specifically for property developers and brokerages operating across the United States, Canada, and India. The platform is engineered to function as the central system of record for property unit sales, orchestrating complex tiered broker commissions, tracking buyer installment schedules, and interfacing seamlessly with legacy property management infrastructure, specifically the Yardi Voyager ecosystem.</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core of the Upward architecture is an advanced Artificial Intelligence (AI) and Machine Learning (ML) document extraction pipeline. Moving beyond the brittle paradigms of traditional Optical Character Recognition (OCR), the system relies on Vision Language Models (VLMs) capable of extracting critical transaction data from unstructured contracts, closing disclosures, and settlement statements.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Furthermore, the system incorporates a Human-in-the-Loop (HITL) active learning pipeline. This ensures that human interventions applied to low-confidence AI extractions are systematically fed back into the model, triggering automated retraining cycles that continuously enhance spatial and semantic extraction accuracy without requiring manual developer oversight.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comprehensive technical specification delineates the regulatory compliance parameters, the multimodal AI data extraction architecture, the financial orchestration logic for payables and receivables, the enterprise integration pathways, and the underlying multi-tenant database schema required to deploy the Upward platform.</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Multi-Jurisdictional Regulatory Compliance and Data Capture Requirements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foundational requirement for the Upward platform is strict adherence to the distinct real estate and financial regulations governing the USA, Canada, and India. The database schema, data residency policies, and AI extraction targets must be dynamically configured based on the geographic jurisdiction of the property unit being transacted. The system cannot rely on a monolithic data structure; rather, it must utilize a flexible, region-aware data ingestion framework.</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United States: RESPA, TRID, and Broker Commission Reforms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the United States, residential and commercial real estate transactions are heavily regulated by the Real Estate Settlement Procedures Act (RESPA) and the Truth in Lending Act (TILA). The integration of these regulatory bodies resulted in the TILA-RESPA Integrated Disclosure (TRID) rule, which mandates the use of specific, standardized Closing Disclosures (CD) and Settlement Statements.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The AI extraction engine within Upward must be meticulously calibrated to parse these documents, specifically aligning with the Uniform Closing Dataset (UCD) v2.0 specifications.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system must capture precise transaction details, including borrower and seller names, the specific lender entity, loan origination charges, recording fees, transfer taxes, sale price, personal property inclusions, liability items, and closing adjustments.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data extraction, the financial architecture of the Upward platform must adapt to recent, paradigm-shifting antitrust settlements involving the National Association of Realtors (NAR).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Historically, the US real estate market operated on a standard 5% to 6% commission model, typically paid entirely by the seller and split between the listing and buying agents via blanket offers on Multiple Listing Services (MLS).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recent regulatory settlements have abolished these blanket compensation offers, mandating explicit, written buyer-broker agreements prior to property tours.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the Upward system cannot assume a standardized, seller-paid commission split. The database architecture must support decoupled commission logic, tracking buyer-paid fees, seller concessions, flat-fee arrangements, and highly negotiated, localized fee structures independently.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The AI component must be trained to identify these specific compensation addenda within the uploaded purchase agreements, routing the data to the financial engine to dynamically construct the correct payable records for the respective brokerage entities.</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Canada: FINTRAC, AML Mandates, and Foreign Ownership Restrictions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Canadian real estate compliance is governed strictly by the Proceeds of Crime (Money Laundering) and Terrorist Financing Act (PCMLTFA), which is enforced by the Financial Transactions and Reports Analysis Centre of Canada (FINTRAC).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Real estate developers, brokers, and sales representatives are legally designated as reporting entities under this framework, requiring them to fulfill rigorous Know Your Client (KYC) protocols and anti-money laundering (AML) record-keeping obligations.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Upward system must capture, encrypt, and securely store specific data points to maintain absolute FINTRAC compliance. The primary requirement involves identity verification through prescribed methods, including government-issued photo identification details, Canadian credit file references, or dual-process verification data that matches information from two distinct, reliable sources.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Furthermore, whenever funds are transferred, the system must generate a Receipt of Funds Record. This record must capture the exact transaction date, the total monetary amount, the specific portion received in physical cash, the method of receipt, fiat currency exchange rates utilized, and the full details of all affected financial accounts.</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critical compliance mechanism that the Upward platform must automate is the reporting of Large Cash Transactions and Large Virtual Currency Transactions. Any transaction equivalent to $10,000 CAD or more requires immediate reporting to FINTRAC.</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Crucially, the system must implement a "24-hour rule" aggregation algorithm. If a single entity makes multiple fragmented payments that collectively breach the $10,000 threshold within a rolling 24-hour window, the software must automatically flag the event, halt further automated processing, and generate a Large Cash Transaction Report (LCTR) for human review and submission.</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Additionally, the system must navigate the Prohibition on the Purchase of Residential Property by Non-Canadians Act. This legislation restricts non-citizens, non-permanent residents, and foreign-controlled corporations from acquiring residential real estate.</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regulations define a foreign-controlled corporation as any entity with 3% or more foreign equity ownership.</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AI ingestion pipeline must be trained to extract citizenship declarations and corporate beneficial ownership structures from the uploaded closing documents, triggering a compliance hold if foreign equity restrictions are violated.</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India: RERA Transparency and Escrow Mechanics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Indian market, the Real Estate (Regulation and Development) Act, 2016 (RERA) fundamentally shifted the balance of transactional power from developers to property buyers, introducing rigid financial and structural transparency requirements.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Upward's Indian operational module must enforce these specific parameters to shield developers from severe legal penalties.</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AI must verify that uploaded documents constitute standardized, RERA-compliant Sale Agreements. The extraction targets must include the mandatory RERA Registration Number, sanctioned layout plans, exact carpet area specifications, and the declared project completion date.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major financial requirement under RERA is the strict control of project liquidity. The law mandates that 70% of all project funds realized from buyers must be deposited into a separate, dedicated escrow account, legally ring-fenced to cover only land acquisition and construction costs.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Upward receivables module must logically bifurcate all incoming buyer payments, ensuring that API pushes to the general ledger accurately reflect this 70/30 split and prevent unauthorized co-mingling of operational funds.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RERA strictly regulates buyer payment schedules. Advance payments are legally capped at 10% before a formal agreement is executed. Subsequent financial installments must be tied directly to verifiable, physical construction milestones rather than arbitrary calendar dates.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The AI must extract these specific milestone triggers from the payment annexure of the Sale Agreement and dynamically construct a conditional payment schedule for the buyer.</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Finally, the system must programmatically track the mandatory 5-year structural defect liability period post-possession and feature automated penalty calculators for project delays, applying the mandated State Bank of India (SBI) Marginal Cost of Funds Based Lending Rate (MCLR) plus 2% to compute any interest owed to the buyer.</w:t>
      </w:r>
      <w:r w:rsidDel="00000000" w:rsidR="00000000" w:rsidRPr="00000000">
        <w:rPr>
          <w:rFonts w:ascii="Google Sans" w:cs="Google Sans" w:eastAsia="Google Sans" w:hAnsi="Google Sans"/>
          <w:color w:val="444746"/>
          <w:sz w:val="24"/>
          <w:szCs w:val="24"/>
          <w:vertAlign w:val="superscript"/>
          <w:rtl w:val="0"/>
        </w:rPr>
        <w:t xml:space="preserve">14</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Jurisdiction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Legislation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Critical Data Fields &amp; Workflow Requirements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Penalty / Liability Considerations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United States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RESPA, TRID, TILA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Closing Disclosure (UCD v2.0), Decoupled Buyer/Seller Commission Agreements.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Prohibition of kickbacks, strict limitations on referral fees.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Canada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FINTRAC, PCMLTFA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KYC Dual-Process IDs, Receipt of Funds, 24-Hour $10k Aggregation, Beneficial Ownership (3% foreign equity limit).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Severe Administrative Monetary Penalties (AMPs) or criminal prosecution.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India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RERA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Registration Number, Exact Carpet Area, 70% Escrow Account Routing, Milestone-Linked Payment Schedules.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5-Year Defect Liability, SBI MCLR + 2% delay interest applied to developer.</w:t>
            </w:r>
          </w:p>
        </w:tc>
      </w:tr>
    </w:tbl>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AI-Driven Document Intelligence and Self-Learning Architecture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critical, technologically complex functional component of the Upward platform is the automated extraction of transaction data from uploaded agreements, culminating in the autonomous generation of payables (broker commissions) and receivables (buyer installments). Traditional Optical Character Recognition (OCR) systems are inherently brittle in this context; they rely on fixed templates, rigid coordinate mapping, and regular expressions that fail catastrophically when presented with the diverse, highly variable layouts of multi-jurisdictional real estate contracts.</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the enterprise-grade accuracy required for financial operations, Upward must implement a multimodal AI pipeline utilizing advanced Vision Language Models (VLMs) equipped with active learning capabilities.</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Model Architecture: Spatial-Aware Transformers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document ingestion pipeline will utilize transformer-based document AI models, such as the LayoutLM family (e.g., LayoutLMv3) or specialized multimodal architectures like NVIDIA's Nemotron Parse.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Unlike standard Large Language Models (LLMs) that serialize text and lose all structural context, LayoutLM incorporates visual features and spatial embeddings, allowing the AI to "see" the document precisely as a human reader would.</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preprocessing phase, the uploaded document is processed by an OCR engine to generate textual tokens alongside their corresponding bounding box coordinates </w:t>
      </w:r>
      <w:r w:rsidDel="00000000" w:rsidR="00000000" w:rsidRPr="00000000">
        <w:rPr>
          <w:rFonts w:ascii="Google Sans" w:cs="Google Sans" w:eastAsia="Google Sans" w:hAnsi="Google Sans"/>
          <w:color w:val="1f1f1f"/>
        </w:rPr>
        <w:drawing>
          <wp:inline distB="19050" distT="19050" distL="19050" distR="19050">
            <wp:extent cx="1076677" cy="236716"/>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076677" cy="23671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are normalized on a standardized 0-1000 scale.</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The VLM then accepts three parallel data inputs:</w:t>
      </w:r>
    </w:p>
    <w:p w:rsidR="00000000" w:rsidDel="00000000" w:rsidP="00000000" w:rsidRDefault="00000000" w:rsidRPr="00000000" w14:paraId="0000002B">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Text Embeddings:</w:t>
      </w:r>
      <w:r w:rsidDel="00000000" w:rsidR="00000000" w:rsidRPr="00000000">
        <w:rPr>
          <w:rFonts w:ascii="Google Sans" w:cs="Google Sans" w:eastAsia="Google Sans" w:hAnsi="Google Sans"/>
          <w:color w:val="1f1f1f"/>
          <w:rtl w:val="0"/>
        </w:rPr>
        <w:t xml:space="preserve"> The actual semantic meaning of the words extracted from the contract.</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2D Position Embeddings:</w:t>
      </w:r>
      <w:r w:rsidDel="00000000" w:rsidR="00000000" w:rsidRPr="00000000">
        <w:rPr>
          <w:rFonts w:ascii="Google Sans" w:cs="Google Sans" w:eastAsia="Google Sans" w:hAnsi="Google Sans"/>
          <w:color w:val="1f1f1f"/>
          <w:rtl w:val="0"/>
        </w:rPr>
        <w:t xml:space="preserve"> The spatial coordinates indicating precisely where the text appears on the page relative to other elements.</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Image Embeddings:</w:t>
      </w:r>
      <w:r w:rsidDel="00000000" w:rsidR="00000000" w:rsidRPr="00000000">
        <w:rPr>
          <w:rFonts w:ascii="Google Sans" w:cs="Google Sans" w:eastAsia="Google Sans" w:hAnsi="Google Sans"/>
          <w:color w:val="1f1f1f"/>
          <w:rtl w:val="0"/>
        </w:rPr>
        <w:t xml:space="preserve"> Visual features derived from a Convolutional Neural Network (CNN) backbone that understands structural layout components such as tables, signatures, stamps, and checkboxes.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multimodal approach empowers the AI to understand semantic relationships through spatial proximity. For example, the system can reliably associate a specific broker's name with a specific commission percentage deeply nested inside a complex closing disclosure table, a task where traditional, text-only sequential parsers routinely fail.</w:t>
      </w:r>
      <w:r w:rsidDel="00000000" w:rsidR="00000000" w:rsidRPr="00000000">
        <w:rPr>
          <w:rFonts w:ascii="Google Sans" w:cs="Google Sans" w:eastAsia="Google Sans" w:hAnsi="Google Sans"/>
          <w:color w:val="444746"/>
          <w:sz w:val="24"/>
          <w:szCs w:val="24"/>
          <w:vertAlign w:val="superscript"/>
          <w:rtl w:val="0"/>
        </w:rPr>
        <w:t xml:space="preserve">2</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Automated Entity Extraction and Financial Generation</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Upon document upload, the AI executes a sophisticated inference pass to extract the required schema based on the identified jurisdiction. First, the system performs core Information Extraction (IE), identifying the buyer (including names, addresses, and requisite IDs for FINTRAC compliance), the seller or developer entity, the specific property unit (including carpet area and project IDs for RERA compliance), and the transacting brokers involved in the sale.</w:t>
      </w:r>
      <w:r w:rsidDel="00000000" w:rsidR="00000000" w:rsidRPr="00000000">
        <w:rPr>
          <w:rFonts w:ascii="Google Sans" w:cs="Google Sans" w:eastAsia="Google Sans" w:hAnsi="Google Sans"/>
          <w:color w:val="444746"/>
          <w:sz w:val="24"/>
          <w:szCs w:val="24"/>
          <w:vertAlign w:val="superscript"/>
          <w:rtl w:val="0"/>
        </w:rPr>
        <w:t xml:space="preserve">14</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Next, the system triggers the Payables Automation workflow. The AI extracts the final executed sale price and the specific broker or agency associated with the transaction. It then queries the platform's internal relational database to retrieve that specific broker's active commission tier (e.g., a graduated 85/15 split that occurs only after a $12,000 annual cap is reached).</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system dynamically applies this mathematical logic to the extracted sale price and automatically stages a payable record for the brokerage, holding it in a pending state until final review.</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Simultaneously, the system executes the Receivables Automation workflow to generate buyer payment schedules. The AI isolates and parses the payment annexure of the contract. If processing an Indian RERA agreement, it extracts narrative milestone events (e.g., "15% of total consideration upon completion of the foundation slab"). If processing a North American fixed amortization schedule, it extracts the principal amount, term length, and specific interest rate calculations. The system translates these unstructured contractual clauses into a highly structured, chronological ledger of receivables, which the administrative team can review and approve.</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Human-in-the-Loop (HITL) Exception Routing and Validation</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multimodal VLMs achieve exceptionally high baseline accuracy, mission-critical financial software requires absolute precision. Out-of-the-box AI models typically achieve 50-70% accuracy on highly complex, unseen documents, but integrating Human-in-the-Loop (HITL) validation for low-confidence data pushes final systemic accuracy above 95%.</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Upward's architecture must feature a dynamic confidence-scoring threshold. If the VLM's softmax output probability for a specific extracted entity (such as the sale price or a FINTRAC identification number) falls below a predefined threshold (e.g., 0.85), the document is immediately routed to an exception queue for manual review.</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administrative User Interface (UI) will present a split-screen, side-by-side validation view. On one side, the user views the original document image with superimposed, color-coded bounding boxes representing the AI's extraction attempts. On the other side, a structured data form displays the parsed values. Human operators can visually verify the data, drag, resize, or correct the bounding boxes directly on the image, and manually amend the extracted text. This strategic human intervention provides two critical benefits: it ensures immediate operational accuracy for the specific financial transaction, and it generates high-fidelity ground truth data necessary for the subsequent self-learning loop.</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Active Learning and Continuous Feedback Loop</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core client requirement dictates that the AI must be "self-learning," allowing the system to autonomously learn from human corrections to understand what information is important and where it resides across perpetually shifting document templates. This is achieved through an automated active learning pipeline and robust MLOps architecture, adapted from industry-standard blueprints like the Dexit framework.</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user corrects a bounding box or text field and clicks "Approve," the system captures the precise mathematical and semantic delta between the initial AI prediction and the final human-verified state. This paired data (consisting of the Original Image, the Corrected Bounding Box Coordinates, and the Verified Text) is stored securely in a structured feedback_data SQL table.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Temporal workflows running in the background continuously monitor the overall extraction accuracy of the production model by calculating the ratio of corrected documents to total committed documents. If the systemic accuracy drops below an acceptable baseline for specific entities, an automated retraining job is triggered without requiring manual engineering intervention.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retrain the model effectively, the system curates a smart dataset. It uses "uncertainty sampling," explicitly selecting cases where the model historically failed or was least confident.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system must also utilize "stratified sampling." If the model is only trained on the new, failed edge cases, it will suffer from "catastrophic forgetting"—a phenomenon where the neural network successfully learns the new document layout but completely forgets how to process previously mastered layouts. Therefore, the retraining dataset is carefully balanced, injecting a mix of historical, high-confidence extractions alongside the newly corrected edge cases.</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automated MLOps pipeline pulls the base VLM from the Model Registry, fine-tunes the network weights utilizing this curated dataset, and produces a new candidate model (Model V2). Model V2 is then subjected to an evaluation gauntlet against a hidden, standardized test set. If Model V2 demonstrably outperforms the current production model in precision, recall, and F1-score metrics, it is automatically promoted to production via the API, completing the self-learning cycle and ensuring the platform becomes progressively more intelligent with every processed transaction.</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Orchestration: Broker Payables and Buyer Receivables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engine of the Upward platform must possess immense flexibility to accommodate the diverse compensation models and payment structures inherent to the target markets. The system must seamlessly translate the raw data extracted by the AI pipeline into actionable, compliant accounting ledgers.</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Granular Broker Commission Matrix</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software must support complex, highly customizable commission models that vary not just by brokerage firm, but down to the individual agent level. A rigid, global flat-percentage algorithm is fundamentally insufficient. The architecture must include a dynamic rule engine capable of processing various compensation typologies.</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Brokerages frequently utilize tiered commission plans featuring graduated splits based on rolling production volume or Gross Commission Income (GCI). For example, a brokerage may retain 30% of the commission (a 70/30 split favoring the agent) until the agent reaches a specific performance cap, such as $100,000 in generated revenue or a hard cap of $12,000 paid to the house, after which the split shifts to 90/10, or caps entirely, allowing the agent to retain 100% of subsequent commissions minus minor transaction fees.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complex team environments, commissions are often subject to multiple cascading deductions. The gross commission may first be reduced by a franchise fee, then subject to the standard brokerage split, and finally divided according to a team leader's split, which often dictates a 50/50 division for team-sourced leads versus a more favorable split for agent-sourced leads.</w:t>
      </w:r>
      <w:r w:rsidDel="00000000" w:rsidR="00000000" w:rsidRPr="00000000">
        <w:rPr>
          <w:rFonts w:ascii="Google Sans" w:cs="Google Sans" w:eastAsia="Google Sans" w:hAnsi="Google Sans"/>
          <w:color w:val="444746"/>
          <w:sz w:val="24"/>
          <w:szCs w:val="24"/>
          <w:vertAlign w:val="superscript"/>
          <w:rtl w:val="0"/>
        </w:rPr>
        <w:t xml:space="preserve">29</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geographic variations heavily dictate commission architecture. In Canada, commission models shift drastically by province. Markets like British Columbia frequently utilize a tiered rate based on the property value itself (e.g., 7% on the first $100,000 and 2.5% on the remaining balance), whereas markets in Quebec heavily favor flat commission rates ranging from 4% to 5%.</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The Upward system must synthesize the extracted sale price, query the specific agent's active profile, execute the cascading mathematical logic, and instantly generate the Payable record. This process must also dynamically factor in regional tax applications, such as Canada's Goods and Services Tax (GST) or Harmonized Sales Tax (HST), which apply differently to real estate professional services across various provinces.</w:t>
      </w:r>
      <w:r w:rsidDel="00000000" w:rsidR="00000000" w:rsidRPr="00000000">
        <w:rPr>
          <w:rFonts w:ascii="Google Sans" w:cs="Google Sans" w:eastAsia="Google Sans" w:hAnsi="Google Sans"/>
          <w:color w:val="444746"/>
          <w:sz w:val="24"/>
          <w:szCs w:val="24"/>
          <w:vertAlign w:val="superscript"/>
          <w:rtl w:val="0"/>
        </w:rPr>
        <w:t xml:space="preserve">31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Commission Model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Calculation Logic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Typical Application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Flat Percentage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Fixed percentage of the total property sale price.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 agency agreements, specific regional markets (e.g., Quebec).</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Tiered Volume Split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Split ratio (e.g., 70/30) shifts to a higher tier (e.g., 90/10) after the agent achieves a predetermined GCI threshold or annual cap.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High-performance brokerages, modern franchise models.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Tiered Property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Different percentages applied to different tranches of the sale price (e.g., 7% on first $100k, 2.5% on balance).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Regional Canadian markets (e.g., British Columbia, Alberta).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Team Cascading Split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Gross commission reduced by franchise fee </w:t>
            </w:r>
            <w:r w:rsidDel="00000000" w:rsidR="00000000" w:rsidRPr="00000000">
              <w:rPr>
                <w:rFonts w:ascii="Google Sans" w:cs="Google Sans" w:eastAsia="Google Sans" w:hAnsi="Google Sans"/>
                <w:color w:val="1f1f1f"/>
                <w:shd w:fill="auto" w:val="clear"/>
              </w:rPr>
              <w:drawing>
                <wp:inline distB="19050" distT="19050" distL="19050" distR="19050">
                  <wp:extent cx="161330" cy="192059"/>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330" cy="1920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brokerage split </w:t>
            </w:r>
            <w:r w:rsidDel="00000000" w:rsidR="00000000" w:rsidRPr="00000000">
              <w:rPr>
                <w:rFonts w:ascii="Google Sans" w:cs="Google Sans" w:eastAsia="Google Sans" w:hAnsi="Google Sans"/>
                <w:color w:val="1f1f1f"/>
                <w:shd w:fill="auto" w:val="clear"/>
              </w:rPr>
              <w:drawing>
                <wp:inline distB="19050" distT="19050" distL="19050" distR="19050">
                  <wp:extent cx="161330" cy="192059"/>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61330" cy="192059"/>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internal team split based on lead origination source.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Mega-teams operating within larger brokerage umbrellas.</w:t>
            </w:r>
          </w:p>
        </w:tc>
      </w:tr>
    </w:tbl>
    <w:p w:rsidR="00000000" w:rsidDel="00000000" w:rsidP="00000000" w:rsidRDefault="00000000" w:rsidRPr="00000000" w14:paraId="00000053">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Dynamic Buyer Amortization and Milestone Schedules</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receivables ledger is responsible for tracking the complex inflow of funds from property buyers. The database architecture must be capable of handling multi-tier amortization schedules, effectively dividing the loan or payment plan into successive segments, each governed by unique repayment rules.</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North American markets, this primarily involves calculating standard principal and interest payments (EMI) using various industry-standard interest calculation methods, such as Actual/360, Actual/365, or 30/360, depending on the specifics extracted from the financing addendums.</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for the Indian market governed by RERA, the system must predominantly handle Construction-Linked Plans (CLP). In these structures, a significant portion of the purchase price (typically 25-30%) is paid upfront, while the remainder is divided into specific percentage installments triggered solely by physical construction stages (e.g., 10% upon completion of the foundation, 10% upon completion of the third-floor slab).</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The Upward software must feature a project management dashboard that allows developers to trigger a specific milestone globally. Upon triggering, the system must automatically execute a batch process that generates accurate invoices and updates the receivables ledger for all individual buyers associated with that specific project phase.</w:t>
      </w:r>
    </w:p>
    <w:p w:rsidR="00000000" w:rsidDel="00000000" w:rsidP="00000000" w:rsidRDefault="00000000" w:rsidRPr="00000000" w14:paraId="0000005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Enterprise Integration: Yardi Voyager Architecture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ensure the Upward platform functions as a seamless operational layer rather than a siloed data repository, all financial transactions—specifically the payables designated for brokers and the receivables tracked from buyers—must be synchronized bidirectionally with the client's Yardi Voyager system. Yardi Voyager serves as the dominant property management and general ledger ecosystem for enterprise real estate portfolios.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Integrating with Yardi requires navigating highly specific technical and commercial architectures.</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Standard Interface Partnership Program (SIPP)</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For deep, programmatic, and real-time API access, Upward can pursue integration via Yardi's Standard Interface Partnership Program (SIPP). This integration pathway relies on a robust service-oriented architecture, utilizing SOAP and REST web services to exchange complex XML or JSON data payloads.</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SIPP framework allows for advanced capabilities, including real-time querying of vendor data, synchronization of tenant ledgers, and immediate posting to the general ledger at the function or process level.</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However, this pathway presents significant commercial and operational constraints. Joining the SIPP requires an annual licensing fee of $25,000 per specific interface type integrated, the execution of complex Data Exchange Agreements, and a mandatory beta-testing phase involving a mutual "pilot client" before the integration is approved for general market release.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While this route represents the optimal long-term strategy for deep enterprise deployments, it poses a high barrier to entry for initial product launch.</w:t>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FinPayables ETL and CSV Push Mechanics</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bypass the stringent financial and timeline barriers of the SIPP while maintaining robust, highly functional integration, the Upward platform will implement a primary Extract, Transform, Load (ETL) pipeline utilizing the standard Yardi "FinPayables" CSV format.</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Yardi's internal scripting engine was originally designed to natively support the batch importation of strictly formatted CSV files, making this a highly reliable integration method.</w:t>
      </w:r>
      <w:r w:rsidDel="00000000" w:rsidR="00000000" w:rsidRPr="00000000">
        <w:rPr>
          <w:rFonts w:ascii="Google Sans" w:cs="Google Sans" w:eastAsia="Google Sans" w:hAnsi="Google Sans"/>
          <w:color w:val="444746"/>
          <w:sz w:val="24"/>
          <w:szCs w:val="24"/>
          <w:vertAlign w:val="superscript"/>
          <w:rtl w:val="0"/>
        </w:rPr>
        <w:t xml:space="preserve">40</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Upward application must feature a dedicated, intuitive integration mapping dashboard. When an administrator marks a commission batch as "Approved for Payment," the system compiles the batch data into the highly specific FinPayables schema. To ensure the generated file is accepted seamlessly by Yardi's catcher schema, the Upward system must allow administrators to map the following critical parameters </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F">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Yardi Vendor Codes:</w:t>
      </w:r>
      <w:r w:rsidDel="00000000" w:rsidR="00000000" w:rsidRPr="00000000">
        <w:rPr>
          <w:rFonts w:ascii="Google Sans" w:cs="Google Sans" w:eastAsia="Google Sans" w:hAnsi="Google Sans"/>
          <w:color w:val="1f1f1f"/>
          <w:rtl w:val="0"/>
        </w:rPr>
        <w:t xml:space="preserve"> Every individual broker, agent, or external agency operating within the Upward system must be explicitly linked to a unique Yardi Vendor ID to ensure payments are routed correctly.</w:t>
      </w:r>
    </w:p>
    <w:p w:rsidR="00000000" w:rsidDel="00000000" w:rsidP="00000000" w:rsidRDefault="00000000" w:rsidRPr="00000000" w14:paraId="00000060">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Yardi Property Codes:</w:t>
      </w:r>
      <w:r w:rsidDel="00000000" w:rsidR="00000000" w:rsidRPr="00000000">
        <w:rPr>
          <w:rFonts w:ascii="Google Sans" w:cs="Google Sans" w:eastAsia="Google Sans" w:hAnsi="Google Sans"/>
          <w:color w:val="1f1f1f"/>
          <w:rtl w:val="0"/>
        </w:rPr>
        <w:t xml:space="preserve"> All unit sales and associated financial transactions must be tied to the correct underlying real estate asset or entity code within the Yardi ledger.</w:t>
      </w:r>
    </w:p>
    <w:p w:rsidR="00000000" w:rsidDel="00000000" w:rsidP="00000000" w:rsidRDefault="00000000" w:rsidRPr="00000000" w14:paraId="00000061">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General Ledger (GL) Codes:</w:t>
      </w:r>
      <w:r w:rsidDel="00000000" w:rsidR="00000000" w:rsidRPr="00000000">
        <w:rPr>
          <w:rFonts w:ascii="Google Sans" w:cs="Google Sans" w:eastAsia="Google Sans" w:hAnsi="Google Sans"/>
          <w:color w:val="1f1f1f"/>
          <w:rtl w:val="0"/>
        </w:rPr>
        <w:t xml:space="preserve"> Payments must be categorized with absolute accounting accuracy. The mapping interface must allow administrators to map specific Upward transaction types to specific Yardi GL codes. For complex investment structures, distributions can be split across specific accounting buckets (e.g., Return of Capital versus Promote).</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2">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Consolidation Indicators:</w:t>
      </w:r>
      <w:r w:rsidDel="00000000" w:rsidR="00000000" w:rsidRPr="00000000">
        <w:rPr>
          <w:rFonts w:ascii="Google Sans" w:cs="Google Sans" w:eastAsia="Google Sans" w:hAnsi="Google Sans"/>
          <w:color w:val="1f1f1f"/>
          <w:rtl w:val="0"/>
        </w:rPr>
        <w:t xml:space="preserve"> A boolean flag must be included in the export, instructing the Yardi system whether to consolidate multiple commission payouts directed to the same broker into a single check or maintain them as distinct, itemized line items on the ledger.</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3">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Accounts Payable / Accrual Codes:</w:t>
      </w:r>
      <w:r w:rsidDel="00000000" w:rsidR="00000000" w:rsidRPr="00000000">
        <w:rPr>
          <w:rFonts w:ascii="Google Sans" w:cs="Google Sans" w:eastAsia="Google Sans" w:hAnsi="Google Sans"/>
          <w:color w:val="1f1f1f"/>
          <w:rtl w:val="0"/>
        </w:rPr>
        <w:t xml:space="preserve"> Establishing the correct liability account upon import to ensure the balance sheet balances perfectly prior to the physical disbursement of funds.</w:t>
      </w:r>
      <w:r w:rsidDel="00000000" w:rsidR="00000000" w:rsidRPr="00000000">
        <w:rPr>
          <w:rFonts w:ascii="Google Sans" w:cs="Google Sans" w:eastAsia="Google Sans" w:hAnsi="Google Sans"/>
          <w:color w:val="444746"/>
          <w:sz w:val="24"/>
          <w:szCs w:val="24"/>
          <w:vertAlign w:val="superscript"/>
          <w:rtl w:val="0"/>
        </w:rPr>
        <w:t xml:space="preserve">41</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utilizing this structured, template-driven ETL approach, users can generate the FinPayables file directly within the Upward environment and transmit it to the Yardi system either via Secure File Transfer Protocol (SFTP), an automated API push (if the client's specific Yardi environment has enabled premium import features), or via manual upload through the Yardi Administrator console.</w:t>
      </w:r>
      <w:r w:rsidDel="00000000" w:rsidR="00000000" w:rsidRPr="00000000">
        <w:rPr>
          <w:rFonts w:ascii="Google Sans" w:cs="Google Sans" w:eastAsia="Google Sans" w:hAnsi="Google Sans"/>
          <w:color w:val="444746"/>
          <w:sz w:val="24"/>
          <w:szCs w:val="24"/>
          <w:vertAlign w:val="superscript"/>
          <w:rtl w:val="0"/>
        </w:rPr>
        <w:t xml:space="preserve">39</w:t>
      </w:r>
    </w:p>
    <w:p w:rsidR="00000000" w:rsidDel="00000000" w:rsidP="00000000" w:rsidRDefault="00000000" w:rsidRPr="00000000" w14:paraId="0000006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Database Schema and System Architecture Best Practices</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Architecting a system tasked with managing rigid legal compliance frameworks, processing vast amounts of AI training data, and executing complex financial ledgers across three distinct geographical regions requires a highly robust, scalable, and secure multi-tenant database architecture.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Multi-Tenant Data Modeling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effectively balance data isolation requirements with infrastructure cost efficiency, the "Shared Database, Separate Schema" model is highly recommended for the Upward platform.</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In this specific architecture, all enterprise clients operate on a single, powerful relational database instance (e.g., PostgreSQL), but each client—or each distinct geographical region—is allocated a completely separate database schema containing its own set of tables.</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approach provides a high degree of data security and logical isolation, which is absolutely crucial when handling sensitive KYC identification documents under Canadian FINTRAC regulations or highly confidential financial disclosures under US RESPA rules. It fundamentally prevents data leakage between tenants due to application-layer bugs, while keeping infrastructure and maintenance costs moderate compared to the heavy overhead of spinning up completely isolated databases for every individual client.</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6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Dynamic Attributes Pattern (JSONB Implementation)</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significant engineering challenge in developing multi-country software lies in the vast divergence of required data fields. An Indian property unit necessitates the storage of a specific RERA Registration Number and Exact Carpet Area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 Canadian unit requires the tracking of Foreign Ownership Equity percentages and FINTRAC Dual-Process ID references </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while a US unit requires complex TRID Loan Origination parameters and specific escrow disclosures.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Attempting to hardcode all these disparate fields into a single, rigid relational table results in a sparsely populated, bloated database structure that requires constant, highly disruptive schema migrations (ALTER TABLE operations) every time a local jurisdiction updates its laws.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this inherent rigidity, the Upward database will utilize the Dynamic Attributes Pattern, heavily leveraging JSONB column types within PostgreSQL.</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1f1f1f"/>
          <w:rtl w:val="0"/>
        </w:rPr>
        <w:t xml:space="preserve">The base tables (such as Unit_Sales, Properties, and Buyers) will contain only the universally required columns that apply across all jurisdictions (e.g., sale_id, property_id, buyer_id, base_sale_price, transaction_date).</w:t>
      </w:r>
    </w:p>
    <w:p w:rsidR="00000000" w:rsidDel="00000000" w:rsidP="00000000" w:rsidRDefault="00000000" w:rsidRPr="00000000" w14:paraId="0000006F">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1f1f1f"/>
          <w:rtl w:val="0"/>
        </w:rPr>
        <w:t xml:space="preserve">A localized compliance_metadata JSONB column will be appended to these tables to store all region-specific data. This architectural choice allows the application frontend to dynamically generate UI forms and AI extraction targets based purely on the property's country code. It achieves infinite extensibility, allowing the system to adapt to new regulatory fields instantly without requiring database downtime or complex migrations.</w:t>
      </w:r>
      <w:r w:rsidDel="00000000" w:rsidR="00000000" w:rsidRPr="00000000">
        <w:rPr>
          <w:rFonts w:ascii="Google Sans" w:cs="Google Sans" w:eastAsia="Google Sans" w:hAnsi="Google Sans"/>
          <w:color w:val="444746"/>
          <w:sz w:val="24"/>
          <w:szCs w:val="24"/>
          <w:vertAlign w:val="superscript"/>
          <w:rtl w:val="0"/>
        </w:rPr>
        <w:t xml:space="preserve">43</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Table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Key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Universal Relational Columns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JSONB Dynamic Columns (compliance_metadata)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Properties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property_id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name, address, country, total_units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India: rera_reg_number, escrow_bank_details. USA: zoning_code.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Unit_Sales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property_id, buyer_id, sale_price, date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Canada: fintrac_24hr_flag, foreign_equity_pct. India: carpet_area.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Buyers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buyer_id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first_name, last_name, email, phone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Canada: dual_process_id_1, dual_process_id_2. USA: ssn_hash.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Commissions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comm_id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sale_id, broker_id, amount, status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USA: buyer_broker_agreement_verified. Canada: hst_tax_amount.</w:t>
            </w:r>
          </w:p>
        </w:tc>
      </w:tr>
    </w:tbl>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Data Residency, Security, and Compliance</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Global data privacy laws necessitate strict data localization strategies. While the core application logic and AI inference engines can reside globally, sensitive Personally Identifiable Information (PII) extracted from contracts—such as Social Security Numbers for US buyers, or highly sensitive FINTRAC KYC documents in Canada—must strictly comply with regional data residency requirements.</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system architecture must employ intelligent, region-aware routing, ensuring that Canadian citizen data is stored exclusively in Canadian cloud instances (e.g., AWS ca-central-1) to satisfy federal auditing standards and comply with the Personal Information Protection and Electronic Documents Act (PIPEDA).</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all documents stored temporarily for the AI ingestion pipeline (utilizing object storage like Amazon S3 or Cloudflare R2) and the data housed within the feedback_data tables must be encrypted at rest and in transit using industry-standard protocols.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Because the Human-in-the-Loop review process exposes human operators to these documents, role-based access control (RBAC) must be rigorously enforced. The system should ideally redact or obfuscate PII, ensuring that human reviewers in the HITL loop only access the specific bounding box snippets required to correct an AI extraction failure, rather than viewing the full, unredacted legal documents.</w:t>
      </w:r>
    </w:p>
    <w:p w:rsidR="00000000" w:rsidDel="00000000" w:rsidP="00000000" w:rsidRDefault="00000000" w:rsidRPr="00000000" w14:paraId="0000008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Product Implementation Roadmap</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"Upward" product represents a highly complex, critical intersection of proptech, fintech, and legaltech. To successfully execute this build and deliver a market-ready platform, the engineering and project management phases must adhere to the following strict specifications:</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AI Pipeline Primacy:</w:t>
      </w:r>
      <w:r w:rsidDel="00000000" w:rsidR="00000000" w:rsidRPr="00000000">
        <w:rPr>
          <w:rFonts w:ascii="Google Sans" w:cs="Google Sans" w:eastAsia="Google Sans" w:hAnsi="Google Sans"/>
          <w:color w:val="1f1f1f"/>
          <w:rtl w:val="0"/>
        </w:rPr>
        <w:t xml:space="preserve"> The spatial-aware VLM architecture is the defining competitive advantage of the product. The engineering team must not rely on simple, zero-shot LLM prompts alone, as they cannot reliably parse tabular financial data. The integration of LayoutLM-style spatial embeddings is non-negotiable. Furthermore, the Human-in-the-Loop interface must be fully operational for day-one deployment to capture edge cases, fuel the active learning loop, and prevent model degradation over time.</w:t>
      </w:r>
    </w:p>
    <w:p w:rsidR="00000000" w:rsidDel="00000000" w:rsidP="00000000" w:rsidRDefault="00000000" w:rsidRPr="00000000" w14:paraId="0000008B">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Compliance as Code:</w:t>
      </w:r>
      <w:r w:rsidDel="00000000" w:rsidR="00000000" w:rsidRPr="00000000">
        <w:rPr>
          <w:rFonts w:ascii="Google Sans" w:cs="Google Sans" w:eastAsia="Google Sans" w:hAnsi="Google Sans"/>
          <w:color w:val="1f1f1f"/>
          <w:rtl w:val="0"/>
        </w:rPr>
        <w:t xml:space="preserve"> Regulatory rules cannot be treated as optional UI features. The system must enforce hard stops at the database layer. For example, the system must programmatically prevent a contract finalization event if Canadian FINTRAC 24-hour transaction limits are breached without an accompanying LCTR, or if Indian RERA 70% escrow splits are improperly routed.</w:t>
      </w:r>
    </w:p>
    <w:p w:rsidR="00000000" w:rsidDel="00000000" w:rsidP="00000000" w:rsidRDefault="00000000" w:rsidRPr="00000000" w14:paraId="0000008C">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Financial Abstraction:</w:t>
      </w:r>
      <w:r w:rsidDel="00000000" w:rsidR="00000000" w:rsidRPr="00000000">
        <w:rPr>
          <w:rFonts w:ascii="Google Sans" w:cs="Google Sans" w:eastAsia="Google Sans" w:hAnsi="Google Sans"/>
          <w:color w:val="1f1f1f"/>
          <w:rtl w:val="0"/>
        </w:rPr>
        <w:t xml:space="preserve"> The commission engine must remain entirely decoupled from traditional assumptions. It must possess the mathematical flexibility to handle the post-NAR settlement landscape in North America, where buyer and seller fees are heavily negotiated and entirely separate, while maintaining the capacity to generate flexible, construction-linked milestone triggers for the Indian market.</w:t>
      </w:r>
    </w:p>
    <w:p w:rsidR="00000000" w:rsidDel="00000000" w:rsidP="00000000" w:rsidRDefault="00000000" w:rsidRPr="00000000" w14:paraId="0000008D">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Phased Yardi Integration:</w:t>
      </w:r>
      <w:r w:rsidDel="00000000" w:rsidR="00000000" w:rsidRPr="00000000">
        <w:rPr>
          <w:rFonts w:ascii="Google Sans" w:cs="Google Sans" w:eastAsia="Google Sans" w:hAnsi="Google Sans"/>
          <w:color w:val="1f1f1f"/>
          <w:rtl w:val="0"/>
        </w:rPr>
        <w:t xml:space="preserve"> Initial enterprise integrations with Yardi Voyager should leverage the FinPayables CSV/ETL methodology. This allows for rapid market deployment and proves the platform's value without incurring massive upfront costs. The highly complex, cost-intensive SIPP API integration should be reserved for a Phase 2 rollout targeting tier-one enterprise clients.</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architecting a flexible JSONB database, deploying a self-healing AI extraction pipeline, and respecting the rigid, unforgiving regulatory boundaries of the target nations, the Upward platform will deliver an unprecedented level of automation, compliance, and financial oversight to the global real estate unit sales industry.</w:t>
      </w:r>
    </w:p>
    <w:p w:rsidR="00000000" w:rsidDel="00000000" w:rsidP="00000000" w:rsidRDefault="00000000" w:rsidRPr="00000000" w14:paraId="0000008F">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9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Yardi PHA Suite, accessed on February 28, 2026, </w:t>
      </w:r>
      <w:hyperlink r:id="rId8">
        <w:r w:rsidDel="00000000" w:rsidR="00000000" w:rsidRPr="00000000">
          <w:rPr>
            <w:rFonts w:ascii="Google Sans" w:cs="Google Sans" w:eastAsia="Google Sans" w:hAnsi="Google Sans"/>
            <w:color w:val="0000ee"/>
            <w:sz w:val="24"/>
            <w:szCs w:val="24"/>
            <w:u w:val="single"/>
            <w:rtl w:val="0"/>
          </w:rPr>
          <w:t xml:space="preserve">https://www.yardi.com/documents/pha_suite.pdf</w:t>
        </w:r>
      </w:hyperlink>
      <w:r w:rsidDel="00000000" w:rsidR="00000000" w:rsidRPr="00000000">
        <w:rPr>
          <w:rtl w:val="0"/>
        </w:rPr>
      </w:r>
    </w:p>
    <w:p w:rsidR="00000000" w:rsidDel="00000000" w:rsidP="00000000" w:rsidRDefault="00000000" w:rsidRPr="00000000" w14:paraId="0000009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Elevate Your Commercial Ventures: Building an Intelligent Key-Value Extraction Pipeline with Open-Source AI | by Yang Kewen | Medium, accessed on February 28, 2026, </w:t>
      </w:r>
      <w:hyperlink r:id="rId9">
        <w:r w:rsidDel="00000000" w:rsidR="00000000" w:rsidRPr="00000000">
          <w:rPr>
            <w:rFonts w:ascii="Google Sans" w:cs="Google Sans" w:eastAsia="Google Sans" w:hAnsi="Google Sans"/>
            <w:color w:val="0000ee"/>
            <w:sz w:val="24"/>
            <w:szCs w:val="24"/>
            <w:u w:val="single"/>
            <w:rtl w:val="0"/>
          </w:rPr>
          <w:t xml:space="preserve">https://medium.com/@yangkewenvigorous/information-extraction-by-layoutlm-ca24d5ff46aa</w:t>
        </w:r>
      </w:hyperlink>
      <w:r w:rsidDel="00000000" w:rsidR="00000000" w:rsidRPr="00000000">
        <w:rPr>
          <w:rtl w:val="0"/>
        </w:rPr>
      </w:r>
    </w:p>
    <w:p w:rsidR="00000000" w:rsidDel="00000000" w:rsidP="00000000" w:rsidRDefault="00000000" w:rsidRPr="00000000" w14:paraId="0000009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Turn Complex Documents into Usable Data with VLM, NVIDIA Nemotron Parse 1.1, accessed on February 28, 2026, </w:t>
      </w:r>
      <w:hyperlink r:id="rId10">
        <w:r w:rsidDel="00000000" w:rsidR="00000000" w:rsidRPr="00000000">
          <w:rPr>
            <w:rFonts w:ascii="Google Sans" w:cs="Google Sans" w:eastAsia="Google Sans" w:hAnsi="Google Sans"/>
            <w:color w:val="0000ee"/>
            <w:sz w:val="24"/>
            <w:szCs w:val="24"/>
            <w:u w:val="single"/>
            <w:rtl w:val="0"/>
          </w:rPr>
          <w:t xml:space="preserve">https://developer.nvidia.com/blog/turn-complex-documents-into-usable-data-with-vlm-nvidia-nemotron-parse-1-1/</w:t>
        </w:r>
      </w:hyperlink>
      <w:r w:rsidDel="00000000" w:rsidR="00000000" w:rsidRPr="00000000">
        <w:rPr>
          <w:rtl w:val="0"/>
        </w:rPr>
      </w:r>
    </w:p>
    <w:p w:rsidR="00000000" w:rsidDel="00000000" w:rsidP="00000000" w:rsidRDefault="00000000" w:rsidRPr="00000000" w14:paraId="0000009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 a Self-improving ML System with Model Retraining - 314e, accessed on February 28, 2026, </w:t>
      </w:r>
      <w:hyperlink r:id="rId11">
        <w:r w:rsidDel="00000000" w:rsidR="00000000" w:rsidRPr="00000000">
          <w:rPr>
            <w:rFonts w:ascii="Google Sans" w:cs="Google Sans" w:eastAsia="Google Sans" w:hAnsi="Google Sans"/>
            <w:color w:val="0000ee"/>
            <w:sz w:val="24"/>
            <w:szCs w:val="24"/>
            <w:u w:val="single"/>
            <w:rtl w:val="0"/>
          </w:rPr>
          <w:t xml:space="preserve">https://www.314e.com/engineering-hub/how-to-architect-a-self-improving-ml-system-with-automated-model-retraining/</w:t>
        </w:r>
      </w:hyperlink>
      <w:r w:rsidDel="00000000" w:rsidR="00000000" w:rsidRPr="00000000">
        <w:rPr>
          <w:rtl w:val="0"/>
        </w:rPr>
      </w:r>
    </w:p>
    <w:p w:rsidR="00000000" w:rsidDel="00000000" w:rsidP="00000000" w:rsidRDefault="00000000" w:rsidRPr="00000000" w14:paraId="0000009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 In The Loop (HITL) for AI Document Processing → Unstract.com, accessed on February 28, 2026, </w:t>
      </w:r>
      <w:hyperlink r:id="rId12">
        <w:r w:rsidDel="00000000" w:rsidR="00000000" w:rsidRPr="00000000">
          <w:rPr>
            <w:rFonts w:ascii="Google Sans" w:cs="Google Sans" w:eastAsia="Google Sans" w:hAnsi="Google Sans"/>
            <w:color w:val="0000ee"/>
            <w:sz w:val="24"/>
            <w:szCs w:val="24"/>
            <w:u w:val="single"/>
            <w:rtl w:val="0"/>
          </w:rPr>
          <w:t xml:space="preserve">https://unstract.com/blog/human-in-the-loop-hitl-for-ai-document-processing/</w:t>
        </w:r>
      </w:hyperlink>
      <w:r w:rsidDel="00000000" w:rsidR="00000000" w:rsidRPr="00000000">
        <w:rPr>
          <w:rtl w:val="0"/>
        </w:rPr>
      </w:r>
    </w:p>
    <w:p w:rsidR="00000000" w:rsidDel="00000000" w:rsidP="00000000" w:rsidRDefault="00000000" w:rsidRPr="00000000" w14:paraId="0000009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Estate Settlement Procedures Act (RESPA) - NAR.realtor, accessed on February 28, 2026, </w:t>
      </w:r>
      <w:hyperlink r:id="rId13">
        <w:r w:rsidDel="00000000" w:rsidR="00000000" w:rsidRPr="00000000">
          <w:rPr>
            <w:rFonts w:ascii="Google Sans" w:cs="Google Sans" w:eastAsia="Google Sans" w:hAnsi="Google Sans"/>
            <w:color w:val="0000ee"/>
            <w:sz w:val="24"/>
            <w:szCs w:val="24"/>
            <w:u w:val="single"/>
            <w:rtl w:val="0"/>
          </w:rPr>
          <w:t xml:space="preserve">https://www.nar.realtor/real-estate-settlement-procedures-act-respa</w:t>
        </w:r>
      </w:hyperlink>
      <w:r w:rsidDel="00000000" w:rsidR="00000000" w:rsidRPr="00000000">
        <w:rPr>
          <w:rtl w:val="0"/>
        </w:rPr>
      </w:r>
    </w:p>
    <w:p w:rsidR="00000000" w:rsidDel="00000000" w:rsidP="00000000" w:rsidRDefault="00000000" w:rsidRPr="00000000" w14:paraId="0000009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Record Retention Requirements under the TILA-RESPA Integrated Disclosure Rule, accessed on February 28, 2026, </w:t>
      </w:r>
      <w:hyperlink r:id="rId14">
        <w:r w:rsidDel="00000000" w:rsidR="00000000" w:rsidRPr="00000000">
          <w:rPr>
            <w:rFonts w:ascii="Google Sans" w:cs="Google Sans" w:eastAsia="Google Sans" w:hAnsi="Google Sans"/>
            <w:color w:val="0000ee"/>
            <w:sz w:val="24"/>
            <w:szCs w:val="24"/>
            <w:u w:val="single"/>
            <w:rtl w:val="0"/>
          </w:rPr>
          <w:t xml:space="preserve">https://www.cullenllp.com/blog/new-record-retention-requirements-under-the-tila-respa-integrated-disclosure-rule/</w:t>
        </w:r>
      </w:hyperlink>
      <w:r w:rsidDel="00000000" w:rsidR="00000000" w:rsidRPr="00000000">
        <w:rPr>
          <w:rtl w:val="0"/>
        </w:rPr>
      </w:r>
    </w:p>
    <w:p w:rsidR="00000000" w:rsidDel="00000000" w:rsidP="00000000" w:rsidRDefault="00000000" w:rsidRPr="00000000" w14:paraId="0000009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Uniform Closing Dataset (UCD) Specification v2.0 - Fannie Mae ..., accessed on February 28, 2026, </w:t>
      </w:r>
      <w:hyperlink r:id="rId15">
        <w:r w:rsidDel="00000000" w:rsidR="00000000" w:rsidRPr="00000000">
          <w:rPr>
            <w:rFonts w:ascii="Google Sans" w:cs="Google Sans" w:eastAsia="Google Sans" w:hAnsi="Google Sans"/>
            <w:color w:val="0000ee"/>
            <w:sz w:val="24"/>
            <w:szCs w:val="24"/>
            <w:u w:val="single"/>
            <w:rtl w:val="0"/>
          </w:rPr>
          <w:t xml:space="preserve">https://singlefamily.fanniemae.com/media/6601/display</w:t>
        </w:r>
      </w:hyperlink>
      <w:r w:rsidDel="00000000" w:rsidR="00000000" w:rsidRPr="00000000">
        <w:rPr>
          <w:rtl w:val="0"/>
        </w:rPr>
      </w:r>
    </w:p>
    <w:p w:rsidR="00000000" w:rsidDel="00000000" w:rsidP="00000000" w:rsidRDefault="00000000" w:rsidRPr="00000000" w14:paraId="0000009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Changing Real Estate Agent Fees Will Help All Buyers and Sellers but Will Help Some More Than Others - Urban.org, accessed on February 28, 2026, </w:t>
      </w:r>
      <w:hyperlink r:id="rId16">
        <w:r w:rsidDel="00000000" w:rsidR="00000000" w:rsidRPr="00000000">
          <w:rPr>
            <w:rFonts w:ascii="Google Sans" w:cs="Google Sans" w:eastAsia="Google Sans" w:hAnsi="Google Sans"/>
            <w:color w:val="0000ee"/>
            <w:sz w:val="24"/>
            <w:szCs w:val="24"/>
            <w:u w:val="single"/>
            <w:rtl w:val="0"/>
          </w:rPr>
          <w:t xml:space="preserve">https://www.urban.org/urban-wire/changing-real-estate-agent-fees-will-help-all-buyers-and-sellers-will-help-some-more</w:t>
        </w:r>
      </w:hyperlink>
      <w:r w:rsidDel="00000000" w:rsidR="00000000" w:rsidRPr="00000000">
        <w:rPr>
          <w:rtl w:val="0"/>
        </w:rPr>
      </w:r>
    </w:p>
    <w:p w:rsidR="00000000" w:rsidDel="00000000" w:rsidP="00000000" w:rsidRDefault="00000000" w:rsidRPr="00000000" w14:paraId="0000009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Estate Agent Commission in 2025: New Rules, Average Rates &amp; Splits Explained, accessed on February 28, 2026, </w:t>
      </w:r>
      <w:hyperlink r:id="rId17">
        <w:r w:rsidDel="00000000" w:rsidR="00000000" w:rsidRPr="00000000">
          <w:rPr>
            <w:rFonts w:ascii="Google Sans" w:cs="Google Sans" w:eastAsia="Google Sans" w:hAnsi="Google Sans"/>
            <w:color w:val="0000ee"/>
            <w:sz w:val="24"/>
            <w:szCs w:val="24"/>
            <w:u w:val="single"/>
            <w:rtl w:val="0"/>
          </w:rPr>
          <w:t xml:space="preserve">https://www.usrealtytraining.com/blogs/real-estate-agent-commission</w:t>
        </w:r>
      </w:hyperlink>
      <w:r w:rsidDel="00000000" w:rsidR="00000000" w:rsidRPr="00000000">
        <w:rPr>
          <w:rtl w:val="0"/>
        </w:rPr>
      </w:r>
    </w:p>
    <w:p w:rsidR="00000000" w:rsidDel="00000000" w:rsidP="00000000" w:rsidRDefault="00000000" w:rsidRPr="00000000" w14:paraId="0000009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estate brokers or sales representatives, and real estate developers - canafe, accessed on February 28, 2026, </w:t>
      </w:r>
      <w:hyperlink r:id="rId18">
        <w:r w:rsidDel="00000000" w:rsidR="00000000" w:rsidRPr="00000000">
          <w:rPr>
            <w:rFonts w:ascii="Google Sans" w:cs="Google Sans" w:eastAsia="Google Sans" w:hAnsi="Google Sans"/>
            <w:color w:val="0000ee"/>
            <w:sz w:val="24"/>
            <w:szCs w:val="24"/>
            <w:u w:val="single"/>
            <w:rtl w:val="0"/>
          </w:rPr>
          <w:t xml:space="preserve">https://fintrac-canafe.canada.ca/re-ed/real-eng</w:t>
        </w:r>
      </w:hyperlink>
      <w:r w:rsidDel="00000000" w:rsidR="00000000" w:rsidRPr="00000000">
        <w:rPr>
          <w:rtl w:val="0"/>
        </w:rPr>
      </w:r>
    </w:p>
    <w:p w:rsidR="00000000" w:rsidDel="00000000" w:rsidP="00000000" w:rsidRDefault="00000000" w:rsidRPr="00000000" w14:paraId="0000009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Anti-Money Laundering for Real Estate Buyers - BCFSA, accessed on February 28, 2026, </w:t>
      </w:r>
      <w:hyperlink r:id="rId19">
        <w:r w:rsidDel="00000000" w:rsidR="00000000" w:rsidRPr="00000000">
          <w:rPr>
            <w:rFonts w:ascii="Google Sans" w:cs="Google Sans" w:eastAsia="Google Sans" w:hAnsi="Google Sans"/>
            <w:color w:val="0000ee"/>
            <w:sz w:val="24"/>
            <w:szCs w:val="24"/>
            <w:u w:val="single"/>
            <w:rtl w:val="0"/>
          </w:rPr>
          <w:t xml:space="preserve">https://www.bcfsa.ca/public-resources/real-estate/buying-home/anti-money-laundering-real-estate-buyers</w:t>
        </w:r>
      </w:hyperlink>
      <w:r w:rsidDel="00000000" w:rsidR="00000000" w:rsidRPr="00000000">
        <w:rPr>
          <w:rtl w:val="0"/>
        </w:rPr>
      </w:r>
    </w:p>
    <w:p w:rsidR="00000000" w:rsidDel="00000000" w:rsidP="00000000" w:rsidRDefault="00000000" w:rsidRPr="00000000" w14:paraId="0000009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Sweeping new federal restrictions on foreign acquisitions of residential real estate come in force - Torys LLP, accessed on February 28, 2026, </w:t>
      </w:r>
      <w:hyperlink r:id="rId20">
        <w:r w:rsidDel="00000000" w:rsidR="00000000" w:rsidRPr="00000000">
          <w:rPr>
            <w:rFonts w:ascii="Google Sans" w:cs="Google Sans" w:eastAsia="Google Sans" w:hAnsi="Google Sans"/>
            <w:color w:val="0000ee"/>
            <w:sz w:val="24"/>
            <w:szCs w:val="24"/>
            <w:u w:val="single"/>
            <w:rtl w:val="0"/>
          </w:rPr>
          <w:t xml:space="preserve">https://www.torys.com/en/our-latest-thinking/publications/2023/01/sweeping-new-federal-restrictions-on-foreign-acquisitions-of-residential-real-estate</w:t>
        </w:r>
      </w:hyperlink>
      <w:r w:rsidDel="00000000" w:rsidR="00000000" w:rsidRPr="00000000">
        <w:rPr>
          <w:rtl w:val="0"/>
        </w:rPr>
      </w:r>
    </w:p>
    <w:p w:rsidR="00000000" w:rsidDel="00000000" w:rsidP="00000000" w:rsidRDefault="00000000" w:rsidRPr="00000000" w14:paraId="0000009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Key Clauses to Look for in a RERA Compliant Sale Agreement, accessed on February 28, 2026, </w:t>
      </w:r>
      <w:hyperlink r:id="rId21">
        <w:r w:rsidDel="00000000" w:rsidR="00000000" w:rsidRPr="00000000">
          <w:rPr>
            <w:rFonts w:ascii="Google Sans" w:cs="Google Sans" w:eastAsia="Google Sans" w:hAnsi="Google Sans"/>
            <w:color w:val="0000ee"/>
            <w:sz w:val="24"/>
            <w:szCs w:val="24"/>
            <w:u w:val="single"/>
            <w:rtl w:val="0"/>
          </w:rPr>
          <w:t xml:space="preserve">https://rerafiling.com/rera-article-detail.php/912/key-clauses-to-look-for-in-a-rera-compliant-sale-agreement</w:t>
        </w:r>
      </w:hyperlink>
      <w:r w:rsidDel="00000000" w:rsidR="00000000" w:rsidRPr="00000000">
        <w:rPr>
          <w:rtl w:val="0"/>
        </w:rPr>
      </w:r>
    </w:p>
    <w:p w:rsidR="00000000" w:rsidDel="00000000" w:rsidP="00000000" w:rsidRDefault="00000000" w:rsidRPr="00000000" w14:paraId="0000009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Booking to Possession: What Homebuyers Should Know About the RERA Timeline - Squarea Consulting, accessed on February 28, 2026, </w:t>
      </w:r>
      <w:hyperlink r:id="rId22">
        <w:r w:rsidDel="00000000" w:rsidR="00000000" w:rsidRPr="00000000">
          <w:rPr>
            <w:rFonts w:ascii="Google Sans" w:cs="Google Sans" w:eastAsia="Google Sans" w:hAnsi="Google Sans"/>
            <w:color w:val="0000ee"/>
            <w:sz w:val="24"/>
            <w:szCs w:val="24"/>
            <w:u w:val="single"/>
            <w:rtl w:val="0"/>
          </w:rPr>
          <w:t xml:space="preserve">https://www.squarea.io/from-booking-to-possession-what-homebuyers-should-know-about-the-rera-timeline/</w:t>
        </w:r>
      </w:hyperlink>
      <w:r w:rsidDel="00000000" w:rsidR="00000000" w:rsidRPr="00000000">
        <w:rPr>
          <w:rtl w:val="0"/>
        </w:rPr>
      </w:r>
    </w:p>
    <w:p w:rsidR="00000000" w:rsidDel="00000000" w:rsidP="00000000" w:rsidRDefault="00000000" w:rsidRPr="00000000" w14:paraId="0000009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Clear Guide to the RERA-Linked Construction Payment Schedule - Times Property, accessed on February 28, 2026, </w:t>
      </w:r>
      <w:hyperlink r:id="rId23">
        <w:r w:rsidDel="00000000" w:rsidR="00000000" w:rsidRPr="00000000">
          <w:rPr>
            <w:rFonts w:ascii="Google Sans" w:cs="Google Sans" w:eastAsia="Google Sans" w:hAnsi="Google Sans"/>
            <w:color w:val="0000ee"/>
            <w:sz w:val="24"/>
            <w:szCs w:val="24"/>
            <w:u w:val="single"/>
            <w:rtl w:val="0"/>
          </w:rPr>
          <w:t xml:space="preserve">https://timesproperty.com/article/post/rera-payment-schedule-explained-for-homebuyers-blid11043</w:t>
        </w:r>
      </w:hyperlink>
      <w:r w:rsidDel="00000000" w:rsidR="00000000" w:rsidRPr="00000000">
        <w:rPr>
          <w:rtl w:val="0"/>
        </w:rPr>
      </w:r>
    </w:p>
    <w:p w:rsidR="00000000" w:rsidDel="00000000" w:rsidP="00000000" w:rsidRDefault="00000000" w:rsidRPr="00000000" w14:paraId="000000A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Beyond OCR: How AI is Transforming Document Processing for Enterprise Applications, accessed on February 28, 2026, </w:t>
      </w:r>
      <w:hyperlink r:id="rId24">
        <w:r w:rsidDel="00000000" w:rsidR="00000000" w:rsidRPr="00000000">
          <w:rPr>
            <w:rFonts w:ascii="Google Sans" w:cs="Google Sans" w:eastAsia="Google Sans" w:hAnsi="Google Sans"/>
            <w:color w:val="0000ee"/>
            <w:sz w:val="24"/>
            <w:szCs w:val="24"/>
            <w:u w:val="single"/>
            <w:rtl w:val="0"/>
          </w:rPr>
          <w:t xml:space="preserve">https://www.infoq.com/articles/ocr-ai-document-processing/</w:t>
        </w:r>
      </w:hyperlink>
      <w:r w:rsidDel="00000000" w:rsidR="00000000" w:rsidRPr="00000000">
        <w:rPr>
          <w:rtl w:val="0"/>
        </w:rPr>
      </w:r>
    </w:p>
    <w:p w:rsidR="00000000" w:rsidDel="00000000" w:rsidP="00000000" w:rsidRDefault="00000000" w:rsidRPr="00000000" w14:paraId="000000A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Accelerating Document AI - Hugging Face, accessed on February 28, 2026, </w:t>
      </w:r>
      <w:hyperlink r:id="rId25">
        <w:r w:rsidDel="00000000" w:rsidR="00000000" w:rsidRPr="00000000">
          <w:rPr>
            <w:rFonts w:ascii="Google Sans" w:cs="Google Sans" w:eastAsia="Google Sans" w:hAnsi="Google Sans"/>
            <w:color w:val="0000ee"/>
            <w:sz w:val="24"/>
            <w:szCs w:val="24"/>
            <w:u w:val="single"/>
            <w:rtl w:val="0"/>
          </w:rPr>
          <w:t xml:space="preserve">https://huggingface.co/blog/document-ai</w:t>
        </w:r>
      </w:hyperlink>
      <w:r w:rsidDel="00000000" w:rsidR="00000000" w:rsidRPr="00000000">
        <w:rPr>
          <w:rtl w:val="0"/>
        </w:rPr>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LayoutLM - Hugging Face, accessed on February 28, 2026, </w:t>
      </w:r>
      <w:hyperlink r:id="rId26">
        <w:r w:rsidDel="00000000" w:rsidR="00000000" w:rsidRPr="00000000">
          <w:rPr>
            <w:rFonts w:ascii="Google Sans" w:cs="Google Sans" w:eastAsia="Google Sans" w:hAnsi="Google Sans"/>
            <w:color w:val="0000ee"/>
            <w:sz w:val="24"/>
            <w:szCs w:val="24"/>
            <w:u w:val="single"/>
            <w:rtl w:val="0"/>
          </w:rPr>
          <w:t xml:space="preserve">https://huggingface.co/docs/transformers/en/model_doc/layoutlm</w:t>
        </w:r>
      </w:hyperlink>
      <w:r w:rsidDel="00000000" w:rsidR="00000000" w:rsidRPr="00000000">
        <w:rPr>
          <w:rtl w:val="0"/>
        </w:rPr>
      </w:r>
    </w:p>
    <w:p w:rsidR="00000000" w:rsidDel="00000000" w:rsidP="00000000" w:rsidRDefault="00000000" w:rsidRPr="00000000" w14:paraId="000000A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OCR in the browser using TensorFlow.js, accessed on February 28, 2026, </w:t>
      </w:r>
      <w:hyperlink r:id="rId27">
        <w:r w:rsidDel="00000000" w:rsidR="00000000" w:rsidRPr="00000000">
          <w:rPr>
            <w:rFonts w:ascii="Google Sans" w:cs="Google Sans" w:eastAsia="Google Sans" w:hAnsi="Google Sans"/>
            <w:color w:val="0000ee"/>
            <w:sz w:val="24"/>
            <w:szCs w:val="24"/>
            <w:u w:val="single"/>
            <w:rtl w:val="0"/>
          </w:rPr>
          <w:t xml:space="preserve">https://blog.tensorflow.org/2022/06/ocr-in-browser-using-tensorflowjs.html</w:t>
        </w:r>
      </w:hyperlink>
      <w:r w:rsidDel="00000000" w:rsidR="00000000" w:rsidRPr="00000000">
        <w:rPr>
          <w:rtl w:val="0"/>
        </w:rPr>
      </w:r>
    </w:p>
    <w:p w:rsidR="00000000" w:rsidDel="00000000" w:rsidP="00000000" w:rsidRDefault="00000000" w:rsidRPr="00000000" w14:paraId="000000A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Broker Commission Structure: A Comprehensive Guide 2024 - RealAgentsOnDuty.com, accessed on February 28, 2026, </w:t>
      </w:r>
      <w:hyperlink r:id="rId28">
        <w:r w:rsidDel="00000000" w:rsidR="00000000" w:rsidRPr="00000000">
          <w:rPr>
            <w:rFonts w:ascii="Google Sans" w:cs="Google Sans" w:eastAsia="Google Sans" w:hAnsi="Google Sans"/>
            <w:color w:val="0000ee"/>
            <w:sz w:val="24"/>
            <w:szCs w:val="24"/>
            <w:u w:val="single"/>
            <w:rtl w:val="0"/>
          </w:rPr>
          <w:t xml:space="preserve">https://realagentsonduty.com/real-broker-commission-structure-2024/</w:t>
        </w:r>
      </w:hyperlink>
      <w:r w:rsidDel="00000000" w:rsidR="00000000" w:rsidRPr="00000000">
        <w:rPr>
          <w:rtl w:val="0"/>
        </w:rPr>
      </w:r>
    </w:p>
    <w:p w:rsidR="00000000" w:rsidDel="00000000" w:rsidP="00000000" w:rsidRDefault="00000000" w:rsidRPr="00000000" w14:paraId="000000A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Multi-Tier Amortization Schedules for Loans - Lendfoundry, accessed on February 28, 2026, </w:t>
      </w:r>
      <w:hyperlink r:id="rId29">
        <w:r w:rsidDel="00000000" w:rsidR="00000000" w:rsidRPr="00000000">
          <w:rPr>
            <w:rFonts w:ascii="Google Sans" w:cs="Google Sans" w:eastAsia="Google Sans" w:hAnsi="Google Sans"/>
            <w:color w:val="0000ee"/>
            <w:sz w:val="24"/>
            <w:szCs w:val="24"/>
            <w:u w:val="single"/>
            <w:rtl w:val="0"/>
          </w:rPr>
          <w:t xml:space="preserve">https://lendfoundry.com/solutions/loan-servicing-software/amortization-schedules/</w:t>
        </w:r>
      </w:hyperlink>
      <w:r w:rsidDel="00000000" w:rsidR="00000000" w:rsidRPr="00000000">
        <w:rPr>
          <w:rtl w:val="0"/>
        </w:rPr>
      </w:r>
    </w:p>
    <w:p w:rsidR="00000000" w:rsidDel="00000000" w:rsidP="00000000" w:rsidRDefault="00000000" w:rsidRPr="00000000" w14:paraId="000000A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Ingestion: AI-Powered Processing Guide for Unstructured Data (December 2025), accessed on February 28, 2026, </w:t>
      </w:r>
      <w:hyperlink r:id="rId30">
        <w:r w:rsidDel="00000000" w:rsidR="00000000" w:rsidRPr="00000000">
          <w:rPr>
            <w:rFonts w:ascii="Google Sans" w:cs="Google Sans" w:eastAsia="Google Sans" w:hAnsi="Google Sans"/>
            <w:color w:val="0000ee"/>
            <w:sz w:val="24"/>
            <w:szCs w:val="24"/>
            <w:u w:val="single"/>
            <w:rtl w:val="0"/>
          </w:rPr>
          <w:t xml:space="preserve">https://www.extend.ai/resources/document-ingestion-ai-processing-guide</w:t>
        </w:r>
      </w:hyperlink>
      <w:r w:rsidDel="00000000" w:rsidR="00000000" w:rsidRPr="00000000">
        <w:rPr>
          <w:rtl w:val="0"/>
        </w:rPr>
      </w:r>
    </w:p>
    <w:p w:rsidR="00000000" w:rsidDel="00000000" w:rsidP="00000000" w:rsidRDefault="00000000" w:rsidRPr="00000000" w14:paraId="000000A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Human-in-the-Loop Intelligent Document Processing - Infrrd, accessed on February 28, 2026, </w:t>
      </w:r>
      <w:hyperlink r:id="rId31">
        <w:r w:rsidDel="00000000" w:rsidR="00000000" w:rsidRPr="00000000">
          <w:rPr>
            <w:rFonts w:ascii="Google Sans" w:cs="Google Sans" w:eastAsia="Google Sans" w:hAnsi="Google Sans"/>
            <w:color w:val="0000ee"/>
            <w:sz w:val="24"/>
            <w:szCs w:val="24"/>
            <w:u w:val="single"/>
            <w:rtl w:val="0"/>
          </w:rPr>
          <w:t xml:space="preserve">https://www.infrrd.ai/blog/does-ai-need-a-human-in-the-loop</w:t>
        </w:r>
      </w:hyperlink>
      <w:r w:rsidDel="00000000" w:rsidR="00000000" w:rsidRPr="00000000">
        <w:rPr>
          <w:rtl w:val="0"/>
        </w:rPr>
      </w:r>
    </w:p>
    <w:p w:rsidR="00000000" w:rsidDel="00000000" w:rsidP="00000000" w:rsidRDefault="00000000" w:rsidRPr="00000000" w14:paraId="000000A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Fine-tuning LayoutLM on SROIE: Information Extraction from Scanned Receipts (Internal) | layoutlm_sroie_demo – Weights &amp; Biases - Wandb, accessed on February 28, 2026, </w:t>
      </w:r>
      <w:hyperlink r:id="rId32">
        <w:r w:rsidDel="00000000" w:rsidR="00000000" w:rsidRPr="00000000">
          <w:rPr>
            <w:rFonts w:ascii="Google Sans" w:cs="Google Sans" w:eastAsia="Google Sans" w:hAnsi="Google Sans"/>
            <w:color w:val="0000ee"/>
            <w:sz w:val="24"/>
            <w:szCs w:val="24"/>
            <w:u w:val="single"/>
            <w:rtl w:val="0"/>
          </w:rPr>
          <w:t xml:space="preserve">https://wandb.ai/wandb-data-science/layoutlm_sroie_demo/reports/Fine-tuning-LayoutLM-on-SROIE-Information-Extraction-from-Scanned-Receipts-Internal---VmlldzoxMTY5MzU5</w:t>
        </w:r>
      </w:hyperlink>
      <w:r w:rsidDel="00000000" w:rsidR="00000000" w:rsidRPr="00000000">
        <w:rPr>
          <w:rtl w:val="0"/>
        </w:rPr>
      </w:r>
    </w:p>
    <w:p w:rsidR="00000000" w:rsidDel="00000000" w:rsidP="00000000" w:rsidRDefault="00000000" w:rsidRPr="00000000" w14:paraId="000000A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AI-Assisted Data Labeling Using Active Learning Loops - Software Development Company, accessed on February 28, 2026, </w:t>
      </w:r>
      <w:hyperlink r:id="rId33">
        <w:r w:rsidDel="00000000" w:rsidR="00000000" w:rsidRPr="00000000">
          <w:rPr>
            <w:rFonts w:ascii="Google Sans" w:cs="Google Sans" w:eastAsia="Google Sans" w:hAnsi="Google Sans"/>
            <w:color w:val="0000ee"/>
            <w:sz w:val="24"/>
            <w:szCs w:val="24"/>
            <w:u w:val="single"/>
            <w:rtl w:val="0"/>
          </w:rPr>
          <w:t xml:space="preserve">https://dev.co/ai/ai-assisted-data-labeling-using-active-learning-loops</w:t>
        </w:r>
      </w:hyperlink>
      <w:r w:rsidDel="00000000" w:rsidR="00000000" w:rsidRPr="00000000">
        <w:rPr>
          <w:rtl w:val="0"/>
        </w:rPr>
      </w:r>
    </w:p>
    <w:p w:rsidR="00000000" w:rsidDel="00000000" w:rsidP="00000000" w:rsidRDefault="00000000" w:rsidRPr="00000000" w14:paraId="000000A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the Amazon.com Catalog Team built self-learning generative AI at scale with Amazon Bedrock | Artificial Intelligence, accessed on February 28, 2026, </w:t>
      </w:r>
      <w:hyperlink r:id="rId34">
        <w:r w:rsidDel="00000000" w:rsidR="00000000" w:rsidRPr="00000000">
          <w:rPr>
            <w:rFonts w:ascii="Google Sans" w:cs="Google Sans" w:eastAsia="Google Sans" w:hAnsi="Google Sans"/>
            <w:color w:val="0000ee"/>
            <w:sz w:val="24"/>
            <w:szCs w:val="24"/>
            <w:u w:val="single"/>
            <w:rtl w:val="0"/>
          </w:rPr>
          <w:t xml:space="preserve">https://aws.amazon.com/blogs/machine-learning/how-the-amazon-com-catalog-team-built-self-learning-generative-ai-at-scale-with-amazon-bedrock/</w:t>
        </w:r>
      </w:hyperlink>
      <w:r w:rsidDel="00000000" w:rsidR="00000000" w:rsidRPr="00000000">
        <w:rPr>
          <w:rtl w:val="0"/>
        </w:rPr>
      </w:r>
    </w:p>
    <w:p w:rsidR="00000000" w:rsidDel="00000000" w:rsidP="00000000" w:rsidRDefault="00000000" w:rsidRPr="00000000" w14:paraId="000000A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Most Common and Useful Split Commission Plans for Real Estate, accessed on February 28, 2026, </w:t>
      </w:r>
      <w:hyperlink r:id="rId35">
        <w:r w:rsidDel="00000000" w:rsidR="00000000" w:rsidRPr="00000000">
          <w:rPr>
            <w:rFonts w:ascii="Google Sans" w:cs="Google Sans" w:eastAsia="Google Sans" w:hAnsi="Google Sans"/>
            <w:color w:val="0000ee"/>
            <w:sz w:val="24"/>
            <w:szCs w:val="24"/>
            <w:u w:val="single"/>
            <w:rtl w:val="0"/>
          </w:rPr>
          <w:t xml:space="preserve">https://commissionsblog.blitzrocks.com/commission-plans-real-estate</w:t>
        </w:r>
      </w:hyperlink>
      <w:r w:rsidDel="00000000" w:rsidR="00000000" w:rsidRPr="00000000">
        <w:rPr>
          <w:rtl w:val="0"/>
        </w:rPr>
      </w:r>
    </w:p>
    <w:p w:rsidR="00000000" w:rsidDel="00000000" w:rsidP="00000000" w:rsidRDefault="00000000" w:rsidRPr="00000000" w14:paraId="000000A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Real Estate Teams Split Commission in 2025 - Join Realty Hub, accessed on February 28, 2026, </w:t>
      </w:r>
      <w:hyperlink r:id="rId36">
        <w:r w:rsidDel="00000000" w:rsidR="00000000" w:rsidRPr="00000000">
          <w:rPr>
            <w:rFonts w:ascii="Google Sans" w:cs="Google Sans" w:eastAsia="Google Sans" w:hAnsi="Google Sans"/>
            <w:color w:val="0000ee"/>
            <w:sz w:val="24"/>
            <w:szCs w:val="24"/>
            <w:u w:val="single"/>
            <w:rtl w:val="0"/>
          </w:rPr>
          <w:t xml:space="preserve">https://joinrealtyhub.com/real-estate-team-commission-splits-2025/</w:t>
        </w:r>
      </w:hyperlink>
      <w:r w:rsidDel="00000000" w:rsidR="00000000" w:rsidRPr="00000000">
        <w:rPr>
          <w:rtl w:val="0"/>
        </w:rPr>
      </w:r>
    </w:p>
    <w:p w:rsidR="00000000" w:rsidDel="00000000" w:rsidP="00000000" w:rsidRDefault="00000000" w:rsidRPr="00000000" w14:paraId="000000AD">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Real Estate Commission Rates - Rocket Advance, accessed on February 28, 2026, </w:t>
      </w:r>
      <w:hyperlink r:id="rId37">
        <w:r w:rsidDel="00000000" w:rsidR="00000000" w:rsidRPr="00000000">
          <w:rPr>
            <w:rFonts w:ascii="Google Sans" w:cs="Google Sans" w:eastAsia="Google Sans" w:hAnsi="Google Sans"/>
            <w:color w:val="0000ee"/>
            <w:sz w:val="24"/>
            <w:szCs w:val="24"/>
            <w:u w:val="single"/>
            <w:rtl w:val="0"/>
          </w:rPr>
          <w:t xml:space="preserve">https://rocketadvance.ca/commercial/understanding-real-estate-commission-rates/</w:t>
        </w:r>
      </w:hyperlink>
      <w:r w:rsidDel="00000000" w:rsidR="00000000" w:rsidRPr="00000000">
        <w:rPr>
          <w:rtl w:val="0"/>
        </w:rPr>
      </w:r>
    </w:p>
    <w:p w:rsidR="00000000" w:rsidDel="00000000" w:rsidP="00000000" w:rsidRDefault="00000000" w:rsidRPr="00000000" w14:paraId="000000AE">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Information for GST/HST Registrants - Canada.ca, accessed on February 28, 2026, </w:t>
      </w:r>
      <w:hyperlink r:id="rId38">
        <w:r w:rsidDel="00000000" w:rsidR="00000000" w:rsidRPr="00000000">
          <w:rPr>
            <w:rFonts w:ascii="Google Sans" w:cs="Google Sans" w:eastAsia="Google Sans" w:hAnsi="Google Sans"/>
            <w:color w:val="0000ee"/>
            <w:sz w:val="24"/>
            <w:szCs w:val="24"/>
            <w:u w:val="single"/>
            <w:rtl w:val="0"/>
          </w:rPr>
          <w:t xml:space="preserve">https://www.canada.ca/en/revenue-agency/services/forms-publications/publications/rc4022/general-information-gst-hst-registrants.html</w:t>
        </w:r>
      </w:hyperlink>
      <w:r w:rsidDel="00000000" w:rsidR="00000000" w:rsidRPr="00000000">
        <w:rPr>
          <w:rtl w:val="0"/>
        </w:rPr>
      </w:r>
    </w:p>
    <w:p w:rsidR="00000000" w:rsidDel="00000000" w:rsidP="00000000" w:rsidRDefault="00000000" w:rsidRPr="00000000" w14:paraId="000000AF">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Real Property and the GST/HST - Canada.ca, accessed on February 28, 2026, </w:t>
      </w:r>
      <w:hyperlink r:id="rId39">
        <w:r w:rsidDel="00000000" w:rsidR="00000000" w:rsidRPr="00000000">
          <w:rPr>
            <w:rFonts w:ascii="Google Sans" w:cs="Google Sans" w:eastAsia="Google Sans" w:hAnsi="Google Sans"/>
            <w:color w:val="0000ee"/>
            <w:sz w:val="24"/>
            <w:szCs w:val="24"/>
            <w:u w:val="single"/>
            <w:rtl w:val="0"/>
          </w:rPr>
          <w:t xml:space="preserve">https://www.canada.ca/en/revenue-agency/services/forms-publications/publications/19-1/real-property-gst-hst.html</w:t>
        </w:r>
      </w:hyperlink>
      <w:r w:rsidDel="00000000" w:rsidR="00000000" w:rsidRPr="00000000">
        <w:rPr>
          <w:rtl w:val="0"/>
        </w:rPr>
      </w:r>
    </w:p>
    <w:p w:rsidR="00000000" w:rsidDel="00000000" w:rsidP="00000000" w:rsidRDefault="00000000" w:rsidRPr="00000000" w14:paraId="000000B0">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Mortgage Amortization Module (Updated May 2024) - Adventures in CRE, accessed on February 28, 2026, </w:t>
      </w:r>
      <w:hyperlink r:id="rId40">
        <w:r w:rsidDel="00000000" w:rsidR="00000000" w:rsidRPr="00000000">
          <w:rPr>
            <w:rFonts w:ascii="Google Sans" w:cs="Google Sans" w:eastAsia="Google Sans" w:hAnsi="Google Sans"/>
            <w:color w:val="0000ee"/>
            <w:sz w:val="24"/>
            <w:szCs w:val="24"/>
            <w:u w:val="single"/>
            <w:rtl w:val="0"/>
          </w:rPr>
          <w:t xml:space="preserve">https://www.adventuresincre.com/advanced-amortization-table/</w:t>
        </w:r>
      </w:hyperlink>
      <w:r w:rsidDel="00000000" w:rsidR="00000000" w:rsidRPr="00000000">
        <w:rPr>
          <w:rtl w:val="0"/>
        </w:rPr>
      </w:r>
    </w:p>
    <w:p w:rsidR="00000000" w:rsidDel="00000000" w:rsidP="00000000" w:rsidRDefault="00000000" w:rsidRPr="00000000" w14:paraId="000000B1">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Buying a property? Know which payment scheme suits you best - The Economic Times, accessed on February 28, 2026, </w:t>
      </w:r>
      <w:hyperlink r:id="rId41">
        <w:r w:rsidDel="00000000" w:rsidR="00000000" w:rsidRPr="00000000">
          <w:rPr>
            <w:rFonts w:ascii="Google Sans" w:cs="Google Sans" w:eastAsia="Google Sans" w:hAnsi="Google Sans"/>
            <w:color w:val="0000ee"/>
            <w:sz w:val="24"/>
            <w:szCs w:val="24"/>
            <w:u w:val="single"/>
            <w:rtl w:val="0"/>
          </w:rPr>
          <w:t xml:space="preserve">https://m.economictimes.com/analysis/buying-a-property-know-which-payment-scheme-suits-you-best/articleshow/32845258.cms</w:t>
        </w:r>
      </w:hyperlink>
      <w:r w:rsidDel="00000000" w:rsidR="00000000" w:rsidRPr="00000000">
        <w:rPr>
          <w:rtl w:val="0"/>
        </w:rPr>
      </w:r>
    </w:p>
    <w:p w:rsidR="00000000" w:rsidDel="00000000" w:rsidP="00000000" w:rsidRDefault="00000000" w:rsidRPr="00000000" w14:paraId="000000B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Voyager Suite - Yardi, accessed on February 28, 2026, </w:t>
      </w:r>
      <w:hyperlink r:id="rId42">
        <w:r w:rsidDel="00000000" w:rsidR="00000000" w:rsidRPr="00000000">
          <w:rPr>
            <w:rFonts w:ascii="Google Sans" w:cs="Google Sans" w:eastAsia="Google Sans" w:hAnsi="Google Sans"/>
            <w:color w:val="0000ee"/>
            <w:sz w:val="24"/>
            <w:szCs w:val="24"/>
            <w:u w:val="single"/>
            <w:rtl w:val="0"/>
          </w:rPr>
          <w:t xml:space="preserve">https://www.yardi.com/suite/voyager-suite/</w:t>
        </w:r>
      </w:hyperlink>
      <w:r w:rsidDel="00000000" w:rsidR="00000000" w:rsidRPr="00000000">
        <w:rPr>
          <w:rtl w:val="0"/>
        </w:rPr>
      </w:r>
    </w:p>
    <w:p w:rsidR="00000000" w:rsidDel="00000000" w:rsidP="00000000" w:rsidRDefault="00000000" w:rsidRPr="00000000" w14:paraId="000000B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 To Yardi Voyager API Integration - Expert Yardi Consulting Services, accessed on February 28, 2026, </w:t>
      </w:r>
      <w:hyperlink r:id="rId43">
        <w:r w:rsidDel="00000000" w:rsidR="00000000" w:rsidRPr="00000000">
          <w:rPr>
            <w:rFonts w:ascii="Google Sans" w:cs="Google Sans" w:eastAsia="Google Sans" w:hAnsi="Google Sans"/>
            <w:color w:val="0000ee"/>
            <w:sz w:val="24"/>
            <w:szCs w:val="24"/>
            <w:u w:val="single"/>
            <w:rtl w:val="0"/>
          </w:rPr>
          <w:t xml:space="preserve">https://ndconsultingllc.com/guide-to-yardi-voyager-api-integration/</w:t>
        </w:r>
      </w:hyperlink>
      <w:r w:rsidDel="00000000" w:rsidR="00000000" w:rsidRPr="00000000">
        <w:rPr>
          <w:rtl w:val="0"/>
        </w:rPr>
      </w:r>
    </w:p>
    <w:p w:rsidR="00000000" w:rsidDel="00000000" w:rsidP="00000000" w:rsidRDefault="00000000" w:rsidRPr="00000000" w14:paraId="000000B4">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Yardi Voyager - Digital Marketplace, accessed on February 28, 2026, </w:t>
      </w:r>
      <w:hyperlink r:id="rId44">
        <w:r w:rsidDel="00000000" w:rsidR="00000000" w:rsidRPr="00000000">
          <w:rPr>
            <w:rFonts w:ascii="Google Sans" w:cs="Google Sans" w:eastAsia="Google Sans" w:hAnsi="Google Sans"/>
            <w:color w:val="0000ee"/>
            <w:sz w:val="24"/>
            <w:szCs w:val="24"/>
            <w:u w:val="single"/>
            <w:rtl w:val="0"/>
          </w:rPr>
          <w:t xml:space="preserve">https://www.applytosupply.digitalmarketplace.service.gov.uk/g-cloud/services/514661362051197</w:t>
        </w:r>
      </w:hyperlink>
      <w:r w:rsidDel="00000000" w:rsidR="00000000" w:rsidRPr="00000000">
        <w:rPr>
          <w:rtl w:val="0"/>
        </w:rPr>
      </w:r>
    </w:p>
    <w:p w:rsidR="00000000" w:rsidDel="00000000" w:rsidP="00000000" w:rsidRDefault="00000000" w:rsidRPr="00000000" w14:paraId="000000B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Become an Interface Partner - Yardi, accessed on February 28, 2026, </w:t>
      </w:r>
      <w:hyperlink r:id="rId45">
        <w:r w:rsidDel="00000000" w:rsidR="00000000" w:rsidRPr="00000000">
          <w:rPr>
            <w:rFonts w:ascii="Google Sans" w:cs="Google Sans" w:eastAsia="Google Sans" w:hAnsi="Google Sans"/>
            <w:color w:val="0000ee"/>
            <w:sz w:val="24"/>
            <w:szCs w:val="24"/>
            <w:u w:val="single"/>
            <w:rtl w:val="0"/>
          </w:rPr>
          <w:t xml:space="preserve">https://www.yardi.com/company/become-an-interface-partner/</w:t>
        </w:r>
      </w:hyperlink>
      <w:r w:rsidDel="00000000" w:rsidR="00000000" w:rsidRPr="00000000">
        <w:rPr>
          <w:rtl w:val="0"/>
        </w:rPr>
      </w:r>
    </w:p>
    <w:p w:rsidR="00000000" w:rsidDel="00000000" w:rsidP="00000000" w:rsidRDefault="00000000" w:rsidRPr="00000000" w14:paraId="000000B6">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Yardi Voyager Integration - API Setup - IMS Help Center, accessed on February 28, 2026, </w:t>
      </w:r>
      <w:hyperlink r:id="rId46">
        <w:r w:rsidDel="00000000" w:rsidR="00000000" w:rsidRPr="00000000">
          <w:rPr>
            <w:rFonts w:ascii="Google Sans" w:cs="Google Sans" w:eastAsia="Google Sans" w:hAnsi="Google Sans"/>
            <w:color w:val="0000ee"/>
            <w:sz w:val="24"/>
            <w:szCs w:val="24"/>
            <w:u w:val="single"/>
            <w:rtl w:val="0"/>
          </w:rPr>
          <w:t xml:space="preserve">https://help.imscre.net/hc/en-us/articles/9531037387668-Yardi-Voyager-Integration-API-Setup</w:t>
        </w:r>
      </w:hyperlink>
      <w:r w:rsidDel="00000000" w:rsidR="00000000" w:rsidRPr="00000000">
        <w:rPr>
          <w:rtl w:val="0"/>
        </w:rPr>
      </w:r>
    </w:p>
    <w:p w:rsidR="00000000" w:rsidDel="00000000" w:rsidP="00000000" w:rsidRDefault="00000000" w:rsidRPr="00000000" w14:paraId="000000B7">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Conversion Strategies for Yardi Voyager - The RFP Database, accessed on February 28, 2026, </w:t>
      </w:r>
      <w:hyperlink r:id="rId47">
        <w:r w:rsidDel="00000000" w:rsidR="00000000" w:rsidRPr="00000000">
          <w:rPr>
            <w:rFonts w:ascii="Google Sans" w:cs="Google Sans" w:eastAsia="Google Sans" w:hAnsi="Google Sans"/>
            <w:color w:val="0000ee"/>
            <w:sz w:val="24"/>
            <w:szCs w:val="24"/>
            <w:u w:val="single"/>
            <w:rtl w:val="0"/>
          </w:rPr>
          <w:t xml:space="preserve">https://www.rfpdb.com/process/download/name/custom-property-management-web_based-system</w:t>
        </w:r>
      </w:hyperlink>
      <w:r w:rsidDel="00000000" w:rsidR="00000000" w:rsidRPr="00000000">
        <w:rPr>
          <w:rtl w:val="0"/>
        </w:rPr>
      </w:r>
    </w:p>
    <w:p w:rsidR="00000000" w:rsidDel="00000000" w:rsidP="00000000" w:rsidRDefault="00000000" w:rsidRPr="00000000" w14:paraId="000000B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Yardi Voyager Integration - Manual Process Setup - IMS Help Center, accessed on February 28, 2026, </w:t>
      </w:r>
      <w:hyperlink r:id="rId48">
        <w:r w:rsidDel="00000000" w:rsidR="00000000" w:rsidRPr="00000000">
          <w:rPr>
            <w:rFonts w:ascii="Google Sans" w:cs="Google Sans" w:eastAsia="Google Sans" w:hAnsi="Google Sans"/>
            <w:color w:val="0000ee"/>
            <w:sz w:val="24"/>
            <w:szCs w:val="24"/>
            <w:u w:val="single"/>
            <w:rtl w:val="0"/>
          </w:rPr>
          <w:t xml:space="preserve">https://help.imscre.net/hc/en-us/articles/360028551852-Yardi-Voyager-Integration-Manual-Process-Setup</w:t>
        </w:r>
      </w:hyperlink>
      <w:r w:rsidDel="00000000" w:rsidR="00000000" w:rsidRPr="00000000">
        <w:rPr>
          <w:rtl w:val="0"/>
        </w:rPr>
      </w:r>
    </w:p>
    <w:p w:rsidR="00000000" w:rsidDel="00000000" w:rsidP="00000000" w:rsidRDefault="00000000" w:rsidRPr="00000000" w14:paraId="000000B9">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Design Database Schema Principles for Multi-Tenancy Models, accessed on February 28, 2026, </w:t>
      </w:r>
      <w:hyperlink r:id="rId49">
        <w:r w:rsidDel="00000000" w:rsidR="00000000" w:rsidRPr="00000000">
          <w:rPr>
            <w:rFonts w:ascii="Google Sans" w:cs="Google Sans" w:eastAsia="Google Sans" w:hAnsi="Google Sans"/>
            <w:color w:val="0000ee"/>
            <w:sz w:val="24"/>
            <w:szCs w:val="24"/>
            <w:u w:val="single"/>
            <w:rtl w:val="0"/>
          </w:rPr>
          <w:t xml:space="preserve">https://ajayreddychinthala.medium.com/how-to-design-database-schema-principles-for-multi-tenancy-models-6344583ea955</w:t>
        </w:r>
      </w:hyperlink>
      <w:r w:rsidDel="00000000" w:rsidR="00000000" w:rsidRPr="00000000">
        <w:rPr>
          <w:rtl w:val="0"/>
        </w:rPr>
      </w:r>
    </w:p>
    <w:p w:rsidR="00000000" w:rsidDel="00000000" w:rsidP="00000000" w:rsidRDefault="00000000" w:rsidRPr="00000000" w14:paraId="000000BA">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Ultimate Multifunctional Database Table Design: Dynamic Attributes Pattern - Medium, accessed on February 28, 2026, </w:t>
      </w:r>
      <w:hyperlink r:id="rId50">
        <w:r w:rsidDel="00000000" w:rsidR="00000000" w:rsidRPr="00000000">
          <w:rPr>
            <w:rFonts w:ascii="Google Sans" w:cs="Google Sans" w:eastAsia="Google Sans" w:hAnsi="Google Sans"/>
            <w:color w:val="0000ee"/>
            <w:sz w:val="24"/>
            <w:szCs w:val="24"/>
            <w:u w:val="single"/>
            <w:rtl w:val="0"/>
          </w:rPr>
          <w:t xml:space="preserve">https://medium.com/@herihermawan/the-ultimate-multifunctional-database-table-design-dynamic-attributes-pattern-9d3f890d32f8</w:t>
        </w:r>
      </w:hyperlink>
      <w:r w:rsidDel="00000000" w:rsidR="00000000" w:rsidRPr="00000000">
        <w:rPr>
          <w:rtl w:val="0"/>
        </w:rPr>
      </w:r>
    </w:p>
    <w:p w:rsidR="00000000" w:rsidDel="00000000" w:rsidP="00000000" w:rsidRDefault="00000000" w:rsidRPr="00000000" w14:paraId="000000BB">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Residency Laws by Country: an Overview - InCountry, accessed on February 28, 2026, </w:t>
      </w:r>
      <w:hyperlink r:id="rId51">
        <w:r w:rsidDel="00000000" w:rsidR="00000000" w:rsidRPr="00000000">
          <w:rPr>
            <w:rFonts w:ascii="Google Sans" w:cs="Google Sans" w:eastAsia="Google Sans" w:hAnsi="Google Sans"/>
            <w:color w:val="0000ee"/>
            <w:sz w:val="24"/>
            <w:szCs w:val="24"/>
            <w:u w:val="single"/>
            <w:rtl w:val="0"/>
          </w:rPr>
          <w:t xml:space="preserve">https://incountry.com/blog/data-residency-laws-by-country-overview/</w:t>
        </w:r>
      </w:hyperlink>
      <w:r w:rsidDel="00000000" w:rsidR="00000000" w:rsidRPr="00000000">
        <w:rPr>
          <w:rtl w:val="0"/>
        </w:rPr>
      </w:r>
    </w:p>
    <w:p w:rsidR="00000000" w:rsidDel="00000000" w:rsidP="00000000" w:rsidRDefault="00000000" w:rsidRPr="00000000" w14:paraId="000000BC">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 Sovereignty vs. Data Residency: What's The Difference? | Splunk, accessed on February 28, 2026, </w:t>
      </w:r>
      <w:hyperlink r:id="rId52">
        <w:r w:rsidDel="00000000" w:rsidR="00000000" w:rsidRPr="00000000">
          <w:rPr>
            <w:rFonts w:ascii="Google Sans" w:cs="Google Sans" w:eastAsia="Google Sans" w:hAnsi="Google Sans"/>
            <w:color w:val="0000ee"/>
            <w:sz w:val="24"/>
            <w:szCs w:val="24"/>
            <w:u w:val="single"/>
            <w:rtl w:val="0"/>
          </w:rPr>
          <w:t xml:space="preserve">https://www.splunk.com/en_us/blog/learn/data-sovereignty-vs-data-residency.html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dventuresincre.com/advanced-amortization-table/" TargetMode="External"/><Relationship Id="rId42" Type="http://schemas.openxmlformats.org/officeDocument/2006/relationships/hyperlink" Target="https://www.yardi.com/suite/voyager-suite/" TargetMode="External"/><Relationship Id="rId41" Type="http://schemas.openxmlformats.org/officeDocument/2006/relationships/hyperlink" Target="https://m.economictimes.com/analysis/buying-a-property-know-which-payment-scheme-suits-you-best/articleshow/32845258.cms" TargetMode="External"/><Relationship Id="rId44" Type="http://schemas.openxmlformats.org/officeDocument/2006/relationships/hyperlink" Target="https://www.applytosupply.digitalmarketplace.service.gov.uk/g-cloud/services/514661362051197" TargetMode="External"/><Relationship Id="rId43" Type="http://schemas.openxmlformats.org/officeDocument/2006/relationships/hyperlink" Target="https://ndconsultingllc.com/guide-to-yardi-voyager-api-integration/" TargetMode="External"/><Relationship Id="rId46" Type="http://schemas.openxmlformats.org/officeDocument/2006/relationships/hyperlink" Target="https://help.imscre.net/hc/en-us/articles/9531037387668-Yardi-Voyager-Integration-API-Setup" TargetMode="External"/><Relationship Id="rId45" Type="http://schemas.openxmlformats.org/officeDocument/2006/relationships/hyperlink" Target="https://www.yardi.com/company/become-an-interface-partn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dium.com/@yangkewenvigorous/information-extraction-by-layoutlm-ca24d5ff46aa" TargetMode="External"/><Relationship Id="rId48" Type="http://schemas.openxmlformats.org/officeDocument/2006/relationships/hyperlink" Target="https://help.imscre.net/hc/en-us/articles/360028551852-Yardi-Voyager-Integration-Manual-Process-Setup" TargetMode="External"/><Relationship Id="rId47" Type="http://schemas.openxmlformats.org/officeDocument/2006/relationships/hyperlink" Target="https://www.rfpdb.com/process/download/name/custom-property-management-web_based-system" TargetMode="External"/><Relationship Id="rId49" Type="http://schemas.openxmlformats.org/officeDocument/2006/relationships/hyperlink" Target="https://ajayreddychinthala.medium.com/how-to-design-database-schema-principles-for-multi-tenancy-models-6344583ea955"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yardi.com/documents/pha_suite.pdf" TargetMode="External"/><Relationship Id="rId31" Type="http://schemas.openxmlformats.org/officeDocument/2006/relationships/hyperlink" Target="https://www.infrrd.ai/blog/does-ai-need-a-human-in-the-loop" TargetMode="External"/><Relationship Id="rId30" Type="http://schemas.openxmlformats.org/officeDocument/2006/relationships/hyperlink" Target="https://www.extend.ai/resources/document-ingestion-ai-processing-guide" TargetMode="External"/><Relationship Id="rId33" Type="http://schemas.openxmlformats.org/officeDocument/2006/relationships/hyperlink" Target="https://dev.co/ai/ai-assisted-data-labeling-using-active-learning-loops" TargetMode="External"/><Relationship Id="rId32" Type="http://schemas.openxmlformats.org/officeDocument/2006/relationships/hyperlink" Target="https://wandb.ai/wandb-data-science/layoutlm_sroie_demo/reports/Fine-tuning-LayoutLM-on-SROIE-Information-Extraction-from-Scanned-Receipts-Internal---VmlldzoxMTY5MzU5" TargetMode="External"/><Relationship Id="rId35" Type="http://schemas.openxmlformats.org/officeDocument/2006/relationships/hyperlink" Target="https://commissionsblog.blitzrocks.com/commission-plans-real-estate" TargetMode="External"/><Relationship Id="rId34" Type="http://schemas.openxmlformats.org/officeDocument/2006/relationships/hyperlink" Target="https://aws.amazon.com/blogs/machine-learning/how-the-amazon-com-catalog-team-built-self-learning-generative-ai-at-scale-with-amazon-bedrock/" TargetMode="External"/><Relationship Id="rId37" Type="http://schemas.openxmlformats.org/officeDocument/2006/relationships/hyperlink" Target="https://rocketadvance.ca/commercial/understanding-real-estate-commission-rates/" TargetMode="External"/><Relationship Id="rId36" Type="http://schemas.openxmlformats.org/officeDocument/2006/relationships/hyperlink" Target="https://joinrealtyhub.com/real-estate-team-commission-splits-2025/" TargetMode="External"/><Relationship Id="rId39" Type="http://schemas.openxmlformats.org/officeDocument/2006/relationships/hyperlink" Target="https://www.canada.ca/en/revenue-agency/services/forms-publications/publications/19-1/real-property-gst-hst.html" TargetMode="External"/><Relationship Id="rId38" Type="http://schemas.openxmlformats.org/officeDocument/2006/relationships/hyperlink" Target="https://www.canada.ca/en/revenue-agency/services/forms-publications/publications/rc4022/general-information-gst-hst-registrants.html" TargetMode="External"/><Relationship Id="rId20" Type="http://schemas.openxmlformats.org/officeDocument/2006/relationships/hyperlink" Target="https://www.torys.com/en/our-latest-thinking/publications/2023/01/sweeping-new-federal-restrictions-on-foreign-acquisitions-of-residential-real-estate" TargetMode="External"/><Relationship Id="rId22" Type="http://schemas.openxmlformats.org/officeDocument/2006/relationships/hyperlink" Target="https://www.squarea.io/from-booking-to-possession-what-homebuyers-should-know-about-the-rera-timeline/" TargetMode="External"/><Relationship Id="rId21" Type="http://schemas.openxmlformats.org/officeDocument/2006/relationships/hyperlink" Target="https://rerafiling.com/rera-article-detail.php/912/key-clauses-to-look-for-in-a-rera-compliant-sale-agreement" TargetMode="External"/><Relationship Id="rId24" Type="http://schemas.openxmlformats.org/officeDocument/2006/relationships/hyperlink" Target="https://www.infoq.com/articles/ocr-ai-document-processing/" TargetMode="External"/><Relationship Id="rId23" Type="http://schemas.openxmlformats.org/officeDocument/2006/relationships/hyperlink" Target="https://timesproperty.com/article/post/rera-payment-schedule-explained-for-homebuyers-blid11043" TargetMode="External"/><Relationship Id="rId26" Type="http://schemas.openxmlformats.org/officeDocument/2006/relationships/hyperlink" Target="https://huggingface.co/docs/transformers/en/model_doc/layoutlm" TargetMode="External"/><Relationship Id="rId25" Type="http://schemas.openxmlformats.org/officeDocument/2006/relationships/hyperlink" Target="https://huggingface.co/blog/document-ai" TargetMode="External"/><Relationship Id="rId28" Type="http://schemas.openxmlformats.org/officeDocument/2006/relationships/hyperlink" Target="https://realagentsonduty.com/real-broker-commission-structure-2024/" TargetMode="External"/><Relationship Id="rId27" Type="http://schemas.openxmlformats.org/officeDocument/2006/relationships/hyperlink" Target="https://blog.tensorflow.org/2022/06/ocr-in-browser-using-tensorflowjs.html" TargetMode="External"/><Relationship Id="rId29" Type="http://schemas.openxmlformats.org/officeDocument/2006/relationships/hyperlink" Target="https://lendfoundry.com/solutions/loan-servicing-software/amortization-schedules/" TargetMode="External"/><Relationship Id="rId51" Type="http://schemas.openxmlformats.org/officeDocument/2006/relationships/hyperlink" Target="https://incountry.com/blog/data-residency-laws-by-country-overview/" TargetMode="External"/><Relationship Id="rId50" Type="http://schemas.openxmlformats.org/officeDocument/2006/relationships/hyperlink" Target="https://medium.com/@herihermawan/the-ultimate-multifunctional-database-table-design-dynamic-attributes-pattern-9d3f890d32f8" TargetMode="External"/><Relationship Id="rId52" Type="http://schemas.openxmlformats.org/officeDocument/2006/relationships/hyperlink" Target="https://www.splunk.com/en_us/blog/learn/data-sovereignty-vs-data-residency.html" TargetMode="External"/><Relationship Id="rId11" Type="http://schemas.openxmlformats.org/officeDocument/2006/relationships/hyperlink" Target="https://www.314e.com/engineering-hub/how-to-architect-a-self-improving-ml-system-with-automated-model-retraining/" TargetMode="External"/><Relationship Id="rId10" Type="http://schemas.openxmlformats.org/officeDocument/2006/relationships/hyperlink" Target="https://developer.nvidia.com/blog/turn-complex-documents-into-usable-data-with-vlm-nvidia-nemotron-parse-1-1/" TargetMode="External"/><Relationship Id="rId13" Type="http://schemas.openxmlformats.org/officeDocument/2006/relationships/hyperlink" Target="https://www.nar.realtor/real-estate-settlement-procedures-act-respa" TargetMode="External"/><Relationship Id="rId12" Type="http://schemas.openxmlformats.org/officeDocument/2006/relationships/hyperlink" Target="https://unstract.com/blog/human-in-the-loop-hitl-for-ai-document-processing/" TargetMode="External"/><Relationship Id="rId15" Type="http://schemas.openxmlformats.org/officeDocument/2006/relationships/hyperlink" Target="https://singlefamily.fanniemae.com/media/6601/display" TargetMode="External"/><Relationship Id="rId14" Type="http://schemas.openxmlformats.org/officeDocument/2006/relationships/hyperlink" Target="https://www.cullenllp.com/blog/new-record-retention-requirements-under-the-tila-respa-integrated-disclosure-rule/" TargetMode="External"/><Relationship Id="rId17" Type="http://schemas.openxmlformats.org/officeDocument/2006/relationships/hyperlink" Target="https://www.usrealtytraining.com/blogs/real-estate-agent-commission" TargetMode="External"/><Relationship Id="rId16" Type="http://schemas.openxmlformats.org/officeDocument/2006/relationships/hyperlink" Target="https://www.urban.org/urban-wire/changing-real-estate-agent-fees-will-help-all-buyers-and-sellers-will-help-some-more" TargetMode="External"/><Relationship Id="rId19" Type="http://schemas.openxmlformats.org/officeDocument/2006/relationships/hyperlink" Target="https://www.bcfsa.ca/public-resources/real-estate/buying-home/anti-money-laundering-real-estate-buyers" TargetMode="External"/><Relationship Id="rId18" Type="http://schemas.openxmlformats.org/officeDocument/2006/relationships/hyperlink" Target="https://fintrac-canafe.canada.ca/re-ed/real-e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