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72"/>
          <w:szCs w:val="72"/>
        </w:rPr>
        <w:t xml:space="preserve">UPWARD</w:t>
      </w:r>
    </w:p>
    <w:p>
      <w:pPr>
        <w:spacing w:after="200"/>
        <w:jc w:val="center"/>
      </w:pPr>
      <w:r>
        <w:rPr>
          <w:rFonts w:ascii="Arial" w:cs="Arial" w:eastAsia="Arial" w:hAnsi="Arial"/>
          <w:color w:val="2E86C1"/>
          <w:sz w:val="32"/>
          <w:szCs w:val="32"/>
        </w:rPr>
        <w:t xml:space="preserve">Unit Sales Management Platform</w:t>
      </w:r>
    </w:p>
    <w:p>
      <w:pPr>
        <w:pBdr>
          <w:bottom w:val="single" w:color="2E86C1" w:sz="8" w:space="8"/>
        </w:pBdr>
        <w:spacing w:after="600"/>
        <w:jc w:val="center"/>
      </w:pPr>
      <w:r>
        <w:rPr>
          <w:rFonts w:ascii="Arial" w:cs="Arial" w:eastAsia="Arial" w:hAnsi="Arial"/>
          <w:color w:val="555555"/>
          <w:sz w:val="24"/>
          <w:szCs w:val="24"/>
        </w:rPr>
        <w:t xml:space="preserve">Product Requirements &amp; Technical Specification Document</w:t>
      </w:r>
    </w:p>
    <w:p>
      <w:pPr>
        <w:spacing w:before="800"/>
      </w:pPr>
    </w:p>
    <w:p>
      <w:pPr>
        <w:jc w:val="center"/>
      </w:pPr>
      <w:r>
        <w:rPr>
          <w:rFonts w:ascii="Arial" w:cs="Arial" w:eastAsia="Arial" w:hAnsi="Arial"/>
          <w:color w:val="333333"/>
          <w:sz w:val="24"/>
          <w:szCs w:val="24"/>
        </w:rPr>
        <w:t xml:space="preserve">Multi-Country Real Estate Unit Sales Module</w:t>
      </w:r>
    </w:p>
    <w:p>
      <w:pPr>
        <w:jc w:val="center"/>
      </w:pPr>
      <w:r>
        <w:rPr>
          <w:rFonts w:ascii="Arial" w:cs="Arial" w:eastAsia="Arial" w:hAnsi="Arial"/>
          <w:b/>
          <w:bCs/>
          <w:color w:val="2E86C1"/>
          <w:sz w:val="24"/>
          <w:szCs w:val="24"/>
        </w:rPr>
        <w:t xml:space="preserve">USA | Canada | India</w:t>
      </w:r>
    </w:p>
    <w:p>
      <w:pPr>
        <w:spacing w:before="1200"/>
      </w:pPr>
    </w:p>
    <w:p>
      <w:pPr>
        <w:jc w:val="center"/>
      </w:pPr>
      <w:r>
        <w:rPr>
          <w:rFonts w:ascii="Arial" w:cs="Arial" w:eastAsia="Arial" w:hAnsi="Arial"/>
          <w:color w:val="555555"/>
          <w:sz w:val="22"/>
          <w:szCs w:val="22"/>
        </w:rPr>
        <w:t xml:space="preserve">Version 2.0 – Definitive Merged Edition</w:t>
      </w:r>
    </w:p>
    <w:p>
      <w:pPr>
        <w:jc w:val="center"/>
      </w:pPr>
      <w:r>
        <w:rPr>
          <w:rFonts w:ascii="Arial" w:cs="Arial" w:eastAsia="Arial" w:hAnsi="Arial"/>
          <w:color w:val="555555"/>
          <w:sz w:val="22"/>
          <w:szCs w:val="22"/>
        </w:rPr>
        <w:t xml:space="preserve">February 2026</w:t>
      </w:r>
    </w:p>
    <w:p>
      <w:pPr>
        <w:spacing w:before="20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t xml:space="preserve">Executive Summary</w:t>
      </w:r>
    </w:p>
    <w:p>
      <w:pPr>
        <w:spacing w:after="120"/>
      </w:pPr>
      <w:r>
        <w:rPr>
          <w:rFonts w:ascii="Arial" w:cs="Arial" w:eastAsia="Arial" w:hAnsi="Arial"/>
          <w:color w:val="333333"/>
          <w:sz w:val="22"/>
          <w:szCs w:val="22"/>
        </w:rPr>
        <w:t xml:space="preserve">Upward is a comprehensive web-based Unit Sales Management Platform designed to streamline the end-to-end process of recording, managing, and tracking real estate unit sales across three countries: the United States, Canada, and India. The platform serves property developers, sales teams, brokers, and finance teams by providing a centralized system for managing unit sales, buyer records, broker commissions, payment tracking, and third-party ERP integration with Yardi.</w:t>
      </w:r>
    </w:p>
    <w:p>
      <w:pPr>
        <w:spacing w:after="120"/>
      </w:pPr>
      <w:r>
        <w:rPr>
          <w:rFonts w:ascii="Arial" w:cs="Arial" w:eastAsia="Arial" w:hAnsi="Arial"/>
          <w:color w:val="333333"/>
          <w:sz w:val="22"/>
          <w:szCs w:val="22"/>
        </w:rPr>
        <w:t xml:space="preserve">The platform features a two-way Yardi integration: pushing payables and receivables to Yardi for accounting, and pulling the complete property and unit inventory from Yardi to power a real-time analytics dashboard. This dashboard provides portfolio owners with executive-level visibility into sales performance, inventory health, top sales partner rankings, year-over-year comparisons, and financial forecasting.</w:t>
      </w:r>
    </w:p>
    <w:p>
      <w:pPr>
        <w:spacing w:after="120"/>
      </w:pPr>
      <w:r>
        <w:rPr>
          <w:rFonts w:ascii="Arial" w:cs="Arial" w:eastAsia="Arial" w:hAnsi="Arial"/>
          <w:color w:val="333333"/>
          <w:sz w:val="22"/>
          <w:szCs w:val="22"/>
        </w:rPr>
        <w:t xml:space="preserve">The cornerstone of Upward is its AI-powered document intelligence engine, which automatically extracts sale information from uploaded documents, creates payable records for broker commissions, generates buyer payment schedules, and continuously learns from user corrections to improve accuracy over time.</w:t>
      </w:r>
    </w:p>
    <w:p>
      <w:pPr>
        <w:spacing w:after="120"/>
      </w:pPr>
      <w:r>
        <w:rPr>
          <w:rFonts w:ascii="Arial" w:cs="Arial" w:eastAsia="Arial" w:hAnsi="Arial"/>
          <w:b/>
          <w:bCs/>
          <w:color w:val="333333"/>
          <w:sz w:val="22"/>
          <w:szCs w:val="22"/>
        </w:rPr>
        <w:t xml:space="preserve">Target Users: </w:t>
      </w:r>
      <w:r>
        <w:rPr>
          <w:rFonts w:ascii="Arial" w:cs="Arial" w:eastAsia="Arial" w:hAnsi="Arial"/>
          <w:color w:val="555555"/>
          <w:sz w:val="22"/>
          <w:szCs w:val="22"/>
        </w:rPr>
        <w:t xml:space="preserve">Property Developers, Sales Managers, Finance Teams, Brokers, Admin Staff</w:t>
      </w:r>
    </w:p>
    <w:p>
      <w:pPr>
        <w:spacing w:after="120"/>
      </w:pPr>
      <w:r>
        <w:rPr>
          <w:rFonts w:ascii="Arial" w:cs="Arial" w:eastAsia="Arial" w:hAnsi="Arial"/>
          <w:b/>
          <w:bCs/>
          <w:color w:val="333333"/>
          <w:sz w:val="22"/>
          <w:szCs w:val="22"/>
        </w:rPr>
        <w:t xml:space="preserve">Deployment: </w:t>
      </w:r>
      <w:r>
        <w:rPr>
          <w:rFonts w:ascii="Arial" w:cs="Arial" w:eastAsia="Arial" w:hAnsi="Arial"/>
          <w:color w:val="555555"/>
          <w:sz w:val="22"/>
          <w:szCs w:val="22"/>
        </w:rPr>
        <w:t xml:space="preserve">Cloud-hosted SaaS web application (responsive for desktop and tablet)</w:t>
      </w:r>
    </w:p>
    <w:p>
      <w:pPr>
        <w:spacing w:after="120"/>
      </w:pPr>
      <w:r>
        <w:rPr>
          <w:rFonts w:ascii="Arial" w:cs="Arial" w:eastAsia="Arial" w:hAnsi="Arial"/>
          <w:b/>
          <w:bCs/>
          <w:color w:val="333333"/>
          <w:sz w:val="22"/>
          <w:szCs w:val="22"/>
        </w:rPr>
        <w:t xml:space="preserve">Countries: </w:t>
      </w:r>
      <w:r>
        <w:rPr>
          <w:rFonts w:ascii="Arial" w:cs="Arial" w:eastAsia="Arial" w:hAnsi="Arial"/>
          <w:color w:val="555555"/>
          <w:sz w:val="22"/>
          <w:szCs w:val="22"/>
        </w:rPr>
        <w:t xml:space="preserve">USA, Canada, India</w:t>
      </w:r>
    </w:p>
    <w:p>
      <w:pPr>
        <w:spacing w:after="120"/>
      </w:pPr>
      <w:r>
        <w:rPr>
          <w:rFonts w:ascii="Arial" w:cs="Arial" w:eastAsia="Arial" w:hAnsi="Arial"/>
          <w:b/>
          <w:bCs/>
          <w:color w:val="333333"/>
          <w:sz w:val="22"/>
          <w:szCs w:val="22"/>
        </w:rPr>
        <w:t xml:space="preserve">Integration: </w:t>
      </w:r>
      <w:r>
        <w:rPr>
          <w:rFonts w:ascii="Arial" w:cs="Arial" w:eastAsia="Arial" w:hAnsi="Arial"/>
          <w:color w:val="555555"/>
          <w:sz w:val="22"/>
          <w:szCs w:val="22"/>
        </w:rPr>
        <w:t xml:space="preserve">Yardi Voyager / Yardi Breeze (Payables &amp; Receivables sync)</w:t>
      </w:r>
    </w:p>
    <w:p>
      <w:r>
        <w:br w:type="page"/>
      </w:r>
    </w:p>
    <w:p>
      <w:pPr>
        <w:pStyle w:val="Heading1"/>
        <w:spacing w:before="300" w:after="150"/>
      </w:pPr>
      <w: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specification document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Added Module 9: Yardi Inventory Sync and Module 10: Real-Time Analytics Dashboard with sales performance, inventory analytics, partner leaderboard, and YoY comparisons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 Unit Fees/Charges, Closing Info, Critical Dates, Lease Info sections; Added NSF Check History and Fine tracking for buyers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Feb 28, 2026</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Product Team</w:t>
            </w:r>
          </w:p>
        </w:tc>
        <w:tc>
          <w:tcPr>
            <w:tcW w:type="dxa" w:w="3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Definitive Merged Edition: Integrated RESPA/TRID/UCD compliance, NAR settlement decoupled commissions, FINTRAC 24-hour rule and LCTR, RERA 70% escrow and milestone payments, VLM/LayoutLM spatial AI architecture, active learning pipeline, SIPP and FinPayables Yardi integration, multi-tenant JSONB database architecture, data residency, implementation principles, and references</w:t>
            </w:r>
          </w:p>
        </w:tc>
      </w:tr>
    </w:tbl>
    <w:p>
      <w:r>
        <w:br w:type="page"/>
      </w:r>
    </w:p>
    <w:p>
      <w:pPr>
        <w:pStyle w:val="Heading1"/>
        <w:spacing w:before="300" w:after="150"/>
      </w:pPr>
      <w:r>
        <w:t xml:space="preserve">Project Overview</w:t>
      </w:r>
    </w:p>
    <w:p>
      <w:pPr>
        <w:pStyle w:val="Heading2"/>
        <w:spacing w:before="300" w:after="150"/>
      </w:pPr>
      <w:r>
        <w:t xml:space="preserve">Vision Statement</w:t>
      </w:r>
    </w:p>
    <w:p>
      <w:pPr>
        <w:spacing w:after="120"/>
      </w:pPr>
      <w:r>
        <w:rPr>
          <w:rFonts w:ascii="Arial" w:cs="Arial" w:eastAsia="Arial" w:hAnsi="Arial"/>
          <w:color w:val="333333"/>
          <w:sz w:val="22"/>
          <w:szCs w:val="22"/>
        </w:rPr>
        <w:t xml:space="preserve">To build an intelligent, AI-first unit sales management system that eliminates manual data entry, ensures country-specific regulatory compliance, and provides seamless financial integration with the Yardi ecosystem, reducing sales processing time by up to 80%.</w:t>
      </w:r>
    </w:p>
    <w:p>
      <w:pPr>
        <w:pStyle w:val="Heading2"/>
        <w:spacing w:before="300" w:after="150"/>
      </w:pPr>
      <w:r>
        <w:t xml:space="preserve">Business Objectives</w:t>
      </w:r>
    </w:p>
    <w:p>
      <w:pPr>
        <w:pStyle w:val="ListParagraph"/>
        <w:numPr>
          <w:ilvl w:val="0"/>
          <w:numId w:val="2"/>
        </w:numPr>
        <w:spacing w:after="80"/>
      </w:pPr>
      <w:r>
        <w:rPr>
          <w:rFonts w:ascii="Arial" w:cs="Arial" w:eastAsia="Arial" w:hAnsi="Arial"/>
          <w:color w:val="333333"/>
          <w:sz w:val="22"/>
          <w:szCs w:val="22"/>
        </w:rPr>
        <w:t xml:space="preserve">Automate unit sale recording through AI-powered document extraction</w:t>
      </w:r>
    </w:p>
    <w:p>
      <w:pPr>
        <w:pStyle w:val="ListParagraph"/>
        <w:numPr>
          <w:ilvl w:val="0"/>
          <w:numId w:val="2"/>
        </w:numPr>
        <w:spacing w:after="80"/>
      </w:pPr>
      <w:r>
        <w:rPr>
          <w:rFonts w:ascii="Arial" w:cs="Arial" w:eastAsia="Arial" w:hAnsi="Arial"/>
          <w:color w:val="333333"/>
          <w:sz w:val="22"/>
          <w:szCs w:val="22"/>
        </w:rPr>
        <w:t xml:space="preserve">Ensure compliance with real estate transaction laws in USA, Canada, and India</w:t>
      </w:r>
    </w:p>
    <w:p>
      <w:pPr>
        <w:pStyle w:val="ListParagraph"/>
        <w:numPr>
          <w:ilvl w:val="0"/>
          <w:numId w:val="2"/>
        </w:numPr>
        <w:spacing w:after="80"/>
      </w:pPr>
      <w:r>
        <w:rPr>
          <w:rFonts w:ascii="Arial" w:cs="Arial" w:eastAsia="Arial" w:hAnsi="Arial"/>
          <w:color w:val="333333"/>
          <w:sz w:val="22"/>
          <w:szCs w:val="22"/>
        </w:rPr>
        <w:t xml:space="preserve">Centralize buyer information, broker management, and commission tracking</w:t>
      </w:r>
    </w:p>
    <w:p>
      <w:pPr>
        <w:pStyle w:val="ListParagraph"/>
        <w:numPr>
          <w:ilvl w:val="0"/>
          <w:numId w:val="2"/>
        </w:numPr>
        <w:spacing w:after="80"/>
      </w:pPr>
      <w:r>
        <w:rPr>
          <w:rFonts w:ascii="Arial" w:cs="Arial" w:eastAsia="Arial" w:hAnsi="Arial"/>
          <w:color w:val="333333"/>
          <w:sz w:val="22"/>
          <w:szCs w:val="22"/>
        </w:rPr>
        <w:t xml:space="preserve">Enable seamless payment management for both payables (broker commissions) and receivables (buyer installments)</w:t>
      </w:r>
    </w:p>
    <w:p>
      <w:pPr>
        <w:pStyle w:val="ListParagraph"/>
        <w:numPr>
          <w:ilvl w:val="0"/>
          <w:numId w:val="2"/>
        </w:numPr>
        <w:spacing w:after="80"/>
      </w:pPr>
      <w:r>
        <w:rPr>
          <w:rFonts w:ascii="Arial" w:cs="Arial" w:eastAsia="Arial" w:hAnsi="Arial"/>
          <w:color w:val="333333"/>
          <w:sz w:val="22"/>
          <w:szCs w:val="22"/>
        </w:rPr>
        <w:t xml:space="preserve">Integrate with Yardi to push financial transactions for accounting reconciliation</w:t>
      </w:r>
    </w:p>
    <w:p>
      <w:pPr>
        <w:pStyle w:val="ListParagraph"/>
        <w:numPr>
          <w:ilvl w:val="0"/>
          <w:numId w:val="2"/>
        </w:numPr>
        <w:spacing w:after="80"/>
      </w:pPr>
      <w:r>
        <w:rPr>
          <w:rFonts w:ascii="Arial" w:cs="Arial" w:eastAsia="Arial" w:hAnsi="Arial"/>
          <w:color w:val="333333"/>
          <w:sz w:val="22"/>
          <w:szCs w:val="22"/>
        </w:rPr>
        <w:t xml:space="preserve">Build a self-learning AI model that improves extraction accuracy over time</w:t>
      </w:r>
    </w:p>
    <w:p>
      <w:pPr>
        <w:pStyle w:val="Heading2"/>
        <w:spacing w:before="300" w:after="150"/>
      </w:pPr>
      <w:r>
        <w:t xml:space="preserve">Scope</w:t>
      </w:r>
    </w:p>
    <w:p>
      <w:pPr>
        <w:pStyle w:val="Heading3"/>
        <w:spacing w:before="300" w:after="150"/>
      </w:pPr>
      <w:r>
        <w:t xml:space="preserve">In Scope</w:t>
      </w:r>
    </w:p>
    <w:p>
      <w:pPr>
        <w:pStyle w:val="ListParagraph"/>
        <w:numPr>
          <w:ilvl w:val="0"/>
          <w:numId w:val="3"/>
        </w:numPr>
        <w:spacing w:after="80"/>
      </w:pPr>
      <w:r>
        <w:rPr>
          <w:rFonts w:ascii="Arial" w:cs="Arial" w:eastAsia="Arial" w:hAnsi="Arial"/>
          <w:color w:val="333333"/>
          <w:sz w:val="22"/>
          <w:szCs w:val="22"/>
        </w:rPr>
        <w:t xml:space="preserve">Unit sales recording and management for properties across USA, Canada, and India</w:t>
      </w:r>
    </w:p>
    <w:p>
      <w:pPr>
        <w:pStyle w:val="ListParagraph"/>
        <w:numPr>
          <w:ilvl w:val="0"/>
          <w:numId w:val="3"/>
        </w:numPr>
        <w:spacing w:after="80"/>
      </w:pPr>
      <w:r>
        <w:rPr>
          <w:rFonts w:ascii="Arial" w:cs="Arial" w:eastAsia="Arial" w:hAnsi="Arial"/>
          <w:color w:val="333333"/>
          <w:sz w:val="22"/>
          <w:szCs w:val="22"/>
        </w:rPr>
        <w:t xml:space="preserve">Buyer information management and records</w:t>
      </w:r>
    </w:p>
    <w:p>
      <w:pPr>
        <w:pStyle w:val="ListParagraph"/>
        <w:numPr>
          <w:ilvl w:val="0"/>
          <w:numId w:val="3"/>
        </w:numPr>
        <w:spacing w:after="80"/>
      </w:pPr>
      <w:r>
        <w:rPr>
          <w:rFonts w:ascii="Arial" w:cs="Arial" w:eastAsia="Arial" w:hAnsi="Arial"/>
          <w:color w:val="333333"/>
          <w:sz w:val="22"/>
          <w:szCs w:val="22"/>
        </w:rPr>
        <w:t xml:space="preserve">Broker and broker firm management with configurable commissions</w:t>
      </w:r>
    </w:p>
    <w:p>
      <w:pPr>
        <w:pStyle w:val="ListParagraph"/>
        <w:numPr>
          <w:ilvl w:val="0"/>
          <w:numId w:val="3"/>
        </w:numPr>
        <w:spacing w:after="80"/>
      </w:pPr>
      <w:r>
        <w:rPr>
          <w:rFonts w:ascii="Arial" w:cs="Arial" w:eastAsia="Arial" w:hAnsi="Arial"/>
          <w:color w:val="333333"/>
          <w:sz w:val="22"/>
          <w:szCs w:val="22"/>
        </w:rPr>
        <w:t xml:space="preserve">Commission payable generation and payment processing</w:t>
      </w:r>
    </w:p>
    <w:p>
      <w:pPr>
        <w:pStyle w:val="ListParagraph"/>
        <w:numPr>
          <w:ilvl w:val="0"/>
          <w:numId w:val="3"/>
        </w:numPr>
        <w:spacing w:after="80"/>
      </w:pPr>
      <w:r>
        <w:rPr>
          <w:rFonts w:ascii="Arial" w:cs="Arial" w:eastAsia="Arial" w:hAnsi="Arial"/>
          <w:color w:val="333333"/>
          <w:sz w:val="22"/>
          <w:szCs w:val="22"/>
        </w:rPr>
        <w:t xml:space="preserve">Buyer payment schedule and installment tracking</w:t>
      </w:r>
    </w:p>
    <w:p>
      <w:pPr>
        <w:pStyle w:val="ListParagraph"/>
        <w:numPr>
          <w:ilvl w:val="0"/>
          <w:numId w:val="3"/>
        </w:numPr>
        <w:spacing w:after="80"/>
      </w:pPr>
      <w:r>
        <w:rPr>
          <w:rFonts w:ascii="Arial" w:cs="Arial" w:eastAsia="Arial" w:hAnsi="Arial"/>
          <w:color w:val="333333"/>
          <w:sz w:val="22"/>
          <w:szCs w:val="22"/>
        </w:rPr>
        <w:t xml:space="preserve">AI-powered document upload, extraction, review, and self-learning</w:t>
      </w:r>
    </w:p>
    <w:p>
      <w:pPr>
        <w:pStyle w:val="ListParagraph"/>
        <w:numPr>
          <w:ilvl w:val="0"/>
          <w:numId w:val="3"/>
        </w:numPr>
        <w:spacing w:after="80"/>
      </w:pPr>
      <w:r>
        <w:rPr>
          <w:rFonts w:ascii="Arial" w:cs="Arial" w:eastAsia="Arial" w:hAnsi="Arial"/>
          <w:color w:val="333333"/>
          <w:sz w:val="22"/>
          <w:szCs w:val="22"/>
        </w:rPr>
        <w:t xml:space="preserve">Yardi integration for payables and receivables sync</w:t>
      </w:r>
    </w:p>
    <w:p>
      <w:pPr>
        <w:pStyle w:val="ListParagraph"/>
        <w:numPr>
          <w:ilvl w:val="0"/>
          <w:numId w:val="3"/>
        </w:numPr>
        <w:spacing w:after="80"/>
      </w:pPr>
      <w:r>
        <w:rPr>
          <w:rFonts w:ascii="Arial" w:cs="Arial" w:eastAsia="Arial" w:hAnsi="Arial"/>
          <w:color w:val="333333"/>
          <w:sz w:val="22"/>
          <w:szCs w:val="22"/>
        </w:rPr>
        <w:t xml:space="preserve">Property and unit inventory sync from Yardi for reporting and analytics (read-only mirror)</w:t>
      </w:r>
    </w:p>
    <w:p>
      <w:pPr>
        <w:pStyle w:val="ListParagraph"/>
        <w:numPr>
          <w:ilvl w:val="0"/>
          <w:numId w:val="3"/>
        </w:numPr>
        <w:spacing w:after="80"/>
      </w:pPr>
      <w:r>
        <w:rPr>
          <w:rFonts w:ascii="Arial" w:cs="Arial" w:eastAsia="Arial" w:hAnsi="Arial"/>
          <w:color w:val="333333"/>
          <w:sz w:val="22"/>
          <w:szCs w:val="22"/>
        </w:rPr>
        <w:t xml:space="preserve">Real-time analytics dashboard with sales performance, inventory status, partner rankings, and year-over-year comparisons</w:t>
      </w:r>
    </w:p>
    <w:p>
      <w:pPr>
        <w:pStyle w:val="ListParagraph"/>
        <w:numPr>
          <w:ilvl w:val="0"/>
          <w:numId w:val="3"/>
        </w:numPr>
        <w:spacing w:after="80"/>
      </w:pPr>
      <w:r>
        <w:rPr>
          <w:rFonts w:ascii="Arial" w:cs="Arial" w:eastAsia="Arial" w:hAnsi="Arial"/>
          <w:color w:val="333333"/>
          <w:sz w:val="22"/>
          <w:szCs w:val="22"/>
        </w:rPr>
        <w:t xml:space="preserve">Role-based access control and audit logging</w:t>
      </w:r>
    </w:p>
    <w:p>
      <w:pPr>
        <w:pStyle w:val="ListParagraph"/>
        <w:numPr>
          <w:ilvl w:val="0"/>
          <w:numId w:val="3"/>
        </w:numPr>
        <w:spacing w:after="80"/>
      </w:pPr>
      <w:r>
        <w:rPr>
          <w:rFonts w:ascii="Arial" w:cs="Arial" w:eastAsia="Arial" w:hAnsi="Arial"/>
          <w:color w:val="333333"/>
          <w:sz w:val="22"/>
          <w:szCs w:val="22"/>
        </w:rPr>
        <w:t xml:space="preserve">Country-specific tax and compliance modules</w:t>
      </w:r>
    </w:p>
    <w:p>
      <w:pPr>
        <w:pStyle w:val="Heading3"/>
        <w:spacing w:before="300" w:after="150"/>
      </w:pPr>
      <w:r>
        <w:t xml:space="preserve">Out of Scope (Phase 1)</w:t>
      </w:r>
    </w:p>
    <w:p>
      <w:pPr>
        <w:pStyle w:val="ListParagraph"/>
        <w:numPr>
          <w:ilvl w:val="0"/>
          <w:numId w:val="3"/>
        </w:numPr>
        <w:spacing w:after="80"/>
      </w:pPr>
      <w:r>
        <w:rPr>
          <w:rFonts w:ascii="Arial" w:cs="Arial" w:eastAsia="Arial" w:hAnsi="Arial"/>
          <w:color w:val="333333"/>
          <w:sz w:val="22"/>
          <w:szCs w:val="22"/>
        </w:rPr>
        <w:t xml:space="preserve">CRM and lead management</w:t>
      </w:r>
    </w:p>
    <w:p>
      <w:pPr>
        <w:pStyle w:val="ListParagraph"/>
        <w:numPr>
          <w:ilvl w:val="0"/>
          <w:numId w:val="3"/>
        </w:numPr>
        <w:spacing w:after="80"/>
      </w:pPr>
      <w:r>
        <w:rPr>
          <w:rFonts w:ascii="Arial" w:cs="Arial" w:eastAsia="Arial" w:hAnsi="Arial"/>
          <w:color w:val="333333"/>
          <w:sz w:val="22"/>
          <w:szCs w:val="22"/>
        </w:rPr>
        <w:t xml:space="preserve">Marketing automation</w:t>
      </w:r>
    </w:p>
    <w:p>
      <w:pPr>
        <w:pStyle w:val="ListParagraph"/>
        <w:numPr>
          <w:ilvl w:val="0"/>
          <w:numId w:val="3"/>
        </w:numPr>
        <w:spacing w:after="80"/>
      </w:pPr>
      <w:r>
        <w:rPr>
          <w:rFonts w:ascii="Arial" w:cs="Arial" w:eastAsia="Arial" w:hAnsi="Arial"/>
          <w:color w:val="333333"/>
          <w:sz w:val="22"/>
          <w:szCs w:val="22"/>
        </w:rPr>
        <w:t xml:space="preserve">Direct property/inventory management (inventory is synced read-only from Yardi)</w:t>
      </w:r>
    </w:p>
    <w:p>
      <w:pPr>
        <w:pStyle w:val="ListParagraph"/>
        <w:numPr>
          <w:ilvl w:val="0"/>
          <w:numId w:val="3"/>
        </w:numPr>
        <w:spacing w:after="80"/>
      </w:pPr>
      <w:r>
        <w:rPr>
          <w:rFonts w:ascii="Arial" w:cs="Arial" w:eastAsia="Arial" w:hAnsi="Arial"/>
          <w:color w:val="333333"/>
          <w:sz w:val="22"/>
          <w:szCs w:val="22"/>
        </w:rPr>
        <w:t xml:space="preserve">Direct payment gateway integration (payments are recorded, not processed online)</w:t>
      </w:r>
    </w:p>
    <w:p>
      <w:pPr>
        <w:pStyle w:val="ListParagraph"/>
        <w:numPr>
          <w:ilvl w:val="0"/>
          <w:numId w:val="3"/>
        </w:numPr>
        <w:spacing w:after="80"/>
      </w:pPr>
      <w:r>
        <w:rPr>
          <w:rFonts w:ascii="Arial" w:cs="Arial" w:eastAsia="Arial" w:hAnsi="Arial"/>
          <w:color w:val="333333"/>
          <w:sz w:val="22"/>
          <w:szCs w:val="22"/>
        </w:rPr>
        <w:t xml:space="preserve">Mobile native apps (responsive web only in Phase 1)</w:t>
      </w:r>
    </w:p>
    <w:p>
      <w:r>
        <w:br w:type="page"/>
      </w:r>
    </w:p>
    <w:p>
      <w:pPr>
        <w:pStyle w:val="Heading1"/>
        <w:spacing w:before="300" w:after="150"/>
      </w:pPr>
      <w:r>
        <w:t xml:space="preserve">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Super Admin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System-level administrator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system access, user management, configuration, AI model settings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Admin</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Manages a specific property or portfolio</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Manage units, sales, brokers, view reports for assigned properties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Manager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Oversees sales team and operations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Record/review sales, manage buyers, approve AI extractions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Finance Manager</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Handles payments and accounting</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Create/approve payments, manage receivables, Yardi 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Portal User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External broker accessing their dashboard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own sales, commissions, payment status (read-only)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Auditor</w:t>
            </w:r>
          </w:p>
        </w:tc>
        <w:tc>
          <w:tcPr>
            <w:tcW w:type="dxa" w:w="2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Read-only access for compliance reviews</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View all records, generate reports, no edit permissions</w:t>
            </w:r>
          </w:p>
        </w:tc>
      </w:tr>
    </w:tbl>
    <w:p>
      <w:r>
        <w:br w:type="page"/>
      </w:r>
    </w:p>
    <w:p>
      <w:pPr>
        <w:pStyle w:val="Heading1"/>
        <w:spacing w:before="300" w:after="150"/>
      </w:pPr>
      <w:r>
        <w:t xml:space="preserve">Functional Requirements</w:t>
      </w:r>
    </w:p>
    <w:p>
      <w:pPr>
        <w:pStyle w:val="Heading2"/>
        <w:spacing w:before="300" w:after="150"/>
      </w:pPr>
      <w:r>
        <w:t xml:space="preserve">Module 1: Property and Unit Management</w:t>
      </w:r>
    </w:p>
    <w:p>
      <w:pPr>
        <w:spacing w:after="120"/>
      </w:pPr>
      <w:r>
        <w:rPr>
          <w:rFonts w:ascii="Arial" w:cs="Arial" w:eastAsia="Arial" w:hAnsi="Arial"/>
          <w:color w:val="333333"/>
          <w:sz w:val="22"/>
          <w:szCs w:val="22"/>
        </w:rPr>
        <w:t xml:space="preserve">This module manages the property inventory and individual units available for sale.</w:t>
      </w:r>
    </w:p>
    <w:p>
      <w:pPr>
        <w:pStyle w:val="Heading3"/>
        <w:spacing w:before="300" w:after="150"/>
      </w:pPr>
      <w:r>
        <w:t xml:space="preserve">Property Information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System-assigned unique identifier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Name of the development/building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Residential, Commercial, Mixed-Use, Industrial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Address Line 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Street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Address Line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Suite/Floor/Building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 Province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(USA), Province (Canada), State (India)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Postal / ZIP Code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ZIP (USA), Postal Code (Canada/India)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USA, Canada, India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Units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sellable units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 Owner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entity name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 Tax 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EIN (USA), BN (Canada), PAN/GSTIN (India)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Number (India), applicable permits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Pre-Launch, Active, Sold Out, Archived</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Information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System-assigned unique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Number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Developer-assigned unit number (e.g., A-101)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Studio, 1BHK, 2BHK, 3BHK, Penthouse, Office, Retail, etc.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Floor Number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Carpet Area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 sq ft or sq m (configurable per country)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Built-Up Area</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Super Built-Up Area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India (RERA)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Base Price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List price in local currency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 Per Sq Ft/Sq 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Price / Area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Available, Reserved, Sold, Blocked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Parking Included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Parking Slots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parking included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Amenities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Multi-select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Balcony, Garden, Pool View, etc.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Floor Plan Document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PDF/Image of layout</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Fees and Charges</w:t>
      </w:r>
    </w:p>
    <w:p>
      <w:pPr>
        <w:spacing w:after="120"/>
      </w:pPr>
      <w:r>
        <w:rPr>
          <w:rFonts w:ascii="Arial" w:cs="Arial" w:eastAsia="Arial" w:hAnsi="Arial"/>
          <w:color w:val="333333"/>
          <w:sz w:val="22"/>
          <w:szCs w:val="22"/>
        </w:rPr>
        <w:t xml:space="preserve">Each unit carries a detailed fee structure that must be captured at the time of sale. These fees vary by property, country, and developer policy. All monetary values are stored in the local currency of the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Purchase Price (Incl. HST/GST/Tax)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purchase price inclusive of applicable sales tax</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HST / GST / Sales Tax Amount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Broken out tax amount; auto-calculated based on country/province tax rules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Upgrades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of any buyer-selected upgrades (finishes, appliances, add-ons)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Purchase Price (Excl. Tax)</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Purchase Price minus HST/GST/Sales Tax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CAP Amendment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Development charge cap amendment fee (Ontario, Canada specific)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Parkland Levies / Cap</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Municipal parkland dedication levy; varies by city/municipality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General Admin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administrative processing fee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Admin Fee for Mortgage Discharge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Fee charged for processing mortgage discharge 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Tarion Enrollment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Ontario new home warranty enrollment (Canada); varies by unit price tier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Mortgage Application / Insurance Fee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Lender-related fees passed to buyer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Realty Tax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tax amount or adjustment at closing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Utility Security Charge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Security deposit or connection fee for utilities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Submetering Charge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for individual utility sub-meter installation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Occupancy Fees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Monthly fees during interim occupancy (pre-construction Canada)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Common Expense Contributions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condo maintenance / common area fees; starts at occupancy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Bulletin 19 Charge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Bulletin 19 compliance charge (Ontario, Canada)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 for Limited Right of Assignment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 charged if buyer is granted limited assignment rights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Deposit Received by Developer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deposit amount already collected by the developer/builder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 D Percentage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from Schedule D of the Agreement of Purchase and Sale</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Closing Information</w:t>
      </w:r>
    </w:p>
    <w:p>
      <w:pPr>
        <w:spacing w:after="120"/>
      </w:pPr>
      <w:r>
        <w:rPr>
          <w:rFonts w:ascii="Arial" w:cs="Arial" w:eastAsia="Arial" w:hAnsi="Arial"/>
          <w:color w:val="333333"/>
          <w:sz w:val="22"/>
          <w:szCs w:val="22"/>
        </w:rPr>
        <w:t xml:space="preserve">Closing-related financial adjustments and penalty fields captured per unit at or around the closing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3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on Closing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Any credit applied to buyer at closing (recorded as negative/credit amount)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Credit on Deposit Interest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Interest earned on buyer deposits, credited at closing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Direction Note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note: A credit is recorded as a negative value reducing buyer obligation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Penalty for Listing on MLS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Penalty charged to buyer for unauthorized MLS listing of pre-construction unit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Penalty for Assignment Without Consent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Penalty for unauthorized assignment/transfer of purchase agreement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Leasing Fee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Fee for leasing the unit (if lease-back or rental rights granted)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Miscellaneous Legal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Other legal fees not covered above; free-text description field included</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Critical Dates</w:t>
      </w:r>
    </w:p>
    <w:p>
      <w:pPr>
        <w:spacing w:after="120"/>
      </w:pPr>
      <w:r>
        <w:rPr>
          <w:rFonts w:ascii="Arial" w:cs="Arial" w:eastAsia="Arial" w:hAnsi="Arial"/>
          <w:color w:val="333333"/>
          <w:sz w:val="22"/>
          <w:szCs w:val="22"/>
        </w:rPr>
        <w:t xml:space="preserve">Key milestone dates tracked throughout the unit sale lifecycle. These dates drive workflow notifications, compliance timelines, and occupancy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Closing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Estimated closing date from the purchase agreement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Contract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purchase agreement was fully executed by all parties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Approval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the sale was approved (e.g., board approval for co-ops, developer approval)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Final Sales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sale is finalized and legally completed; triggers unit status change to Sold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Firm Occupancy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Confirmed date buyer can take occupancy (common in pre-construction Canada)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Actual Occupancy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buyer actually took physical occupancy of the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Interim Occupancy Start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of interim occupancy period (Canada pre-construction); triggers occupancy fee billing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Registration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condo/unit is registered with the land registry</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 Lease Information</w:t>
      </w:r>
    </w:p>
    <w:p>
      <w:pPr>
        <w:spacing w:after="120"/>
      </w:pPr>
      <w:r>
        <w:rPr>
          <w:rFonts w:ascii="Arial" w:cs="Arial" w:eastAsia="Arial" w:hAnsi="Arial"/>
          <w:color w:val="333333"/>
          <w:sz w:val="22"/>
          <w:szCs w:val="22"/>
        </w:rPr>
        <w:t xml:space="preserve">Lease-related rights and restrictions for the unit, typically defined in the purchase agreement. These fields track whether the buyer has leasing and assignment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Right to Lease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No, Conditional; whether the buyer has the right to lease the unit to a third party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Leased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 No, Unknown; current lease status of the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Lease Start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Unit Leased = Yes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Lease End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Unit Leased = 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Lease Amount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Unit Leased = Yes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Tenant Name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Unit Leased = Yes; for records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Limited Right of Assignment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No, Conditional; whether buyer can assign purchase agreement to another party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Assignment Fee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assignment right is granted; fee from the Unit Fees section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Assignment Consent Required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Whether developer consent is needed before assignment</w:t>
            </w:r>
          </w:p>
        </w:tc>
      </w:tr>
    </w:tbl>
    <w:p>
      <w:r>
        <w:br w:type="page"/>
      </w:r>
    </w:p>
    <w:p>
      <w:pPr>
        <w:pStyle w:val="Heading2"/>
        <w:spacing w:before="300" w:after="150"/>
      </w:pPr>
      <w:r>
        <w:t xml:space="preserve">Module 2: Unit Sales Recording</w:t>
      </w:r>
    </w:p>
    <w:p>
      <w:pPr>
        <w:spacing w:after="120"/>
      </w:pPr>
      <w:r>
        <w:rPr>
          <w:rFonts w:ascii="Arial" w:cs="Arial" w:eastAsia="Arial" w:hAnsi="Arial"/>
          <w:color w:val="333333"/>
          <w:sz w:val="22"/>
          <w:szCs w:val="22"/>
        </w:rPr>
        <w:t xml:space="preserve">This module captures the complete sale transaction when a unit is sold to a buyer. A sale can be recorded manually or automatically via the AI extraction engine (Module 7).</w:t>
      </w:r>
    </w:p>
    <w:p>
      <w:pPr>
        <w:pStyle w:val="Heading3"/>
        <w:spacing w:before="300" w:after="150"/>
      </w:pPr>
      <w:r>
        <w:t xml:space="preserve">Sale Transaction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transaction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ID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 to property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 to specific unit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 to buyer 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sale was brokered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Date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of agreement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Agreement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Deed, Agreement to Sell, Purchase Agreement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Price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agreed sale amount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USD, CAD, INR (based on property country)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Discount Amount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Any discount applied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Sale Price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Price minus Discount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Mandatory for India; varies by state/province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Applicable in India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GST / HST / Sales Tax</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Based on country tax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Transaction 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Sale Price + Taxes + Fees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Terms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Summary of payment 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Document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Scanned/original sale agreement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Draft, Pending Review, Confirmed, Cancelled, 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Entry, AI Extraction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Created By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User who recorded the sale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w:t>
            </w:r>
          </w:p>
        </w:tc>
      </w:tr>
    </w:tbl>
    <w:p>
      <w:r>
        <w:br w:type="page"/>
      </w:r>
    </w:p>
    <w:p>
      <w:pPr>
        <w:pStyle w:val="Heading2"/>
        <w:spacing w:before="300" w:after="150"/>
      </w:pPr>
      <w:r>
        <w:t xml:space="preserve">Module 3: Country-Specific Legal Compliance</w:t>
      </w:r>
    </w:p>
    <w:p>
      <w:pPr>
        <w:spacing w:after="120"/>
      </w:pPr>
      <w:r>
        <w:rPr>
          <w:rFonts w:ascii="Arial" w:cs="Arial" w:eastAsia="Arial" w:hAnsi="Arial"/>
          <w:color w:val="333333"/>
          <w:sz w:val="22"/>
          <w:szCs w:val="22"/>
        </w:rPr>
        <w:t xml:space="preserve">Upward must enforce specific business rules and data capture requirements based on the country in which the property is located. The system dynamically adjusts forms, validations, and calculations based on the selected country.</w:t>
      </w:r>
    </w:p>
    <w:p>
      <w:pPr>
        <w:pStyle w:val="Heading3"/>
        <w:spacing w:before="300" w:after="150"/>
      </w:pPr>
      <w:r>
        <w:t xml:space="preserve">United States (USA)</w:t>
      </w:r>
    </w:p>
    <w:p>
      <w:pPr>
        <w:spacing w:after="120"/>
      </w:pPr>
      <w:r>
        <w:rPr>
          <w:rFonts w:ascii="Arial" w:cs="Arial" w:eastAsia="Arial" w:hAnsi="Arial"/>
          <w:color w:val="333333"/>
          <w:sz w:val="22"/>
          <w:szCs w:val="22"/>
        </w:rPr>
        <w:t xml:space="preserve">US real estate transactions are heavily regulated by RESPA (Real Estate Settlement Procedures Act), TILA (Truth in Lending Act), and the consolidated TILA-RESPA Integrated Disclosure (TRID) rule, which mandates standardized Closing Disclosures and Settlement Statements. The AI extraction engine must be calibrated to parse these documents in alignment with the Uniform Closing Dataset (UCD) v2.0 specifications published by Fannie Mae/Freddie Mac.</w:t>
      </w:r>
    </w:p>
    <w:p>
      <w:pPr>
        <w:spacing w:after="120"/>
      </w:pPr>
      <w:r>
        <w:rPr>
          <w:rFonts w:ascii="Arial" w:cs="Arial" w:eastAsia="Arial" w:hAnsi="Arial"/>
          <w:b/>
          <w:bCs/>
          <w:color w:val="C0392B"/>
          <w:sz w:val="22"/>
          <w:szCs w:val="22"/>
        </w:rPr>
        <w:t xml:space="preserve">NAR Settlement Impact: </w:t>
      </w:r>
      <w:r>
        <w:rPr>
          <w:rFonts w:ascii="Arial" w:cs="Arial" w:eastAsia="Arial" w:hAnsi="Arial"/>
          <w:color w:val="333333"/>
          <w:sz w:val="22"/>
          <w:szCs w:val="22"/>
        </w:rPr>
        <w:t xml:space="preserve">Recent antitrust settlements involving the National Association of Realtors (NAR) have abolished blanket MLS compensation offers and mandate explicit, written buyer-broker agreements prior to property tours. The Upward commission engine must not assume a standardized seller-paid commission split. The database architecture must support fully decoupled commission logic, tracking buyer-paid fees, seller concessions, flat-fee arrangements, and negotiated localized fee structures independently. The AI must be trained to identify compensation addenda within purchase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Compliance Area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RESPA / TRID Compliance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Standardized Closing Disclosures (CD) and Settlement Statements per TRID rule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extraction aligned to UCD v2.0 schema; capture borrower/seller names, lender entity, loan origination charges, recording fees, escrow disclosures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Identification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must provide SSN or ITIN; Foreign buyers file IRS Form W-7</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SSN/ITIN field with format validation; Flag for foreign buyers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FIRPTA Withholding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 withholding on sales to foreign persons per IRS rules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Auto-detect foreign buyer status; calculate 15% withholding; generate FIRPTA notice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NAR Decoupled Commissions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Post-NAR settlement: no blanket MLS offers; explicit buyer-broker agreements required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Separate buyer-paid and seller-paid commission fields; buyer-broker agreement upload; independent payable generation per party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Transfer Tax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Varies by state (e.g., NY: 0.4%, CA: $1.10/$1000)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tax rate by state; auto-calculate on sale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Title Insurance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Required in most transactions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Checkbox to confirm title insurance; record policy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HOA Disclosures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Required for condo/association units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HOA disclosure document upload field; estoppel certificate tracking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Lead Paint Disclosure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Required for pre-1978 buildings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 field triggered by building 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Fair Housing 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discrimination in sales practices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logging on all sales; equal treatment documentation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1099-S Reporting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Report real estate sale proceeds to IRS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Generate 1099-S data; export for filing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Referral Fee Restrictions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RESPA prohibits kickbacks and unearned referral fees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audit trail; referral fee documentation; RESPA compliance flags</w:t>
            </w:r>
          </w:p>
        </w:tc>
      </w:tr>
    </w:tbl>
    <w:p>
      <w:pPr>
        <w:spacing w:after="120" w:before="300"/>
      </w:pPr>
      <w:r>
        <w:rPr>
          <w:rFonts w:ascii="Arial" w:cs="Arial" w:eastAsia="Arial" w:hAnsi="Arial"/>
          <w:color w:val="333333"/>
          <w:sz w:val="22"/>
          <w:szCs w:val="22"/>
        </w:rPr>
        <w:t xml:space="preserve"/>
      </w:r>
    </w:p>
    <w:p>
      <w:pPr>
        <w:pStyle w:val="Heading3"/>
        <w:spacing w:before="300" w:after="150"/>
      </w:pPr>
      <w:r>
        <w:t xml:space="preserve">Canada</w:t>
      </w:r>
    </w:p>
    <w:p>
      <w:pPr>
        <w:spacing w:after="120"/>
      </w:pPr>
      <w:r>
        <w:rPr>
          <w:rFonts w:ascii="Arial" w:cs="Arial" w:eastAsia="Arial" w:hAnsi="Arial"/>
          <w:color w:val="333333"/>
          <w:sz w:val="22"/>
          <w:szCs w:val="22"/>
        </w:rPr>
        <w:t xml:space="preserve">Canadian real estate compliance is governed by the Proceeds of Crime (Money Laundering) and Terrorist Financing Act (PCMLTFA), enforced by FINTRAC. Real estate developers, brokers, and sales representatives are legally designated as reporting entities, requiring rigorous KYC protocols and AML record-keeping. The system must capture, encrypt, and securely store specific data points to maintain absolute FINTRAC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Compliance Area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Identification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 for residents; ITN for non-residents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SIN/ITN field with format validation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FINTRAC KYC Verification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Identity verification through government photo ID, Canadian credit file, or dual-process verification matching two distinct reliable sources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Dual-process ID fields; document upload for each verification method; KYC status tracking per FINTRAC prescribed methods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FINTRAC Receipt of Funds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fund transfer requires a Receipt of Funds Record: transaction date, total amount, cash portion, method of receipt, currency exchange rates, full account details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 Receipt of Funds record on every payment; capture all FINTRAC-mandated fields; encrypted storage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FINTRAC 24-Hour $10K Rule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Any single or aggregated transactions reaching $10,000 CAD within 24 hours must generate a Large Cash Transaction Report (LCTR)</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24-hour rolling aggregation algorithm per entity; auto-flag when $10K threshold is breached; halt processing; generate LCTR for human review and FINTRAC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Non-Resident Tax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withholding under Section 116 of Income Tax Act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Auto-detect non-resident status; calculate 25% withholding; generate clearance certificate request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GST/HST on New Homes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 GST (federal) + provincial HST where applicable; varies by province for real estate services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Provincial GST/HST rate configuration; auto-calculate based on province; separate tax treatment for professional services vs.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Provincial Transfer Tax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Varies: BC Property Transfer Tax (tiered), Ontario Land Transfer Tax, Toronto Municipal LTT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by province/municipality; tiered rate calculation (e.g., BC: different rates per price tranche)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Foreign Buyer Ban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Prohibition on Foreign Ownership Act: restricts non-citizens, non-permanent residents, and foreign-controlled corporations (3%+ foreign equity) from acquiring residential property</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Foreign buyer flag; corporate beneficial ownership capture; 3% equity threshold check; system block or admin override with documentation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Anti-Money Laundering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FINTRAC reporting: beneficial ownership structures, suspicious transaction reporting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Beneficial ownership fields; large cash transaction auto-detection; suspicious transaction flagging; FINTRAC report generation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New Home Warranty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 (ON), NHWP (BC), etc.</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Warranty program tracking by province; certificate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Cooling-Off Period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Ontario: 10 days for pre-construction condos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Auto-calculate cooling-off period; status auto-reverts if cancelled within window</w:t>
            </w:r>
          </w:p>
        </w:tc>
      </w:tr>
    </w:tbl>
    <w:p>
      <w:pPr>
        <w:spacing w:after="120" w:before="300"/>
      </w:pPr>
      <w:r>
        <w:rPr>
          <w:rFonts w:ascii="Arial" w:cs="Arial" w:eastAsia="Arial" w:hAnsi="Arial"/>
          <w:color w:val="333333"/>
          <w:sz w:val="22"/>
          <w:szCs w:val="22"/>
        </w:rPr>
        <w:t xml:space="preserve"/>
      </w:r>
    </w:p>
    <w:p>
      <w:pPr>
        <w:pStyle w:val="Heading3"/>
        <w:spacing w:before="300" w:after="150"/>
      </w:pPr>
      <w:r>
        <w:t xml:space="preserve">India</w:t>
      </w:r>
    </w:p>
    <w:p>
      <w:pPr>
        <w:spacing w:after="120"/>
      </w:pPr>
      <w:r>
        <w:rPr>
          <w:rFonts w:ascii="Arial" w:cs="Arial" w:eastAsia="Arial" w:hAnsi="Arial"/>
          <w:color w:val="333333"/>
          <w:sz w:val="22"/>
          <w:szCs w:val="22"/>
        </w:rPr>
        <w:t xml:space="preserve">The Real Estate (Regulation and Development) Act, 2016 (RERA) introduces rigid financial transparency requirements. The Upward system must enforce RERA-specific parameters including escrow account routing, milestone-linked payment schedules, advance payment caps, and structural defect liability tracking. Compliance failures expose developers to severe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Compliance Area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Registration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must be RERA-registered; AI must verify RERA-compliant Sale Agreements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Mandatory RERA registration number field; carpet area as primary metric; allotment letter tracking; sanctioned layout plan upload; project completion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70% Escrow Account</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70% of all buyer funds must be deposited in a dedicated escrow account, ring-fenced for land acquisition and construction costs only</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Receivables module auto-bifurcates incoming payments 70/30; GL code routing ensures escrow compliance; prevents unauthorized fund co-mingling; escrow bank details stored per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Advance Payment Cap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 payments capped at 10% of unit price before formal agreement execution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blocks payment recording above 10% before agreement date; warning alerts for approaching cap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Milestone-Linked Payments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Post-advance installments must be tied to verifiable physical construction milestones, not arbitrary dates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Construction milestone dashboard; developer triggers milestone globally; batch invoice generation for all buyers in that phase; AI extracts milestone terms from payment annexure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RERA 5-Year Defect Liability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liable for structural defects for 5 years post-possession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Auto-track 5-year liability window per unit from possession date; defect reporting module; automated penalty calculator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 Delay Penalty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 must pay interest at SBI MCLR + 2% for project delays beyond committed date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Auto-calculate delay interest using current SBI MCLR rate + 2%; configurable rate updates; buyer-wise penalty computation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 Card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Mandatory for transactions above INR 10 lakh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 field with validation (AAAAA9999A format); mandatory for all sales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Aadhaar / KYC</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KYC mandatory for anti-money laundering</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Aadhaar number field (optional but tracked); KYC document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TDS (Section 194-IA)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TDS on sale consideration exceeding INR 50 lakh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Auto-calculate TDS when sale price &gt; 50L; generate Form 26QB data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Varies by state (e.g., Maharashtra 5-6%, Karnataka 5%, Delhi 4-6%)</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State-wise stamp duty rate configuration; auto-calculate based on property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Registration Charges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Typically 1% of property value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Auto-calculate; track registration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GST on Under-Construction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 (affordable) or 5% (non-affordable); No ITC; No GST on completed units with OC</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Project type classification; auto-apply correct GST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Benami Transactions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Prohibition of Benami Property Transactions Act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Beneficial owner declaration; mismatch alerting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FEMA (Foreign Buyers)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NRIs can buy residential/commercial; Foreign nationals restricted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nationality tracking; FEMA compliance flags</w:t>
            </w:r>
          </w:p>
        </w:tc>
      </w:tr>
    </w:tbl>
    <w:p>
      <w:r>
        <w:br w:type="page"/>
      </w:r>
    </w:p>
    <w:p>
      <w:pPr>
        <w:pStyle w:val="Heading2"/>
        <w:spacing w:before="300" w:after="150"/>
      </w:pPr>
      <w:r>
        <w:t xml:space="preserve">Module 4: Buyer Information Management</w:t>
      </w:r>
    </w:p>
    <w:p>
      <w:pPr>
        <w:spacing w:after="120"/>
      </w:pPr>
      <w:r>
        <w:rPr>
          <w:rFonts w:ascii="Arial" w:cs="Arial" w:eastAsia="Arial" w:hAnsi="Arial"/>
          <w:color w:val="333333"/>
          <w:sz w:val="22"/>
          <w:szCs w:val="22"/>
        </w:rPr>
        <w:t xml:space="preserve">Comprehensive buyer records must be maintained for legal compliance, payment tracking, and future reference. The system stores both individual and corporate buyer profiles.</w:t>
      </w:r>
    </w:p>
    <w:p>
      <w:pPr>
        <w:pStyle w:val="Heading3"/>
        <w:spacing w:before="300" w:after="150"/>
      </w:pPr>
      <w:r>
        <w:t xml:space="preserve">Buyer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buyer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Individual, Joint, Corporate / Entity, Trust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Middle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of Birth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Required for individuals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Nationality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ISO country list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Residency 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Resident, Non-Resident, Foreign National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contact email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Phone Number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With country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Alternate 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Mailing Address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 Block</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Full address with 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ID (USA)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SSN or ITIN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SIN (Canada)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Social Insurance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 (India)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Permanent Account Number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Aadhaar (India)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12-digit Aadhaar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Passport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non-resident / foreign buyers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Company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Buyer Type is Corporate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Registration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CIN (India), Corp Number (Canada), EIN (USA)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Authorized Signatory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corporate buyers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KYC Documents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 (multiple)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proof, address proof, photo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KYC Verified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Must be verified before sale confirmation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Anti-Money Laundering 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Triggered by compliance rules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 Area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Internal notes about the buyer</w:t>
            </w:r>
          </w:p>
        </w:tc>
      </w:tr>
    </w:tbl>
    <w:p>
      <w:pPr>
        <w:pStyle w:val="Heading3"/>
        <w:spacing w:before="300" w:after="150"/>
      </w:pPr>
      <w:r>
        <w:t xml:space="preserve">Joint Buyer Handling</w:t>
      </w:r>
    </w:p>
    <w:p>
      <w:pPr>
        <w:spacing w:after="120"/>
      </w:pPr>
      <w:r>
        <w:rPr>
          <w:rFonts w:ascii="Arial" w:cs="Arial" w:eastAsia="Arial" w:hAnsi="Arial"/>
          <w:color w:val="333333"/>
          <w:sz w:val="22"/>
          <w:szCs w:val="22"/>
        </w:rPr>
        <w:t xml:space="preserve">For joint purchases, the system must capture complete profiles for all co-buyers. The primary buyer is designated as the main contact. Ownership percentage for each co-buyer is recorded. All co-buyers must complete KYC verification. Payment schedules can be split across co-buyers or consolidated under the primary buyer.</w:t>
      </w:r>
    </w:p>
    <w:p>
      <w:pPr>
        <w:spacing w:after="120" w:before="200"/>
      </w:pPr>
      <w:r>
        <w:rPr>
          <w:rFonts w:ascii="Arial" w:cs="Arial" w:eastAsia="Arial" w:hAnsi="Arial"/>
          <w:color w:val="333333"/>
          <w:sz w:val="22"/>
          <w:szCs w:val="22"/>
        </w:rPr>
        <w:t xml:space="preserve"/>
      </w:r>
    </w:p>
    <w:p>
      <w:pPr>
        <w:pStyle w:val="Heading3"/>
        <w:spacing w:before="300" w:after="150"/>
      </w:pPr>
      <w:r>
        <w:t xml:space="preserve">NSF (Non-Sufficient Funds) Check History and Fines</w:t>
      </w:r>
    </w:p>
    <w:p>
      <w:pPr>
        <w:spacing w:after="120"/>
      </w:pPr>
      <w:r>
        <w:rPr>
          <w:rFonts w:ascii="Arial" w:cs="Arial" w:eastAsia="Arial" w:hAnsi="Arial"/>
          <w:color w:val="333333"/>
          <w:sz w:val="22"/>
          <w:szCs w:val="22"/>
        </w:rPr>
        <w:t xml:space="preserve">The system must maintain a complete history of any NSF (bounced) checks associated with a buyer. When a buyer's check or electronic payment is returned due to insufficient funds, the event is logged against their profile along with any resulting fines. This history serves as a risk indicator for the sales and finance teams and may impact future transaction approvals.</w:t>
      </w:r>
    </w:p>
    <w:p>
      <w:pPr>
        <w:pStyle w:val="Heading3"/>
        <w:spacing w:before="300" w:after="150"/>
      </w:pPr>
      <w:r>
        <w:t xml:space="preserve">NSF Event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Event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identifier for each NSF occurrence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the buyer profile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Links to the associated sale transaction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Installment 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the specific installment that bounced (if applicable)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 Payment 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check number or payment reference that was returned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Check, ACH, EFT, Pre-Authorized Debit, eCheck, UPI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Payment 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Amount of the returned payment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Date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payment was returned / bounced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Bank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Buyer's bank that returned the payment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Bank Reference / Reason Code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Bank-provided reason code for the return (e.g., R01 Insufficient Funds, R09 Uncollected Funds)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Fine 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Fine/penalty charged to the buyer for the NSF event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Fine Calculation Method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Flat Fee, Percentage of Payment, Configurable Per Property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 Invoiced, Paid, Waived, In Collections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Fine Paid Date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fine was paid by the buyer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Payment Reference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 number for fine payment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Fine Waiver Reason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Fine Status = Waived; mandatory reason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Approved 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Finance manager who approved the fine or waiver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Resubmission Date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the original payment was re-submitted after NSF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Resubmission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 Cleared, Returned Again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Internal Notes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 Area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Internal notes about the NSF event and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Synced, Synced, Error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Created Date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Timestamp when NSF event was recorded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 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who recorded the event</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NSF Configuration (Per Property /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NSF Fine 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fee charged per NSF event (e.g., $250 USD, $300 CAD, INR 2,000)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Fine Percentage (Alternative)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Decimal (%)</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Percentage of the bounced payment amount as fine (e.g.,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Calculation Method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Fee or Percentage; can be set globally or overridden per property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Grace Period for Resubmission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 (Days)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Days allowed for buyer to resolve NSF before escalation (e.g., 5 business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Maximum NSF Events Before Escalation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Threshold after which the buyer is flagged for review (e.g., after 3 NSF events)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Auto-Escalation Action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None, Flag Buyer, Block Future Payments, Notify Sales Manager, Trigger Default Notice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Notification Template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email/letter template sent to buyer on NSF occurrence</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NSF Dashboard Indicators on Buyer Profile</w:t>
      </w:r>
    </w:p>
    <w:p>
      <w:pPr>
        <w:pStyle w:val="ListParagraph"/>
        <w:numPr>
          <w:ilvl w:val="0"/>
          <w:numId w:val="3"/>
        </w:numPr>
        <w:spacing w:after="80"/>
      </w:pPr>
      <w:r>
        <w:rPr>
          <w:rFonts w:ascii="Arial" w:cs="Arial" w:eastAsia="Arial" w:hAnsi="Arial"/>
          <w:color w:val="333333"/>
          <w:sz w:val="22"/>
          <w:szCs w:val="22"/>
        </w:rPr>
        <w:t xml:space="preserve">Total NSF Count: lifetime count of NSF events for this buyer across all sales</w:t>
      </w:r>
    </w:p>
    <w:p>
      <w:pPr>
        <w:pStyle w:val="ListParagraph"/>
        <w:numPr>
          <w:ilvl w:val="0"/>
          <w:numId w:val="3"/>
        </w:numPr>
        <w:spacing w:after="80"/>
      </w:pPr>
      <w:r>
        <w:rPr>
          <w:rFonts w:ascii="Arial" w:cs="Arial" w:eastAsia="Arial" w:hAnsi="Arial"/>
          <w:color w:val="333333"/>
          <w:sz w:val="22"/>
          <w:szCs w:val="22"/>
        </w:rPr>
        <w:t xml:space="preserve">NSF Risk Badge: Green (0 events), Yellow (1-2 events), Red (3+ events); visible on buyer profile header and in buyer lists</w:t>
      </w:r>
    </w:p>
    <w:p>
      <w:pPr>
        <w:pStyle w:val="ListParagraph"/>
        <w:numPr>
          <w:ilvl w:val="0"/>
          <w:numId w:val="3"/>
        </w:numPr>
        <w:spacing w:after="80"/>
      </w:pPr>
      <w:r>
        <w:rPr>
          <w:rFonts w:ascii="Arial" w:cs="Arial" w:eastAsia="Arial" w:hAnsi="Arial"/>
          <w:color w:val="333333"/>
          <w:sz w:val="22"/>
          <w:szCs w:val="22"/>
        </w:rPr>
        <w:t xml:space="preserve">Total Fines Incurred: cumulative fines charged to the buyer</w:t>
      </w:r>
    </w:p>
    <w:p>
      <w:pPr>
        <w:pStyle w:val="ListParagraph"/>
        <w:numPr>
          <w:ilvl w:val="0"/>
          <w:numId w:val="3"/>
        </w:numPr>
        <w:spacing w:after="80"/>
      </w:pPr>
      <w:r>
        <w:rPr>
          <w:rFonts w:ascii="Arial" w:cs="Arial" w:eastAsia="Arial" w:hAnsi="Arial"/>
          <w:color w:val="333333"/>
          <w:sz w:val="22"/>
          <w:szCs w:val="22"/>
        </w:rPr>
        <w:t xml:space="preserve">Outstanding Fines: unpaid fines balance</w:t>
      </w:r>
    </w:p>
    <w:p>
      <w:pPr>
        <w:pStyle w:val="ListParagraph"/>
        <w:numPr>
          <w:ilvl w:val="0"/>
          <w:numId w:val="3"/>
        </w:numPr>
        <w:spacing w:after="80"/>
      </w:pPr>
      <w:r>
        <w:rPr>
          <w:rFonts w:ascii="Arial" w:cs="Arial" w:eastAsia="Arial" w:hAnsi="Arial"/>
          <w:color w:val="333333"/>
          <w:sz w:val="22"/>
          <w:szCs w:val="22"/>
        </w:rPr>
        <w:t xml:space="preserve">Last NSF Date: date of most recent NSF event</w:t>
      </w:r>
    </w:p>
    <w:p>
      <w:pPr>
        <w:pStyle w:val="ListParagraph"/>
        <w:numPr>
          <w:ilvl w:val="0"/>
          <w:numId w:val="3"/>
        </w:numPr>
        <w:spacing w:after="80"/>
      </w:pPr>
      <w:r>
        <w:rPr>
          <w:rFonts w:ascii="Arial" w:cs="Arial" w:eastAsia="Arial" w:hAnsi="Arial"/>
          <w:color w:val="333333"/>
          <w:sz w:val="22"/>
          <w:szCs w:val="22"/>
        </w:rPr>
        <w:t xml:space="preserve">NSF History Timeline: chronological list of all NSF events with status, fine, and resolution details</w:t>
      </w:r>
    </w:p>
    <w:p>
      <w:pPr>
        <w:pStyle w:val="ListParagraph"/>
        <w:numPr>
          <w:ilvl w:val="0"/>
          <w:numId w:val="3"/>
        </w:numPr>
        <w:spacing w:after="80"/>
      </w:pPr>
      <w:r>
        <w:rPr>
          <w:rFonts w:ascii="Arial" w:cs="Arial" w:eastAsia="Arial" w:hAnsi="Arial"/>
          <w:color w:val="333333"/>
          <w:sz w:val="22"/>
          <w:szCs w:val="22"/>
        </w:rPr>
        <w:t xml:space="preserve">NSF Alert on Payment Receipt: when recording a new payment from a buyer with NSF history, the system displays a warning banner with their NSF risk level</w:t>
      </w:r>
    </w:p>
    <w:p>
      <w:r>
        <w:br w:type="page"/>
      </w:r>
    </w:p>
    <w:p>
      <w:pPr>
        <w:pStyle w:val="Heading2"/>
        <w:spacing w:before="300" w:after="150"/>
      </w:pPr>
      <w:r>
        <w:t xml:space="preserve">Module 5: Broker and Commission Management</w:t>
      </w:r>
    </w:p>
    <w:p>
      <w:pPr>
        <w:spacing w:after="120"/>
      </w:pPr>
      <w:r>
        <w:rPr>
          <w:rFonts w:ascii="Arial" w:cs="Arial" w:eastAsia="Arial" w:hAnsi="Arial"/>
          <w:color w:val="333333"/>
          <w:sz w:val="22"/>
          <w:szCs w:val="22"/>
        </w:rPr>
        <w:t xml:space="preserve">This module manages broker relationships, commission structures, and payable generation. The system supports both individual brokers and brokerage firms with tiered or custom commission rates.</w:t>
      </w:r>
    </w:p>
    <w:p>
      <w:pPr>
        <w:pStyle w:val="Heading3"/>
        <w:spacing w:before="300" w:after="150"/>
      </w:pPr>
      <w:r>
        <w:t xml:space="preserve">Broker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broker identifier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Individual, Firm / Brokerage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 Firm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name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License Number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Real estate license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License State/Province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Jurisdiction of license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License Expiry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Auto-alert 30 days before expiry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Tax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EIN/SSN (USA), BN/SIN (Canada), PAN/GSTIN (India)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Primary contact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With country code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Bank 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commission payments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Bank Account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Encrypted storage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Routing / Transit / IFSC</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Country-specific bank routing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Wire, Check, ACH, EFT, NEFT/RTGS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W-9 / Tax Form</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W-9 (USA), T4A (Canada), Form 16A (India)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Agreement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Signed agreement document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Active, Inactive, Suspended, Terminated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Parent Firm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individual broker belongs to a firm</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Commission Structure</w:t>
      </w:r>
    </w:p>
    <w:p>
      <w:pPr>
        <w:spacing w:after="120"/>
      </w:pPr>
      <w:r>
        <w:rPr>
          <w:rFonts w:ascii="Arial" w:cs="Arial" w:eastAsia="Arial" w:hAnsi="Arial"/>
          <w:color w:val="333333"/>
          <w:sz w:val="22"/>
          <w:szCs w:val="22"/>
        </w:rPr>
        <w:t xml:space="preserve">Commissions are highly flexible and can be configured per broker, per firm, per property, or per deal. The system supports the following commission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Commission Model</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Percentage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 of net sale price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of net sale price for all units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Tiered Percentage</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varies by sale volume or price band</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 up to $500K, 3% from $500K-$1M, 4% above $1M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Flat Fee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dollar/rupee amount per unit sold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$5,000 per unit regardless of price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Hybrid</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Base fee + percentage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$2,000 base + 1.5% of sale 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Split Commission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Divided between firm and individual agent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Firm gets 40%, agent gets 60% of total commission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Override Commission</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Additional amount to managing broker/firm</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0.5% override to managing broker on all agent sales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Tiered Property Value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Different percentages applied to different tranches of the sale price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on first $100K, 2.5% on balance (common in BC, Alberta, Canada)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GCI Cap Model</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Split ratio shifts after agent reaches annual Gross Commission Income cap</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70/30 split until $12,000 cap reached, then 90/10 or 100% to agent minus transaction fee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 Cascading Split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Gross commission reduced by franchise fee, then brokerage split, then team leader split based on lead source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Franchise 6% deduction, then 70/30 brokerage split, then 50/50 team split for team-sourced leads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Buyer-Paid Commission (Post-NAR)</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pays own broker fee per written buyer-broker agreement (US market post-NAR settlement)</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pays 2.5% directly; tracked separately from seller concessions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Commission Calculation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Links to the sale transaction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the broker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Basis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Price, Net Sale Price, Custom Amount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Rate / Amount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Decimal / 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Percentage or flat amount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Gross Commission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Auto-calculated based on model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Split to Firm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split commission applies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Split to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split commission applies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Withholding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TDS (India), tax withholding (USA/Canada)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 Commission Payable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Gross minus tax withholding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Status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Pending, Approved, Paid, On Hold, Disputed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Due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Based on payment terms</w:t>
            </w:r>
          </w:p>
        </w:tc>
      </w:tr>
    </w:tbl>
    <w:p>
      <w:r>
        <w:br w:type="page"/>
      </w:r>
    </w:p>
    <w:p>
      <w:pPr>
        <w:pStyle w:val="Heading2"/>
        <w:spacing w:before="300" w:after="150"/>
      </w:pPr>
      <w:r>
        <w:t xml:space="preserve">Module 6: Payment Management</w:t>
      </w:r>
    </w:p>
    <w:p>
      <w:pPr>
        <w:spacing w:after="120"/>
      </w:pPr>
      <w:r>
        <w:rPr>
          <w:rFonts w:ascii="Arial" w:cs="Arial" w:eastAsia="Arial" w:hAnsi="Arial"/>
          <w:color w:val="333333"/>
          <w:sz w:val="22"/>
          <w:szCs w:val="22"/>
        </w:rPr>
        <w:t xml:space="preserve">The payment module handles both outgoing payments (broker commissions) and incoming payments (buyer installments). All payment records are designed to be pushed to Yardi.</w:t>
      </w:r>
    </w:p>
    <w:p>
      <w:pPr>
        <w:pStyle w:val="Heading3"/>
        <w:spacing w:before="300" w:after="150"/>
      </w:pPr>
      <w:r>
        <w:t xml:space="preserve">Broker Commission Payments (Payables)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payment identifier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commission record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Payee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Amount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Amount being paid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USD, CAD, INR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Wire, Check, ACH, EFT, NEFT/RTGS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payment is issued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 / Check Number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Transaction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Bank Account (last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 verification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Withholding Amount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Withheld at source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 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invoice reference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Status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Scheduled, Processing, Completed, Failed, Void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Synced, Synced, Error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Transaction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reference after sync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Approved 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Finance manager who approved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Internal notes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Buyer Payment Schedule and Installments (Receivables)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schedule identifier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Links to sale transaction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Sale Amount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amount to be collected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 Payment 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 payment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Down Payment Due Date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of Installments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installments after down payment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Installment Frequency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Monthly, Quarterly, Custom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Calculated/Manual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Equal or custom amounts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Interest Rate (if any)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financed units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 Active, Completed, Defaulted</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Individual Installment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installment identifier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Schedule ID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Reference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Parent schedule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Sequence number (1, 2, 3...)</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Due Date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Expected payment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Amount Due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 amount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Amount Received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Actual amount paid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Receipt 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payment was received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Method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Wire, Check, ACH, UPI, NEFT, Credit Card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Receipt / Reference 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proof reference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Late Fee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Currency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If applicable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Upcoming, Due, Paid, Overdue, Partially Paid, Waived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Sync Status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Not Synced, Synced, Error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Transaction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reference after sync</w:t>
            </w:r>
          </w:p>
        </w:tc>
      </w:tr>
    </w:tbl>
    <w:p>
      <w:r>
        <w:br w:type="page"/>
      </w:r>
    </w:p>
    <w:p>
      <w:pPr>
        <w:pStyle w:val="Heading2"/>
        <w:spacing w:before="300" w:after="150"/>
      </w:pPr>
      <w:r>
        <w:t xml:space="preserve">Module 7: AI Document Intelligence Engine</w:t>
      </w:r>
    </w:p>
    <w:p>
      <w:pPr>
        <w:spacing w:after="120"/>
      </w:pPr>
      <w:r>
        <w:rPr>
          <w:rFonts w:ascii="Arial" w:cs="Arial" w:eastAsia="Arial" w:hAnsi="Arial"/>
          <w:color w:val="333333"/>
          <w:sz w:val="22"/>
          <w:szCs w:val="22"/>
        </w:rPr>
        <w:t xml:space="preserve">This is the core differentiator and competitive advantage of Upward. Traditional OCR systems are inherently brittle in real estate contexts, relying on fixed templates and rigid coordinate mapping that fail catastrophically with diverse multi-jurisdictional contract layouts. Upward implements a multimodal AI pipeline utilizing advanced Vision Language Models (VLMs) with active learning capabilities, achieving enterprise-grade accuracy for financial operations.</w:t>
      </w:r>
    </w:p>
    <w:p>
      <w:pPr>
        <w:pStyle w:val="Heading3"/>
        <w:spacing w:before="300" w:after="150"/>
      </w:pPr>
      <w:r>
        <w:t xml:space="preserve">Foundational Model Architecture: Spatial-Aware Transformers</w:t>
      </w:r>
    </w:p>
    <w:p>
      <w:pPr>
        <w:spacing w:after="120"/>
      </w:pPr>
      <w:r>
        <w:rPr>
          <w:rFonts w:ascii="Arial" w:cs="Arial" w:eastAsia="Arial" w:hAnsi="Arial"/>
          <w:color w:val="333333"/>
          <w:sz w:val="22"/>
          <w:szCs w:val="22"/>
        </w:rPr>
        <w:t xml:space="preserve">The document ingestion pipeline utilizes transformer-based document AI models such as the LayoutLM family (LayoutLMv3) or specialized multimodal architectures like NVIDIA Nemotron Parse. Unlike standard LLMs that serialize text and lose structural context, these spatial-aware models incorporate visual features and spatial embeddings, allowing the AI to understand the document precisely as a human reader would.</w:t>
      </w:r>
    </w:p>
    <w:p>
      <w:pPr>
        <w:spacing w:after="120"/>
      </w:pPr>
      <w:r>
        <w:rPr>
          <w:rFonts w:ascii="Arial" w:cs="Arial" w:eastAsia="Arial" w:hAnsi="Arial"/>
          <w:color w:val="333333"/>
          <w:sz w:val="22"/>
          <w:szCs w:val="22"/>
        </w:rPr>
        <w:t xml:space="preserve">During preprocessing, the uploaded document is processed by an OCR engine to generate textual tokens alongside their bounding box coordinates, normalized on a standardized 0-1000 scale. The VLM accepts three parallel data inputs:</w:t>
      </w:r>
    </w:p>
    <w:p>
      <w:pPr>
        <w:pStyle w:val="ListParagraph"/>
        <w:numPr>
          <w:ilvl w:val="0"/>
          <w:numId w:val="3"/>
        </w:numPr>
        <w:spacing w:after="80"/>
      </w:pPr>
      <w:r>
        <w:rPr>
          <w:rFonts w:ascii="Arial" w:cs="Arial" w:eastAsia="Arial" w:hAnsi="Arial"/>
          <w:color w:val="333333"/>
          <w:sz w:val="22"/>
          <w:szCs w:val="22"/>
        </w:rPr>
        <w:t xml:space="preserve">Text Embeddings: The semantic meaning of words extracted from the contract</w:t>
      </w:r>
    </w:p>
    <w:p>
      <w:pPr>
        <w:pStyle w:val="ListParagraph"/>
        <w:numPr>
          <w:ilvl w:val="0"/>
          <w:numId w:val="3"/>
        </w:numPr>
        <w:spacing w:after="80"/>
      </w:pPr>
      <w:r>
        <w:rPr>
          <w:rFonts w:ascii="Arial" w:cs="Arial" w:eastAsia="Arial" w:hAnsi="Arial"/>
          <w:color w:val="333333"/>
          <w:sz w:val="22"/>
          <w:szCs w:val="22"/>
        </w:rPr>
        <w:t xml:space="preserve">2D Position Embeddings: Spatial coordinates indicating precisely where text appears on the page relative to other elements</w:t>
      </w:r>
    </w:p>
    <w:p>
      <w:pPr>
        <w:pStyle w:val="ListParagraph"/>
        <w:numPr>
          <w:ilvl w:val="0"/>
          <w:numId w:val="3"/>
        </w:numPr>
        <w:spacing w:after="80"/>
      </w:pPr>
      <w:r>
        <w:rPr>
          <w:rFonts w:ascii="Arial" w:cs="Arial" w:eastAsia="Arial" w:hAnsi="Arial"/>
          <w:color w:val="333333"/>
          <w:sz w:val="22"/>
          <w:szCs w:val="22"/>
        </w:rPr>
        <w:t xml:space="preserve">Image Embeddings: Visual features derived from a CNN backbone that understands structural layout components such as tables, signatures, stamps, and checkboxes</w:t>
      </w:r>
    </w:p>
    <w:p>
      <w:pPr>
        <w:spacing w:after="120"/>
      </w:pPr>
      <w:r>
        <w:rPr>
          <w:rFonts w:ascii="Arial" w:cs="Arial" w:eastAsia="Arial" w:hAnsi="Arial"/>
          <w:color w:val="333333"/>
          <w:sz w:val="22"/>
          <w:szCs w:val="22"/>
        </w:rPr>
        <w:t xml:space="preserve">This multimodal approach empowers the AI to understand semantic relationships through spatial proximity. For example, it can reliably associate a broker name with a commission percentage nested inside a complex closing disclosure table, where traditional text-only parsers routinely fail.</w:t>
      </w:r>
    </w:p>
    <w:p>
      <w:pPr>
        <w:pStyle w:val="Heading3"/>
        <w:spacing w:before="300" w:after="150"/>
      </w:pPr>
      <w:r>
        <w:t xml:space="preserve">AI Workflow Overview</w:t>
      </w:r>
    </w:p>
    <w:p>
      <w:pPr>
        <w:spacing w:after="120"/>
      </w:pPr>
      <w:r>
        <w:rPr>
          <w:rFonts w:ascii="Arial" w:cs="Arial" w:eastAsia="Arial" w:hAnsi="Arial"/>
          <w:color w:val="333333"/>
          <w:sz w:val="22"/>
          <w:szCs w:val="22"/>
        </w:rPr>
        <w:t xml:space="preserve">The end-to-end AI-powered sale processing workflow consists of five stages: document upload, information extraction, record creation, human review, and model learning.</w:t>
      </w:r>
    </w:p>
    <w:p>
      <w:pPr>
        <w:spacing w:after="120"/>
      </w:pPr>
      <w:r>
        <w:rPr>
          <w:rFonts w:ascii="Arial" w:cs="Arial" w:eastAsia="Arial" w:hAnsi="Arial"/>
          <w:b/>
          <w:bCs/>
          <w:sz w:val="22"/>
          <w:szCs w:val="22"/>
        </w:rPr>
        <w:t xml:space="preserve">Stage 1 – Document Upload: </w:t>
      </w:r>
      <w:r>
        <w:rPr>
          <w:rFonts w:ascii="Arial" w:cs="Arial" w:eastAsia="Arial" w:hAnsi="Arial"/>
          <w:sz w:val="22"/>
          <w:szCs w:val="22"/>
        </w:rPr>
        <w:t xml:space="preserve">User uploads a sale document (PDF, scanned image, or Word document). The system identifies the document type, applicable country, and property. Multi-page documents and document batches are supported.</w:t>
      </w:r>
    </w:p>
    <w:p>
      <w:pPr>
        <w:spacing w:after="120"/>
      </w:pPr>
      <w:r>
        <w:rPr>
          <w:rFonts w:ascii="Arial" w:cs="Arial" w:eastAsia="Arial" w:hAnsi="Arial"/>
          <w:b/>
          <w:bCs/>
          <w:sz w:val="22"/>
          <w:szCs w:val="22"/>
        </w:rPr>
        <w:t xml:space="preserve">Stage 2 – Multimodal Extraction: </w:t>
      </w:r>
      <w:r>
        <w:rPr>
          <w:rFonts w:ascii="Arial" w:cs="Arial" w:eastAsia="Arial" w:hAnsi="Arial"/>
          <w:sz w:val="22"/>
          <w:szCs w:val="22"/>
        </w:rPr>
        <w:t xml:space="preserve">The VLM executes a jurisdiction-aware inference pass. For US documents, it aligns extraction targets to UCD v2.0 Closing Disclosure schemas. For Canadian documents, it extracts FINTRAC-required KYC fields and receipt-of-funds data. For Indian RERA agreements, it extracts registration numbers, carpet area, and milestone-linked payment annexures. The AI extracts all relevant fields including buyer details, unit details, sale price, payment terms, broker information, and applicable taxes.</w:t>
      </w:r>
    </w:p>
    <w:p>
      <w:pPr>
        <w:spacing w:after="120"/>
      </w:pPr>
      <w:r>
        <w:rPr>
          <w:rFonts w:ascii="Arial" w:cs="Arial" w:eastAsia="Arial" w:hAnsi="Arial"/>
          <w:b/>
          <w:bCs/>
          <w:sz w:val="22"/>
          <w:szCs w:val="22"/>
        </w:rPr>
        <w:t xml:space="preserve">Stage 3 – Automated Record Creation: </w:t>
      </w:r>
      <w:r>
        <w:rPr>
          <w:rFonts w:ascii="Arial" w:cs="Arial" w:eastAsia="Arial" w:hAnsi="Arial"/>
          <w:sz w:val="22"/>
          <w:szCs w:val="22"/>
        </w:rPr>
        <w:t xml:space="preserve">Based on extracted data, the system automatically creates: a Sale Transaction record (draft status), Buyer profile (or matches existing buyer), Broker commission payable based on configured rates and cascading split logic, Buyer payment schedule derived from payment terms (fixed amortization for North America, construction-linked milestone plans for India).</w:t>
      </w:r>
    </w:p>
    <w:p>
      <w:pPr>
        <w:spacing w:after="120"/>
      </w:pPr>
      <w:r>
        <w:rPr>
          <w:rFonts w:ascii="Arial" w:cs="Arial" w:eastAsia="Arial" w:hAnsi="Arial"/>
          <w:b/>
          <w:bCs/>
          <w:sz w:val="22"/>
          <w:szCs w:val="22"/>
        </w:rPr>
        <w:t xml:space="preserve">Stage 4 – Human-in-the-Loop (HITL) Review: </w:t>
      </w:r>
      <w:r>
        <w:rPr>
          <w:rFonts w:ascii="Arial" w:cs="Arial" w:eastAsia="Arial" w:hAnsi="Arial"/>
          <w:sz w:val="22"/>
          <w:szCs w:val="22"/>
        </w:rPr>
        <w:t xml:space="preserve">All AI-generated records are presented in a split-screen validation view. The original document image is displayed with superimposed, color-coded bounding boxes representing extraction attempts. Users can verify data, drag/resize/correct bounding boxes directly on the image, and amend extracted text. If the VLM softmax output probability for any entity falls below the confidence threshold (default 0.85), the document is immediately routed to an exception queue for mandatory review.</w:t>
      </w:r>
    </w:p>
    <w:p>
      <w:pPr>
        <w:spacing w:after="120"/>
      </w:pPr>
      <w:r>
        <w:rPr>
          <w:rFonts w:ascii="Arial" w:cs="Arial" w:eastAsia="Arial" w:hAnsi="Arial"/>
          <w:b/>
          <w:bCs/>
          <w:sz w:val="22"/>
          <w:szCs w:val="22"/>
        </w:rPr>
        <w:t xml:space="preserve">Stage 5 – Self-Learning Loop: </w:t>
      </w:r>
      <w:r>
        <w:rPr>
          <w:rFonts w:ascii="Arial" w:cs="Arial" w:eastAsia="Arial" w:hAnsi="Arial"/>
          <w:sz w:val="22"/>
          <w:szCs w:val="22"/>
        </w:rPr>
        <w:t xml:space="preserve">Every correction captures the precise delta between the AI prediction and the human-verified state: original image region, corrected bounding box coordinates, and verified text. This paired data is stored in a structured feedback_data table, feeding the active learning pipeline for continuous model improvement.</w:t>
      </w:r>
    </w:p>
    <w:p>
      <w:pPr>
        <w:spacing w:after="120" w:before="200"/>
      </w:pPr>
      <w:r>
        <w:rPr>
          <w:rFonts w:ascii="Arial" w:cs="Arial" w:eastAsia="Arial" w:hAnsi="Arial"/>
          <w:color w:val="333333"/>
          <w:sz w:val="22"/>
          <w:szCs w:val="22"/>
        </w:rPr>
        <w:t xml:space="preserve"/>
      </w:r>
    </w:p>
    <w:p>
      <w:pPr>
        <w:pStyle w:val="Heading3"/>
        <w:spacing w:before="300" w:after="150"/>
      </w:pPr>
      <w:r>
        <w:t xml:space="preserve">AI Extraction Fields</w:t>
      </w:r>
    </w:p>
    <w:p>
      <w:pPr>
        <w:spacing w:after="120"/>
      </w:pPr>
      <w:r>
        <w:rPr>
          <w:rFonts w:ascii="Arial" w:cs="Arial" w:eastAsia="Arial" w:hAnsi="Arial"/>
          <w:color w:val="333333"/>
          <w:sz w:val="22"/>
          <w:szCs w:val="22"/>
        </w:rPr>
        <w:t xml:space="preserve">The AI engine must extract the following categories of information from sale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Fields Extracted</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Confidence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&amp; Unit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name, unit number, floor, area, address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&gt;95%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Information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Full name, address, phone, email, tax IDs, nationality</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&gt;90%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Terms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price, discounts, net price, currency, agreement date, agreement type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&gt;95%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&amp; Duties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 GST/HST, registration fees, TDS, transfer tax</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&gt;85%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Terms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 payment, installment count, frequency, amounts, due dates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&gt;85%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Details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name, firm, license number, commission mentioned</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&gt;90%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Ownership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Owner/developer name, entity type, representative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&gt;90%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Legal References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Agreement clause numbers, RERA project number, registration details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&gt;80%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Fees &amp; Charges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Purchase price (incl/excl tax), upgrades, admin fees, Tarion enrollment, parkland levies, CAP amendment, submetering, occupancy fees, common expenses, Schedule D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&gt;85%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Closing Information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Credits on closing, deposit interest credits, MLS penalties, assignment penalties, leasing fees, legal fees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&gt;80% after training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 Dates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closing, contract date, approval date, final sales date, firm occupancy, actual occupancy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&gt;90% after training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Lease &amp; Assignment Rights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Right to lease, unit leased status, limited right of assignment, assignment conditions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&gt;85% after training</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AI Review Interface Requirements</w:t>
      </w:r>
    </w:p>
    <w:p>
      <w:pPr>
        <w:pStyle w:val="ListParagraph"/>
        <w:numPr>
          <w:ilvl w:val="0"/>
          <w:numId w:val="4"/>
        </w:numPr>
        <w:spacing w:after="80"/>
      </w:pPr>
      <w:r>
        <w:rPr>
          <w:rFonts w:ascii="Arial" w:cs="Arial" w:eastAsia="Arial" w:hAnsi="Arial"/>
          <w:color w:val="333333"/>
          <w:sz w:val="22"/>
          <w:szCs w:val="22"/>
        </w:rPr>
        <w:t xml:space="preserve">Split-screen layout: original document on left, extracted data form on right</w:t>
      </w:r>
    </w:p>
    <w:p>
      <w:pPr>
        <w:pStyle w:val="ListParagraph"/>
        <w:numPr>
          <w:ilvl w:val="0"/>
          <w:numId w:val="4"/>
        </w:numPr>
        <w:spacing w:after="80"/>
      </w:pPr>
      <w:r>
        <w:rPr>
          <w:rFonts w:ascii="Arial" w:cs="Arial" w:eastAsia="Arial" w:hAnsi="Arial"/>
          <w:color w:val="333333"/>
          <w:sz w:val="22"/>
          <w:szCs w:val="22"/>
        </w:rPr>
        <w:t xml:space="preserve">Each extracted field shows a confidence percentage (color-coded: green &gt; 90%, yellow 70-90%, red &lt; 70%)</w:t>
      </w:r>
    </w:p>
    <w:p>
      <w:pPr>
        <w:pStyle w:val="ListParagraph"/>
        <w:numPr>
          <w:ilvl w:val="0"/>
          <w:numId w:val="4"/>
        </w:numPr>
        <w:spacing w:after="80"/>
      </w:pPr>
      <w:r>
        <w:rPr>
          <w:rFonts w:ascii="Arial" w:cs="Arial" w:eastAsia="Arial" w:hAnsi="Arial"/>
          <w:color w:val="333333"/>
          <w:sz w:val="22"/>
          <w:szCs w:val="22"/>
        </w:rPr>
        <w:t xml:space="preserve">Clicking any extracted field highlights the corresponding area in the document</w:t>
      </w:r>
    </w:p>
    <w:p>
      <w:pPr>
        <w:pStyle w:val="ListParagraph"/>
        <w:numPr>
          <w:ilvl w:val="0"/>
          <w:numId w:val="4"/>
        </w:numPr>
        <w:spacing w:after="80"/>
      </w:pPr>
      <w:r>
        <w:rPr>
          <w:rFonts w:ascii="Arial" w:cs="Arial" w:eastAsia="Arial" w:hAnsi="Arial"/>
          <w:color w:val="333333"/>
          <w:sz w:val="22"/>
          <w:szCs w:val="22"/>
        </w:rPr>
        <w:t xml:space="preserve">Users can click on the document to select text and assign it to a field (manual override)</w:t>
      </w:r>
    </w:p>
    <w:p>
      <w:pPr>
        <w:pStyle w:val="ListParagraph"/>
        <w:numPr>
          <w:ilvl w:val="0"/>
          <w:numId w:val="4"/>
        </w:numPr>
        <w:spacing w:after="80"/>
      </w:pPr>
      <w:r>
        <w:rPr>
          <w:rFonts w:ascii="Arial" w:cs="Arial" w:eastAsia="Arial" w:hAnsi="Arial"/>
          <w:color w:val="333333"/>
          <w:sz w:val="22"/>
          <w:szCs w:val="22"/>
        </w:rPr>
        <w:t xml:space="preserve">Bulk approve option for high-confidence extractions</w:t>
      </w:r>
    </w:p>
    <w:p>
      <w:pPr>
        <w:pStyle w:val="ListParagraph"/>
        <w:numPr>
          <w:ilvl w:val="0"/>
          <w:numId w:val="4"/>
        </w:numPr>
        <w:spacing w:after="80"/>
      </w:pPr>
      <w:r>
        <w:rPr>
          <w:rFonts w:ascii="Arial" w:cs="Arial" w:eastAsia="Arial" w:hAnsi="Arial"/>
          <w:color w:val="333333"/>
          <w:sz w:val="22"/>
          <w:szCs w:val="22"/>
        </w:rPr>
        <w:t xml:space="preserve">Reject option with reason capture (feeds into learning)</w:t>
      </w:r>
    </w:p>
    <w:p>
      <w:pPr>
        <w:pStyle w:val="ListParagraph"/>
        <w:numPr>
          <w:ilvl w:val="0"/>
          <w:numId w:val="4"/>
        </w:numPr>
        <w:spacing w:after="80"/>
      </w:pPr>
      <w:r>
        <w:rPr>
          <w:rFonts w:ascii="Arial" w:cs="Arial" w:eastAsia="Arial" w:hAnsi="Arial"/>
          <w:color w:val="333333"/>
          <w:sz w:val="22"/>
          <w:szCs w:val="22"/>
        </w:rPr>
        <w:t xml:space="preserve">Version comparison if the same unit was previously processed</w:t>
      </w:r>
    </w:p>
    <w:p>
      <w:pPr>
        <w:pStyle w:val="ListParagraph"/>
        <w:numPr>
          <w:ilvl w:val="0"/>
          <w:numId w:val="4"/>
        </w:numPr>
        <w:spacing w:after="80"/>
      </w:pPr>
      <w:r>
        <w:rPr>
          <w:rFonts w:ascii="Arial" w:cs="Arial" w:eastAsia="Arial" w:hAnsi="Arial"/>
          <w:color w:val="333333"/>
          <w:sz w:val="22"/>
          <w:szCs w:val="22"/>
        </w:rPr>
        <w:t xml:space="preserve">Audit trail of all review actions</w:t>
      </w:r>
    </w:p>
    <w:p>
      <w:pPr>
        <w:spacing w:after="120" w:before="200"/>
      </w:pPr>
      <w:r>
        <w:rPr>
          <w:rFonts w:ascii="Arial" w:cs="Arial" w:eastAsia="Arial" w:hAnsi="Arial"/>
          <w:color w:val="333333"/>
          <w:sz w:val="22"/>
          <w:szCs w:val="22"/>
        </w:rPr>
        <w:t xml:space="preserve"/>
      </w:r>
    </w:p>
    <w:p>
      <w:pPr>
        <w:pStyle w:val="Heading3"/>
        <w:spacing w:before="300" w:after="150"/>
      </w:pPr>
      <w:r>
        <w:t xml:space="preserve">Self-Learning Model Specifications (Active Learning Pipeline)</w:t>
      </w:r>
    </w:p>
    <w:p>
      <w:pPr>
        <w:spacing w:after="120"/>
      </w:pPr>
      <w:r>
        <w:rPr>
          <w:rFonts w:ascii="Arial" w:cs="Arial" w:eastAsia="Arial" w:hAnsi="Arial"/>
          <w:color w:val="333333"/>
          <w:sz w:val="22"/>
          <w:szCs w:val="22"/>
        </w:rPr>
        <w:t xml:space="preserve">The self-learning component is the most critical technical requirement. The AI must autonomously learn from human corrections using an automated active learning pipeline and robust MLOps architecture. The model must demonstrate measurable improvement over time, progressing from 50-70% accuracy on unseen documents to above 95% with HITL integration.</w:t>
      </w:r>
    </w:p>
    <w:p>
      <w:pPr>
        <w:pStyle w:val="ListParagraph"/>
        <w:numPr>
          <w:ilvl w:val="0"/>
          <w:numId w:val="3"/>
        </w:numPr>
        <w:spacing w:after="80"/>
      </w:pPr>
      <w:r>
        <w:rPr>
          <w:rFonts w:ascii="Arial" w:cs="Arial" w:eastAsia="Arial" w:hAnsi="Arial"/>
          <w:color w:val="333333"/>
          <w:sz w:val="22"/>
          <w:szCs w:val="22"/>
        </w:rPr>
        <w:t xml:space="preserve">Correction Logging: Every correction captures the original value, corrected value, field name, document type, document region (bounding box coordinates), verified text, and user ID. This paired data (Original Image + Corrected Bounding Box + Verified Text) is stored in a structured feedback_data SQL table</w:t>
      </w:r>
    </w:p>
    <w:p>
      <w:pPr>
        <w:pStyle w:val="ListParagraph"/>
        <w:numPr>
          <w:ilvl w:val="0"/>
          <w:numId w:val="3"/>
        </w:numPr>
        <w:spacing w:after="80"/>
      </w:pPr>
      <w:r>
        <w:rPr>
          <w:rFonts w:ascii="Arial" w:cs="Arial" w:eastAsia="Arial" w:hAnsi="Arial"/>
          <w:color w:val="333333"/>
          <w:sz w:val="22"/>
          <w:szCs w:val="22"/>
        </w:rPr>
        <w:t xml:space="preserve">Uncertainty Sampling: The retraining dataset explicitly selects cases where the model was historically least confident or failed. These edge cases are prioritized for learning</w:t>
      </w:r>
    </w:p>
    <w:p>
      <w:pPr>
        <w:pStyle w:val="ListParagraph"/>
        <w:numPr>
          <w:ilvl w:val="0"/>
          <w:numId w:val="3"/>
        </w:numPr>
        <w:spacing w:after="80"/>
      </w:pPr>
      <w:r>
        <w:rPr>
          <w:rFonts w:ascii="Arial" w:cs="Arial" w:eastAsia="Arial" w:hAnsi="Arial"/>
          <w:color w:val="333333"/>
          <w:sz w:val="22"/>
          <w:szCs w:val="22"/>
        </w:rPr>
        <w:t xml:space="preserve">Stratified Sampling (Anti-Catastrophic Forgetting): The retraining dataset must be carefully balanced, mixing historical high-confidence extractions with newly corrected edge cases. Training only on failures causes the model to forget previously mastered layouts</w:t>
      </w:r>
    </w:p>
    <w:p>
      <w:pPr>
        <w:pStyle w:val="ListParagraph"/>
        <w:numPr>
          <w:ilvl w:val="0"/>
          <w:numId w:val="3"/>
        </w:numPr>
        <w:spacing w:after="80"/>
      </w:pPr>
      <w:r>
        <w:rPr>
          <w:rFonts w:ascii="Arial" w:cs="Arial" w:eastAsia="Arial" w:hAnsi="Arial"/>
          <w:color w:val="333333"/>
          <w:sz w:val="22"/>
          <w:szCs w:val="22"/>
        </w:rPr>
        <w:t xml:space="preserve">Automated Retraining Triggers: Temporal workflows monitor the ratio of corrected documents to total committed documents. If accuracy drops below baseline for specific entity types, automated retraining is triggered without manual engineering intervention</w:t>
      </w:r>
    </w:p>
    <w:p>
      <w:pPr>
        <w:pStyle w:val="ListParagraph"/>
        <w:numPr>
          <w:ilvl w:val="0"/>
          <w:numId w:val="3"/>
        </w:numPr>
        <w:spacing w:after="80"/>
      </w:pPr>
      <w:r>
        <w:rPr>
          <w:rFonts w:ascii="Arial" w:cs="Arial" w:eastAsia="Arial" w:hAnsi="Arial"/>
          <w:color w:val="333333"/>
          <w:sz w:val="22"/>
          <w:szCs w:val="22"/>
        </w:rPr>
        <w:t xml:space="preserve">Model Evaluation Gauntlet: Each retraining cycle produces a candidate model (e.g., Model V2). The candidate is evaluated against a hidden, standardized test set. Only if it demonstrably outperforms the production model in precision, recall, and F1-score is it promoted to production</w:t>
      </w:r>
    </w:p>
    <w:p>
      <w:pPr>
        <w:pStyle w:val="ListParagraph"/>
        <w:numPr>
          <w:ilvl w:val="0"/>
          <w:numId w:val="3"/>
        </w:numPr>
        <w:spacing w:after="80"/>
      </w:pPr>
      <w:r>
        <w:rPr>
          <w:rFonts w:ascii="Arial" w:cs="Arial" w:eastAsia="Arial" w:hAnsi="Arial"/>
          <w:color w:val="333333"/>
          <w:sz w:val="22"/>
          <w:szCs w:val="22"/>
        </w:rPr>
        <w:t xml:space="preserve">Model Versioning and Rollback: Each retraining creates a new versioned model in the Model Registry. Automatic rollback if the new version degrades performance on any entity category</w:t>
      </w:r>
    </w:p>
    <w:p>
      <w:pPr>
        <w:pStyle w:val="ListParagraph"/>
        <w:numPr>
          <w:ilvl w:val="0"/>
          <w:numId w:val="3"/>
        </w:numPr>
        <w:spacing w:after="80"/>
      </w:pPr>
      <w:r>
        <w:rPr>
          <w:rFonts w:ascii="Arial" w:cs="Arial" w:eastAsia="Arial" w:hAnsi="Arial"/>
          <w:color w:val="333333"/>
          <w:sz w:val="22"/>
          <w:szCs w:val="22"/>
        </w:rPr>
        <w:t xml:space="preserve">Pattern Recognition: After processing 5+ documents of the same format/template, extraction accuracy for that template should exceed 95%</w:t>
      </w:r>
    </w:p>
    <w:p>
      <w:pPr>
        <w:pStyle w:val="ListParagraph"/>
        <w:numPr>
          <w:ilvl w:val="0"/>
          <w:numId w:val="3"/>
        </w:numPr>
        <w:spacing w:after="80"/>
      </w:pPr>
      <w:r>
        <w:rPr>
          <w:rFonts w:ascii="Arial" w:cs="Arial" w:eastAsia="Arial" w:hAnsi="Arial"/>
          <w:color w:val="333333"/>
          <w:sz w:val="22"/>
          <w:szCs w:val="22"/>
        </w:rPr>
        <w:t xml:space="preserve">Field Priority Learning: Based on corrections and usage patterns, the system learns which fields are most important to the organization and prioritizes their extraction accuracy</w:t>
      </w:r>
    </w:p>
    <w:p>
      <w:pPr>
        <w:pStyle w:val="ListParagraph"/>
        <w:numPr>
          <w:ilvl w:val="0"/>
          <w:numId w:val="3"/>
        </w:numPr>
        <w:spacing w:after="80"/>
      </w:pPr>
      <w:r>
        <w:rPr>
          <w:rFonts w:ascii="Arial" w:cs="Arial" w:eastAsia="Arial" w:hAnsi="Arial"/>
          <w:color w:val="333333"/>
          <w:sz w:val="22"/>
          <w:szCs w:val="22"/>
        </w:rPr>
        <w:t xml:space="preserve">Document Region Mapping: The system maps fields to spatial regions of document templates. For known templates, it learns that buyer name comes from section X, sale price from the payment schedule table, etc.</w:t>
      </w:r>
    </w:p>
    <w:p>
      <w:pPr>
        <w:pStyle w:val="ListParagraph"/>
        <w:numPr>
          <w:ilvl w:val="0"/>
          <w:numId w:val="3"/>
        </w:numPr>
        <w:spacing w:after="80"/>
      </w:pPr>
      <w:r>
        <w:rPr>
          <w:rFonts w:ascii="Arial" w:cs="Arial" w:eastAsia="Arial" w:hAnsi="Arial"/>
          <w:color w:val="333333"/>
          <w:sz w:val="22"/>
          <w:szCs w:val="22"/>
        </w:rPr>
        <w:t xml:space="preserve">Feedback Metrics Dashboard: Extraction accuracy trends over time, most corrected fields, confidence calibration curves, processing time reduction, per-template accuracy, retraining cycle history</w:t>
      </w:r>
    </w:p>
    <w:p>
      <w:pPr>
        <w:pStyle w:val="ListParagraph"/>
        <w:numPr>
          <w:ilvl w:val="0"/>
          <w:numId w:val="3"/>
        </w:numPr>
        <w:spacing w:after="80"/>
      </w:pPr>
      <w:r>
        <w:rPr>
          <w:rFonts w:ascii="Arial" w:cs="Arial" w:eastAsia="Arial" w:hAnsi="Arial"/>
          <w:color w:val="333333"/>
          <w:sz w:val="22"/>
          <w:szCs w:val="22"/>
        </w:rPr>
        <w:t xml:space="preserve">Minimum Training Data: Base VLM capabilities from document 1; self-learning improvements measurable after 20+ documents; template-specific accuracy exceeding 95% after 50+ documents of same format</w:t>
      </w:r>
    </w:p>
    <w:p>
      <w:pPr>
        <w:pStyle w:val="ListParagraph"/>
        <w:numPr>
          <w:ilvl w:val="0"/>
          <w:numId w:val="3"/>
        </w:numPr>
        <w:spacing w:after="80"/>
      </w:pPr>
      <w:r>
        <w:rPr>
          <w:rFonts w:ascii="Arial" w:cs="Arial" w:eastAsia="Arial" w:hAnsi="Arial"/>
          <w:color w:val="333333"/>
          <w:sz w:val="22"/>
          <w:szCs w:val="22"/>
        </w:rPr>
        <w:t xml:space="preserve">PII Redaction in HITL: Human reviewers in the review loop should ideally see only the specific bounding box snippets required to correct an extraction failure, not full unredacted legal documents, to limit PII exposure</w:t>
      </w:r>
    </w:p>
    <w:p>
      <w:r>
        <w:br w:type="page"/>
      </w:r>
    </w:p>
    <w:p>
      <w:pPr>
        <w:pStyle w:val="Heading3"/>
        <w:spacing w:before="300" w:after="150"/>
      </w:pPr>
      <w:r>
        <w:t xml:space="preserve">AI-Generated Commission Payable Logic</w:t>
      </w:r>
    </w:p>
    <w:p>
      <w:pPr>
        <w:spacing w:after="120"/>
      </w:pPr>
      <w:r>
        <w:rPr>
          <w:rFonts w:ascii="Arial" w:cs="Arial" w:eastAsia="Arial" w:hAnsi="Arial"/>
          <w:color w:val="333333"/>
          <w:sz w:val="22"/>
          <w:szCs w:val="22"/>
        </w:rPr>
        <w:t xml:space="preserve">When the AI extracts a sale document, it must automatically create a commission payable based on the following logic:</w:t>
      </w:r>
    </w:p>
    <w:p>
      <w:pPr>
        <w:pStyle w:val="ListParagraph"/>
        <w:numPr>
          <w:ilvl w:val="0"/>
          <w:numId w:val="5"/>
        </w:numPr>
        <w:spacing w:after="80"/>
      </w:pPr>
      <w:r>
        <w:rPr>
          <w:rFonts w:ascii="Arial" w:cs="Arial" w:eastAsia="Arial" w:hAnsi="Arial"/>
          <w:color w:val="333333"/>
          <w:sz w:val="22"/>
          <w:szCs w:val="22"/>
        </w:rPr>
        <w:t xml:space="preserve">Identify the broker associated with the sale (from document or from property-broker assignment)</w:t>
      </w:r>
    </w:p>
    <w:p>
      <w:pPr>
        <w:pStyle w:val="ListParagraph"/>
        <w:numPr>
          <w:ilvl w:val="0"/>
          <w:numId w:val="5"/>
        </w:numPr>
        <w:spacing w:after="80"/>
      </w:pPr>
      <w:r>
        <w:rPr>
          <w:rFonts w:ascii="Arial" w:cs="Arial" w:eastAsia="Arial" w:hAnsi="Arial"/>
          <w:color w:val="333333"/>
          <w:sz w:val="22"/>
          <w:szCs w:val="22"/>
        </w:rPr>
        <w:t xml:space="preserve">Look up the broker or broker firm commission configuration</w:t>
      </w:r>
    </w:p>
    <w:p>
      <w:pPr>
        <w:pStyle w:val="ListParagraph"/>
        <w:numPr>
          <w:ilvl w:val="0"/>
          <w:numId w:val="5"/>
        </w:numPr>
        <w:spacing w:after="80"/>
      </w:pPr>
      <w:r>
        <w:rPr>
          <w:rFonts w:ascii="Arial" w:cs="Arial" w:eastAsia="Arial" w:hAnsi="Arial"/>
          <w:color w:val="333333"/>
          <w:sz w:val="22"/>
          <w:szCs w:val="22"/>
        </w:rPr>
        <w:t xml:space="preserve">Apply the configured commission model (flat %, tiered, flat fee, hybrid, or split)</w:t>
      </w:r>
    </w:p>
    <w:p>
      <w:pPr>
        <w:pStyle w:val="ListParagraph"/>
        <w:numPr>
          <w:ilvl w:val="0"/>
          <w:numId w:val="5"/>
        </w:numPr>
        <w:spacing w:after="80"/>
      </w:pPr>
      <w:r>
        <w:rPr>
          <w:rFonts w:ascii="Arial" w:cs="Arial" w:eastAsia="Arial" w:hAnsi="Arial"/>
          <w:color w:val="333333"/>
          <w:sz w:val="22"/>
          <w:szCs w:val="22"/>
        </w:rPr>
        <w:t xml:space="preserve">Calculate gross commission amount based on net sale price</w:t>
      </w:r>
    </w:p>
    <w:p>
      <w:pPr>
        <w:pStyle w:val="ListParagraph"/>
        <w:numPr>
          <w:ilvl w:val="0"/>
          <w:numId w:val="5"/>
        </w:numPr>
        <w:spacing w:after="80"/>
      </w:pPr>
      <w:r>
        <w:rPr>
          <w:rFonts w:ascii="Arial" w:cs="Arial" w:eastAsia="Arial" w:hAnsi="Arial"/>
          <w:color w:val="333333"/>
          <w:sz w:val="22"/>
          <w:szCs w:val="22"/>
        </w:rPr>
        <w:t xml:space="preserve">Apply applicable tax withholding (TDS in India, withholding in USA/Canada)</w:t>
      </w:r>
    </w:p>
    <w:p>
      <w:pPr>
        <w:pStyle w:val="ListParagraph"/>
        <w:numPr>
          <w:ilvl w:val="0"/>
          <w:numId w:val="5"/>
        </w:numPr>
        <w:spacing w:after="80"/>
      </w:pPr>
      <w:r>
        <w:rPr>
          <w:rFonts w:ascii="Arial" w:cs="Arial" w:eastAsia="Arial" w:hAnsi="Arial"/>
          <w:color w:val="333333"/>
          <w:sz w:val="22"/>
          <w:szCs w:val="22"/>
        </w:rPr>
        <w:t xml:space="preserve">Calculate net commission payable</w:t>
      </w:r>
    </w:p>
    <w:p>
      <w:pPr>
        <w:pStyle w:val="ListParagraph"/>
        <w:numPr>
          <w:ilvl w:val="0"/>
          <w:numId w:val="5"/>
        </w:numPr>
        <w:spacing w:after="80"/>
      </w:pPr>
      <w:r>
        <w:rPr>
          <w:rFonts w:ascii="Arial" w:cs="Arial" w:eastAsia="Arial" w:hAnsi="Arial"/>
          <w:color w:val="333333"/>
          <w:sz w:val="22"/>
          <w:szCs w:val="22"/>
        </w:rPr>
        <w:t xml:space="preserve">If split commission, calculate firm share and agent share separately</w:t>
      </w:r>
    </w:p>
    <w:p>
      <w:pPr>
        <w:pStyle w:val="ListParagraph"/>
        <w:numPr>
          <w:ilvl w:val="0"/>
          <w:numId w:val="5"/>
        </w:numPr>
        <w:spacing w:after="80"/>
      </w:pPr>
      <w:r>
        <w:rPr>
          <w:rFonts w:ascii="Arial" w:cs="Arial" w:eastAsia="Arial" w:hAnsi="Arial"/>
          <w:color w:val="333333"/>
          <w:sz w:val="22"/>
          <w:szCs w:val="22"/>
        </w:rPr>
        <w:t xml:space="preserve">Create commission payable record in Pending status for review</w:t>
      </w:r>
    </w:p>
    <w:p>
      <w:pPr>
        <w:pStyle w:val="ListParagraph"/>
        <w:numPr>
          <w:ilvl w:val="0"/>
          <w:numId w:val="5"/>
        </w:numPr>
        <w:spacing w:after="80"/>
      </w:pPr>
      <w:r>
        <w:rPr>
          <w:rFonts w:ascii="Arial" w:cs="Arial" w:eastAsia="Arial" w:hAnsi="Arial"/>
          <w:color w:val="333333"/>
          <w:sz w:val="22"/>
          <w:szCs w:val="22"/>
        </w:rPr>
        <w:t xml:space="preserve">Flag for manual review if commission rate is not configured or if multiple brokers are involved</w:t>
      </w:r>
    </w:p>
    <w:p>
      <w:pPr>
        <w:spacing w:after="120" w:before="200"/>
      </w:pPr>
      <w:r>
        <w:rPr>
          <w:rFonts w:ascii="Arial" w:cs="Arial" w:eastAsia="Arial" w:hAnsi="Arial"/>
          <w:color w:val="333333"/>
          <w:sz w:val="22"/>
          <w:szCs w:val="22"/>
        </w:rPr>
        <w:t xml:space="preserve"/>
      </w:r>
    </w:p>
    <w:p>
      <w:pPr>
        <w:pStyle w:val="Heading3"/>
        <w:spacing w:before="300" w:after="150"/>
      </w:pPr>
      <w:r>
        <w:t xml:space="preserve">AI-Generated Payment Schedule Logic</w:t>
      </w:r>
    </w:p>
    <w:p>
      <w:pPr>
        <w:spacing w:after="120"/>
      </w:pPr>
      <w:r>
        <w:rPr>
          <w:rFonts w:ascii="Arial" w:cs="Arial" w:eastAsia="Arial" w:hAnsi="Arial"/>
          <w:color w:val="333333"/>
          <w:sz w:val="22"/>
          <w:szCs w:val="22"/>
        </w:rPr>
        <w:t xml:space="preserve">The receivables ledger handles complex fund inflows from buyers. The database must support multi-tier amortization schedules with successive segments governed by unique repayment rules. When payment terms are extracted from the document, the AI generates the buyer payment schedule:</w:t>
      </w:r>
    </w:p>
    <w:p>
      <w:pPr>
        <w:pStyle w:val="ListParagraph"/>
        <w:numPr>
          <w:ilvl w:val="0"/>
          <w:numId w:val="6"/>
        </w:numPr>
        <w:spacing w:after="80"/>
      </w:pPr>
      <w:r>
        <w:rPr>
          <w:rFonts w:ascii="Arial" w:cs="Arial" w:eastAsia="Arial" w:hAnsi="Arial"/>
          <w:color w:val="333333"/>
          <w:sz w:val="22"/>
          <w:szCs w:val="22"/>
        </w:rPr>
        <w:t xml:space="preserve">Extract total sale price, down payment amount, and installment terms</w:t>
      </w:r>
    </w:p>
    <w:p>
      <w:pPr>
        <w:pStyle w:val="ListParagraph"/>
        <w:numPr>
          <w:ilvl w:val="0"/>
          <w:numId w:val="6"/>
        </w:numPr>
        <w:spacing w:after="80"/>
      </w:pPr>
      <w:r>
        <w:rPr>
          <w:rFonts w:ascii="Arial" w:cs="Arial" w:eastAsia="Arial" w:hAnsi="Arial"/>
          <w:color w:val="333333"/>
          <w:sz w:val="22"/>
          <w:szCs w:val="22"/>
        </w:rPr>
        <w:t xml:space="preserve">If explicit payment schedule exists in document, replicate it as-is</w:t>
      </w:r>
    </w:p>
    <w:p>
      <w:pPr>
        <w:pStyle w:val="ListParagraph"/>
        <w:numPr>
          <w:ilvl w:val="0"/>
          <w:numId w:val="6"/>
        </w:numPr>
        <w:spacing w:after="80"/>
      </w:pPr>
      <w:r>
        <w:rPr>
          <w:rFonts w:ascii="Arial" w:cs="Arial" w:eastAsia="Arial" w:hAnsi="Arial"/>
          <w:color w:val="333333"/>
          <w:sz w:val="22"/>
          <w:szCs w:val="22"/>
        </w:rPr>
        <w:t xml:space="preserve">If only summary terms exist (e.g., 20% down, balance in 12 monthly installments), calculate the full schedule</w:t>
      </w:r>
    </w:p>
    <w:p>
      <w:pPr>
        <w:pStyle w:val="ListParagraph"/>
        <w:numPr>
          <w:ilvl w:val="0"/>
          <w:numId w:val="6"/>
        </w:numPr>
        <w:spacing w:after="80"/>
      </w:pPr>
      <w:r>
        <w:rPr>
          <w:rFonts w:ascii="Arial" w:cs="Arial" w:eastAsia="Arial" w:hAnsi="Arial"/>
          <w:color w:val="333333"/>
          <w:sz w:val="22"/>
          <w:szCs w:val="22"/>
        </w:rPr>
        <w:t xml:space="preserve">For North American fixed amortization: extract principal, term, and interest rate; apply correct interest calculation method (Actual/360, Actual/365, or 30/360) as specified in financing addendum</w:t>
      </w:r>
    </w:p>
    <w:p>
      <w:pPr>
        <w:pStyle w:val="ListParagraph"/>
        <w:numPr>
          <w:ilvl w:val="0"/>
          <w:numId w:val="6"/>
        </w:numPr>
        <w:spacing w:after="80"/>
      </w:pPr>
      <w:r>
        <w:rPr>
          <w:rFonts w:ascii="Arial" w:cs="Arial" w:eastAsia="Arial" w:hAnsi="Arial"/>
          <w:color w:val="333333"/>
          <w:sz w:val="22"/>
          <w:szCs w:val="22"/>
        </w:rPr>
        <w:t xml:space="preserve">For Indian RERA Construction-Linked Plans (CLP): extract milestone events (e.g., 15% upon foundation slab completion); the AI must translate narrative milestone triggers from the payment annexure into structured conditional installment records</w:t>
      </w:r>
    </w:p>
    <w:p>
      <w:pPr>
        <w:pStyle w:val="ListParagraph"/>
        <w:numPr>
          <w:ilvl w:val="0"/>
          <w:numId w:val="6"/>
        </w:numPr>
        <w:spacing w:after="80"/>
      </w:pPr>
      <w:r>
        <w:rPr>
          <w:rFonts w:ascii="Arial" w:cs="Arial" w:eastAsia="Arial" w:hAnsi="Arial"/>
          <w:color w:val="333333"/>
          <w:sz w:val="22"/>
          <w:szCs w:val="22"/>
        </w:rPr>
        <w:t xml:space="preserve">Support construction milestone global triggering: developer marks a milestone as complete in the project dashboard, which triggers batch invoice generation and receivable ledger updates for all buyers in that construction phase</w:t>
      </w:r>
    </w:p>
    <w:p>
      <w:pPr>
        <w:pStyle w:val="ListParagraph"/>
        <w:numPr>
          <w:ilvl w:val="0"/>
          <w:numId w:val="6"/>
        </w:numPr>
        <w:spacing w:after="80"/>
      </w:pPr>
      <w:r>
        <w:rPr>
          <w:rFonts w:ascii="Arial" w:cs="Arial" w:eastAsia="Arial" w:hAnsi="Arial"/>
          <w:color w:val="333333"/>
          <w:sz w:val="22"/>
          <w:szCs w:val="22"/>
        </w:rPr>
        <w:t xml:space="preserve">For RERA: enforce 70% escrow routing on all receivables; split each payment 70/30 in GL code assignments</w:t>
      </w:r>
    </w:p>
    <w:p>
      <w:pPr>
        <w:pStyle w:val="ListParagraph"/>
        <w:numPr>
          <w:ilvl w:val="0"/>
          <w:numId w:val="6"/>
        </w:numPr>
        <w:spacing w:after="80"/>
      </w:pPr>
      <w:r>
        <w:rPr>
          <w:rFonts w:ascii="Arial" w:cs="Arial" w:eastAsia="Arial" w:hAnsi="Arial"/>
          <w:color w:val="333333"/>
          <w:sz w:val="22"/>
          <w:szCs w:val="22"/>
        </w:rPr>
        <w:t xml:space="preserve">Calculate interest if mentioned in agreement; support multi-tier schedules with different rates per segment</w:t>
      </w:r>
    </w:p>
    <w:p>
      <w:pPr>
        <w:pStyle w:val="ListParagraph"/>
        <w:numPr>
          <w:ilvl w:val="0"/>
          <w:numId w:val="6"/>
        </w:numPr>
        <w:spacing w:after="80"/>
      </w:pPr>
      <w:r>
        <w:rPr>
          <w:rFonts w:ascii="Arial" w:cs="Arial" w:eastAsia="Arial" w:hAnsi="Arial"/>
          <w:color w:val="333333"/>
          <w:sz w:val="22"/>
          <w:szCs w:val="22"/>
        </w:rPr>
        <w:t xml:space="preserve">Generate individual installment records with due dates and amounts</w:t>
      </w:r>
    </w:p>
    <w:p>
      <w:pPr>
        <w:pStyle w:val="ListParagraph"/>
        <w:numPr>
          <w:ilvl w:val="0"/>
          <w:numId w:val="6"/>
        </w:numPr>
        <w:spacing w:after="80"/>
      </w:pPr>
      <w:r>
        <w:rPr>
          <w:rFonts w:ascii="Arial" w:cs="Arial" w:eastAsia="Arial" w:hAnsi="Arial"/>
          <w:color w:val="333333"/>
          <w:sz w:val="22"/>
          <w:szCs w:val="22"/>
        </w:rPr>
        <w:t xml:space="preserve">Flag schedule as AI-Generated, Draft for mandatory human review</w:t>
      </w:r>
    </w:p>
    <w:p>
      <w:pPr>
        <w:pStyle w:val="ListParagraph"/>
        <w:numPr>
          <w:ilvl w:val="0"/>
          <w:numId w:val="6"/>
        </w:numPr>
        <w:spacing w:after="80"/>
      </w:pPr>
      <w:r>
        <w:rPr>
          <w:rFonts w:ascii="Arial" w:cs="Arial" w:eastAsia="Arial" w:hAnsi="Arial"/>
          <w:color w:val="333333"/>
          <w:sz w:val="22"/>
          <w:szCs w:val="22"/>
        </w:rPr>
        <w:t xml:space="preserve">Allow user to modify any installment before finalizing</w:t>
      </w:r>
    </w:p>
    <w:p>
      <w:r>
        <w:br w:type="page"/>
      </w:r>
    </w:p>
    <w:p>
      <w:pPr>
        <w:pStyle w:val="Heading2"/>
        <w:spacing w:before="300" w:after="150"/>
      </w:pPr>
      <w:r>
        <w:t xml:space="preserve">Module 8: Yardi System Integration</w:t>
      </w:r>
    </w:p>
    <w:p>
      <w:pPr>
        <w:spacing w:after="120"/>
      </w:pPr>
      <w:r>
        <w:rPr>
          <w:rFonts w:ascii="Arial" w:cs="Arial" w:eastAsia="Arial" w:hAnsi="Arial"/>
          <w:color w:val="333333"/>
          <w:sz w:val="22"/>
          <w:szCs w:val="22"/>
        </w:rPr>
        <w:t xml:space="preserve">Upward must integrate with Yardi Voyager as a seamless operational layer. All financial transactions (payables for brokers and receivables from buyers) must be synchronized with the client's Yardi ecosystem. The integration follows a phased approach: Phase 1 uses the FinPayables ETL/CSV methodology for rapid deployment; Phase 2 pursues the deep SIPP API integration for enterprise clients.</w:t>
      </w:r>
    </w:p>
    <w:p>
      <w:pPr>
        <w:pStyle w:val="Heading3"/>
        <w:spacing w:before="300" w:after="150"/>
      </w:pPr>
      <w:r>
        <w:t xml:space="preserve">Phase 1: FinPayables ETL and CSV Push (Primary)</w:t>
      </w:r>
    </w:p>
    <w:p>
      <w:pPr>
        <w:spacing w:after="120"/>
      </w:pPr>
      <w:r>
        <w:rPr>
          <w:rFonts w:ascii="Arial" w:cs="Arial" w:eastAsia="Arial" w:hAnsi="Arial"/>
          <w:color w:val="333333"/>
          <w:sz w:val="22"/>
          <w:szCs w:val="22"/>
        </w:rPr>
        <w:t xml:space="preserve">The primary integration method uses Yardi's native FinPayables CSV format. When an administrator marks a commission batch as Approved for Payment, the system compiles batch data into the FinPayables schema. The integration mapping dashboard must allow administrators to configure the following critical parameters:</w:t>
      </w:r>
    </w:p>
    <w:p>
      <w:pPr>
        <w:pStyle w:val="ListParagraph"/>
        <w:numPr>
          <w:ilvl w:val="0"/>
          <w:numId w:val="3"/>
        </w:numPr>
        <w:spacing w:after="80"/>
      </w:pPr>
      <w:r>
        <w:rPr>
          <w:rFonts w:ascii="Arial" w:cs="Arial" w:eastAsia="Arial" w:hAnsi="Arial"/>
          <w:color w:val="333333"/>
          <w:sz w:val="22"/>
          <w:szCs w:val="22"/>
        </w:rPr>
        <w:t xml:space="preserve">Yardi Vendor Codes: Every broker, agent, or agency in Upward linked to a unique Yardi Vendor ID for correct payment routing</w:t>
      </w:r>
    </w:p>
    <w:p>
      <w:pPr>
        <w:pStyle w:val="ListParagraph"/>
        <w:numPr>
          <w:ilvl w:val="0"/>
          <w:numId w:val="3"/>
        </w:numPr>
        <w:spacing w:after="80"/>
      </w:pPr>
      <w:r>
        <w:rPr>
          <w:rFonts w:ascii="Arial" w:cs="Arial" w:eastAsia="Arial" w:hAnsi="Arial"/>
          <w:color w:val="333333"/>
          <w:sz w:val="22"/>
          <w:szCs w:val="22"/>
        </w:rPr>
        <w:t xml:space="preserve">Yardi Property Codes: All unit sales and financial transactions tied to correct Yardi asset/entity codes</w:t>
      </w:r>
    </w:p>
    <w:p>
      <w:pPr>
        <w:pStyle w:val="ListParagraph"/>
        <w:numPr>
          <w:ilvl w:val="0"/>
          <w:numId w:val="3"/>
        </w:numPr>
        <w:spacing w:after="80"/>
      </w:pPr>
      <w:r>
        <w:rPr>
          <w:rFonts w:ascii="Arial" w:cs="Arial" w:eastAsia="Arial" w:hAnsi="Arial"/>
          <w:color w:val="333333"/>
          <w:sz w:val="22"/>
          <w:szCs w:val="22"/>
        </w:rPr>
        <w:t xml:space="preserve">General Ledger (GL) Codes: Payments categorized with accounting accuracy; mapping of Upward transaction types to Yardi GL codes; support for split distributions (e.g., Return of Capital vs. Promote)</w:t>
      </w:r>
    </w:p>
    <w:p>
      <w:pPr>
        <w:pStyle w:val="ListParagraph"/>
        <w:numPr>
          <w:ilvl w:val="0"/>
          <w:numId w:val="3"/>
        </w:numPr>
        <w:spacing w:after="80"/>
      </w:pPr>
      <w:r>
        <w:rPr>
          <w:rFonts w:ascii="Arial" w:cs="Arial" w:eastAsia="Arial" w:hAnsi="Arial"/>
          <w:color w:val="333333"/>
          <w:sz w:val="22"/>
          <w:szCs w:val="22"/>
        </w:rPr>
        <w:t xml:space="preserve">Consolidation Indicators: Boolean flag instructing Yardi to consolidate multiple payouts to the same broker into a single check, or maintain as distinct line items</w:t>
      </w:r>
    </w:p>
    <w:p>
      <w:pPr>
        <w:pStyle w:val="ListParagraph"/>
        <w:numPr>
          <w:ilvl w:val="0"/>
          <w:numId w:val="3"/>
        </w:numPr>
        <w:spacing w:after="80"/>
      </w:pPr>
      <w:r>
        <w:rPr>
          <w:rFonts w:ascii="Arial" w:cs="Arial" w:eastAsia="Arial" w:hAnsi="Arial"/>
          <w:color w:val="333333"/>
          <w:sz w:val="22"/>
          <w:szCs w:val="22"/>
        </w:rPr>
        <w:t xml:space="preserve">Accounts Payable / Accrual Codes: Correct liability account mapping to ensure balance sheet integrity before fund disbursement</w:t>
      </w:r>
    </w:p>
    <w:p>
      <w:pPr>
        <w:spacing w:after="120"/>
      </w:pPr>
      <w:r>
        <w:rPr>
          <w:rFonts w:ascii="Arial" w:cs="Arial" w:eastAsia="Arial" w:hAnsi="Arial"/>
          <w:color w:val="333333"/>
          <w:sz w:val="22"/>
          <w:szCs w:val="22"/>
        </w:rPr>
        <w:t xml:space="preserve">Delivery methods: SFTP secure file transfer (recommended), automated API push (if client Yardi has premium import features enabled), or manual upload via Yardi Administrator console.</w:t>
      </w:r>
    </w:p>
    <w:p>
      <w:pPr>
        <w:pStyle w:val="Heading3"/>
        <w:spacing w:before="300" w:after="150"/>
      </w:pPr>
      <w:r>
        <w:t xml:space="preserve">Phase 2: Standard Interface Partnership Program (SIPP)</w:t>
      </w:r>
    </w:p>
    <w:p>
      <w:pPr>
        <w:spacing w:after="120"/>
      </w:pPr>
      <w:r>
        <w:rPr>
          <w:rFonts w:ascii="Arial" w:cs="Arial" w:eastAsia="Arial" w:hAnsi="Arial"/>
          <w:color w:val="333333"/>
          <w:sz w:val="22"/>
          <w:szCs w:val="22"/>
        </w:rPr>
        <w:t xml:space="preserve">For deep, real-time API access, Upward can pursue Yardi's SIPP pathway, utilizing SOAP and REST web services for XML/JSON data exchange. SIPP enables real-time vendor querying, tenant ledger synchronization, and immediate GL posting. Note: SIPP requires an annual licensing fee of $25,000 per interface type, Data Exchange Agreements, and a mandatory beta-testing phase with a pilot client before general release approval. This route is reserved for Phase 2 targeting tier-one enterprise clients.</w:t>
      </w:r>
    </w:p>
    <w:p>
      <w:pPr>
        <w:pStyle w:val="Heading3"/>
        <w:spacing w:before="300" w:after="150"/>
      </w:pPr>
      <w:r>
        <w:t xml:space="preserve">Integration Architecture (Common)</w:t>
      </w:r>
    </w:p>
    <w:p>
      <w:pPr>
        <w:pStyle w:val="ListParagraph"/>
        <w:numPr>
          <w:ilvl w:val="0"/>
          <w:numId w:val="3"/>
        </w:numPr>
        <w:spacing w:after="80"/>
      </w:pPr>
      <w:r>
        <w:rPr>
          <w:rFonts w:ascii="Arial" w:cs="Arial" w:eastAsia="Arial" w:hAnsi="Arial"/>
          <w:color w:val="333333"/>
          <w:sz w:val="22"/>
          <w:szCs w:val="22"/>
        </w:rPr>
        <w:t xml:space="preserve">Sync Direction: Primarily one-way (Upward to Yardi) with status read-back; bidirectional for inventory sync (Module 9)</w:t>
      </w:r>
    </w:p>
    <w:p>
      <w:pPr>
        <w:pStyle w:val="ListParagraph"/>
        <w:numPr>
          <w:ilvl w:val="0"/>
          <w:numId w:val="3"/>
        </w:numPr>
        <w:spacing w:after="80"/>
      </w:pPr>
      <w:r>
        <w:rPr>
          <w:rFonts w:ascii="Arial" w:cs="Arial" w:eastAsia="Arial" w:hAnsi="Arial"/>
          <w:color w:val="333333"/>
          <w:sz w:val="22"/>
          <w:szCs w:val="22"/>
        </w:rPr>
        <w:t xml:space="preserve">Authentication: OAuth 2.0 or API key-based (per Yardi implementation)</w:t>
      </w:r>
    </w:p>
    <w:p>
      <w:pPr>
        <w:pStyle w:val="ListParagraph"/>
        <w:numPr>
          <w:ilvl w:val="0"/>
          <w:numId w:val="3"/>
        </w:numPr>
        <w:spacing w:after="80"/>
      </w:pPr>
      <w:r>
        <w:rPr>
          <w:rFonts w:ascii="Arial" w:cs="Arial" w:eastAsia="Arial" w:hAnsi="Arial"/>
          <w:color w:val="333333"/>
          <w:sz w:val="22"/>
          <w:szCs w:val="22"/>
        </w:rPr>
        <w:t xml:space="preserve">Sync Frequency: On-demand (manual trigger) or scheduled (configurable intervals)</w:t>
      </w:r>
    </w:p>
    <w:p>
      <w:pPr>
        <w:pStyle w:val="ListParagraph"/>
        <w:numPr>
          <w:ilvl w:val="0"/>
          <w:numId w:val="3"/>
        </w:numPr>
        <w:spacing w:after="80"/>
      </w:pPr>
      <w:r>
        <w:rPr>
          <w:rFonts w:ascii="Arial" w:cs="Arial" w:eastAsia="Arial" w:hAnsi="Arial"/>
          <w:color w:val="333333"/>
          <w:sz w:val="22"/>
          <w:szCs w:val="22"/>
        </w:rPr>
        <w:t xml:space="preserve">Error Handling: Failed syncs queued for retry; error dashboard for monitoring</w:t>
      </w:r>
    </w:p>
    <w:p>
      <w:pPr>
        <w:pStyle w:val="ListParagraph"/>
        <w:numPr>
          <w:ilvl w:val="0"/>
          <w:numId w:val="3"/>
        </w:numPr>
        <w:spacing w:after="80"/>
      </w:pPr>
      <w:r>
        <w:rPr>
          <w:rFonts w:ascii="Arial" w:cs="Arial" w:eastAsia="Arial" w:hAnsi="Arial"/>
          <w:color w:val="333333"/>
          <w:sz w:val="22"/>
          <w:szCs w:val="22"/>
        </w:rPr>
        <w:t xml:space="preserve">Abstraction Layer: Integration logic abstracted behind a service layer to support both CSV and API methods without code changes</w:t>
      </w:r>
    </w:p>
    <w:p>
      <w:pPr>
        <w:pStyle w:val="Heading3"/>
        <w:spacing w:before="300" w:after="150"/>
      </w:pPr>
      <w:r>
        <w:t xml:space="preserve">Payables Sync (Broker Commissions)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Upward Field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Yardi Mapping</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Name / Firm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Vendor Name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vendor in Yardi if not exists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Tax 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Vendor Tax ID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 Amount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Due Date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Invoice Due Date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Mapping table required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Code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 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Invoice Description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Include sale ID and unit number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GL Account Code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GL Account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per property/country</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Receivables Sync (Buyer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Upward Field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Yardi Mapping</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Tenant/Customer Name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customer record if not exists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Installment Amount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Charge Amount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Due 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Charge 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Received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Receipt Amount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Receipt 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Receipt 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Code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GL Account Code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Revenue GL Account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per property/country</w:t>
            </w:r>
          </w:p>
        </w:tc>
      </w:tr>
    </w:tbl>
    <w:p>
      <w:pPr>
        <w:pStyle w:val="Heading3"/>
        <w:spacing w:before="300" w:after="150"/>
      </w:pPr>
      <w:r>
        <w:t xml:space="preserve">Sync Monitoring Dashboard</w:t>
      </w:r>
    </w:p>
    <w:p>
      <w:pPr>
        <w:pStyle w:val="ListParagraph"/>
        <w:numPr>
          <w:ilvl w:val="0"/>
          <w:numId w:val="3"/>
        </w:numPr>
        <w:spacing w:after="80"/>
      </w:pPr>
      <w:r>
        <w:rPr>
          <w:rFonts w:ascii="Arial" w:cs="Arial" w:eastAsia="Arial" w:hAnsi="Arial"/>
          <w:color w:val="333333"/>
          <w:sz w:val="22"/>
          <w:szCs w:val="22"/>
        </w:rPr>
        <w:t xml:space="preserve">Total records pending sync</w:t>
      </w:r>
    </w:p>
    <w:p>
      <w:pPr>
        <w:pStyle w:val="ListParagraph"/>
        <w:numPr>
          <w:ilvl w:val="0"/>
          <w:numId w:val="3"/>
        </w:numPr>
        <w:spacing w:after="80"/>
      </w:pPr>
      <w:r>
        <w:rPr>
          <w:rFonts w:ascii="Arial" w:cs="Arial" w:eastAsia="Arial" w:hAnsi="Arial"/>
          <w:color w:val="333333"/>
          <w:sz w:val="22"/>
          <w:szCs w:val="22"/>
        </w:rPr>
        <w:t xml:space="preserve">Last sync timestamp and status</w:t>
      </w:r>
    </w:p>
    <w:p>
      <w:pPr>
        <w:pStyle w:val="ListParagraph"/>
        <w:numPr>
          <w:ilvl w:val="0"/>
          <w:numId w:val="3"/>
        </w:numPr>
        <w:spacing w:after="80"/>
      </w:pPr>
      <w:r>
        <w:rPr>
          <w:rFonts w:ascii="Arial" w:cs="Arial" w:eastAsia="Arial" w:hAnsi="Arial"/>
          <w:color w:val="333333"/>
          <w:sz w:val="22"/>
          <w:szCs w:val="22"/>
        </w:rPr>
        <w:t xml:space="preserve">Failed records with error details</w:t>
      </w:r>
    </w:p>
    <w:p>
      <w:pPr>
        <w:pStyle w:val="ListParagraph"/>
        <w:numPr>
          <w:ilvl w:val="0"/>
          <w:numId w:val="3"/>
        </w:numPr>
        <w:spacing w:after="80"/>
      </w:pPr>
      <w:r>
        <w:rPr>
          <w:rFonts w:ascii="Arial" w:cs="Arial" w:eastAsia="Arial" w:hAnsi="Arial"/>
          <w:color w:val="333333"/>
          <w:sz w:val="22"/>
          <w:szCs w:val="22"/>
        </w:rPr>
        <w:t xml:space="preserve">Retry controls for failed transactions</w:t>
      </w:r>
    </w:p>
    <w:p>
      <w:pPr>
        <w:pStyle w:val="ListParagraph"/>
        <w:numPr>
          <w:ilvl w:val="0"/>
          <w:numId w:val="3"/>
        </w:numPr>
        <w:spacing w:after="80"/>
      </w:pPr>
      <w:r>
        <w:rPr>
          <w:rFonts w:ascii="Arial" w:cs="Arial" w:eastAsia="Arial" w:hAnsi="Arial"/>
          <w:color w:val="333333"/>
          <w:sz w:val="22"/>
          <w:szCs w:val="22"/>
        </w:rPr>
        <w:t xml:space="preserve">Sync history log with filter/search</w:t>
      </w:r>
    </w:p>
    <w:p>
      <w:pPr>
        <w:pStyle w:val="ListParagraph"/>
        <w:numPr>
          <w:ilvl w:val="0"/>
          <w:numId w:val="3"/>
        </w:numPr>
        <w:spacing w:after="80"/>
      </w:pPr>
      <w:r>
        <w:rPr>
          <w:rFonts w:ascii="Arial" w:cs="Arial" w:eastAsia="Arial" w:hAnsi="Arial"/>
          <w:color w:val="333333"/>
          <w:sz w:val="22"/>
          <w:szCs w:val="22"/>
        </w:rPr>
        <w:t xml:space="preserve">Yardi connection health check</w:t>
      </w:r>
    </w:p>
    <w:p>
      <w:r>
        <w:br w:type="page"/>
      </w:r>
    </w:p>
    <w:p>
      <w:pPr>
        <w:pStyle w:val="Heading2"/>
        <w:spacing w:before="300" w:after="150"/>
      </w:pPr>
      <w:r>
        <w:t xml:space="preserve">Module 9: Property and Unit Inventory Sync from Yardi</w:t>
      </w:r>
    </w:p>
    <w:p>
      <w:pPr>
        <w:spacing w:after="120"/>
      </w:pPr>
      <w:r>
        <w:rPr>
          <w:rFonts w:ascii="Arial" w:cs="Arial" w:eastAsia="Arial" w:hAnsi="Arial"/>
          <w:color w:val="333333"/>
          <w:sz w:val="22"/>
          <w:szCs w:val="22"/>
        </w:rPr>
        <w:t xml:space="preserve">Upward maintains a read-only mirror of the property and unit inventory from Yardi. This inventory data is imported or synced periodically from Yardi systems and serves as the foundation for reporting, analytics, and portfolio-level decision making. The data is not editable within Upward; Yardi remains the system of record for inventory management.</w:t>
      </w:r>
    </w:p>
    <w:p>
      <w:pPr>
        <w:pStyle w:val="Heading3"/>
        <w:spacing w:before="300" w:after="150"/>
      </w:pPr>
      <w:r>
        <w:t xml:space="preserve">Sync Objectives</w:t>
      </w:r>
    </w:p>
    <w:p>
      <w:pPr>
        <w:pStyle w:val="ListParagraph"/>
        <w:numPr>
          <w:ilvl w:val="0"/>
          <w:numId w:val="3"/>
        </w:numPr>
        <w:spacing w:after="80"/>
      </w:pPr>
      <w:r>
        <w:rPr>
          <w:rFonts w:ascii="Arial" w:cs="Arial" w:eastAsia="Arial" w:hAnsi="Arial"/>
          <w:color w:val="333333"/>
          <w:sz w:val="22"/>
          <w:szCs w:val="22"/>
        </w:rPr>
        <w:t xml:space="preserve">Provide a unified view of the complete property portfolio across all three countries without requiring manual data entry in Upward</w:t>
      </w:r>
    </w:p>
    <w:p>
      <w:pPr>
        <w:pStyle w:val="ListParagraph"/>
        <w:numPr>
          <w:ilvl w:val="0"/>
          <w:numId w:val="3"/>
        </w:numPr>
        <w:spacing w:after="80"/>
      </w:pPr>
      <w:r>
        <w:rPr>
          <w:rFonts w:ascii="Arial" w:cs="Arial" w:eastAsia="Arial" w:hAnsi="Arial"/>
          <w:color w:val="333333"/>
          <w:sz w:val="22"/>
          <w:szCs w:val="22"/>
        </w:rPr>
        <w:t xml:space="preserve">Enable real-time and historical analytics against the full inventory dataset</w:t>
      </w:r>
    </w:p>
    <w:p>
      <w:pPr>
        <w:pStyle w:val="ListParagraph"/>
        <w:numPr>
          <w:ilvl w:val="0"/>
          <w:numId w:val="3"/>
        </w:numPr>
        <w:spacing w:after="80"/>
      </w:pPr>
      <w:r>
        <w:rPr>
          <w:rFonts w:ascii="Arial" w:cs="Arial" w:eastAsia="Arial" w:hAnsi="Arial"/>
          <w:color w:val="333333"/>
          <w:sz w:val="22"/>
          <w:szCs w:val="22"/>
        </w:rPr>
        <w:t xml:space="preserve">Automatically reflect inventory changes (new units, status changes, pricing updates) as they occur in Yardi</w:t>
      </w:r>
    </w:p>
    <w:p>
      <w:pPr>
        <w:pStyle w:val="ListParagraph"/>
        <w:numPr>
          <w:ilvl w:val="0"/>
          <w:numId w:val="3"/>
        </w:numPr>
        <w:spacing w:after="80"/>
      </w:pPr>
      <w:r>
        <w:rPr>
          <w:rFonts w:ascii="Arial" w:cs="Arial" w:eastAsia="Arial" w:hAnsi="Arial"/>
          <w:color w:val="333333"/>
          <w:sz w:val="22"/>
          <w:szCs w:val="22"/>
        </w:rPr>
        <w:t xml:space="preserve">Serve as the reference dataset for sales performance calculations (e.g., sold vs. available, absorption rate, revenue potential)</w:t>
      </w:r>
    </w:p>
    <w:p>
      <w:pPr>
        <w:pStyle w:val="Heading3"/>
        <w:spacing w:before="300" w:after="150"/>
      </w:pPr>
      <w:r>
        <w:t xml:space="preserve">Inventory Data Synced from Yardi</w:t>
      </w:r>
    </w:p>
    <w:p>
      <w:pPr>
        <w:spacing w:after="120"/>
      </w:pPr>
      <w:r>
        <w:rPr>
          <w:rFonts w:ascii="Arial" w:cs="Arial" w:eastAsia="Arial" w:hAnsi="Arial"/>
          <w:color w:val="333333"/>
          <w:sz w:val="22"/>
          <w:szCs w:val="22"/>
        </w:rPr>
        <w:t xml:space="preserve">The following data is pulled from Yardi and stored in Upward as read-only inventory records:</w:t>
      </w:r>
    </w:p>
    <w:p>
      <w:pPr>
        <w:pStyle w:val="Heading3"/>
        <w:spacing w:before="300" w:after="150"/>
      </w:pPr>
      <w:r>
        <w:t xml:space="preserve">Property-Level Inventory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(Yardi)</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Property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key for mapping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Name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Name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Type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Mapped to Upward categories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Full Address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Address fields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Street, City, State/Province, Postal, 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Derived from address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USA, Canada, or India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Units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count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inventory 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Available Units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Units with Available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availability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Reserved Units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with Hold/Reserved 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Sold Units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Units with Sold/Leased 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 transactions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Status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Active/Inactive flag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 / 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 entity 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Year Built / Expected Completion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Build year or est. completion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For under-construction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Inventory 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 of unit list prices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portfolio value for this property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Last Yardi Sync 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System-generated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When data was last refreshed</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Unit-Level Inventory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(Yardi)</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Unit 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key for mapping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Number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Name/Number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Developer-assigned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Type 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Studio, 1BR, 2BR, etc.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Floor Number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Floor field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Area (sq ft / sq 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Square footage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List Price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Current asking price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Updated when Yardi pricing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Price Per Sq 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Price / Area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Status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Availability status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Available, Reserved, Sold, Blocked, Under Offer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Bedroom 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Bedroom config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Bathroom Count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Bathroom config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Parking Included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Amenity flags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View / Orientation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attributes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North, South, Garden, Sea-facing,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Status Change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 update 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Tracks velocity of status changes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Days on Market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Calculated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Days since unit first became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Previous Sale 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Historical transaction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resale unit</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Sync Configuration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 Method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API (real-time webhook), Yardi Scheduled Export (CSV/XML), Manual Upload (CSV)</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API preferred; CSV fallback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Sync Frequency</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Real-time (webhook), Every 15 min, Hourly, Daily, Manual</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Hourly for API; Daily for CSV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Conflict Resolution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always wins (read-only mirror)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override allowed in Upward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New Property Handling</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Auto-create in Upward, Queue for admin approval</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Queue for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Deleted/Archived Units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Soft-delete in Upward (retain for historical analytics)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 Validation</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Schema validation on sync; reject malformed records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Log errors; continue 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 Scope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properties, By country, By property selection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properties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Inventory Sync Monitoring</w:t>
      </w:r>
    </w:p>
    <w:p>
      <w:pPr>
        <w:pStyle w:val="ListParagraph"/>
        <w:numPr>
          <w:ilvl w:val="0"/>
          <w:numId w:val="3"/>
        </w:numPr>
        <w:spacing w:after="80"/>
      </w:pPr>
      <w:r>
        <w:rPr>
          <w:rFonts w:ascii="Arial" w:cs="Arial" w:eastAsia="Arial" w:hAnsi="Arial"/>
          <w:color w:val="333333"/>
          <w:sz w:val="22"/>
          <w:szCs w:val="22"/>
        </w:rPr>
        <w:t xml:space="preserve">Last sync timestamp per property with success/failure indicator</w:t>
      </w:r>
    </w:p>
    <w:p>
      <w:pPr>
        <w:pStyle w:val="ListParagraph"/>
        <w:numPr>
          <w:ilvl w:val="0"/>
          <w:numId w:val="3"/>
        </w:numPr>
        <w:spacing w:after="80"/>
      </w:pPr>
      <w:r>
        <w:rPr>
          <w:rFonts w:ascii="Arial" w:cs="Arial" w:eastAsia="Arial" w:hAnsi="Arial"/>
          <w:color w:val="333333"/>
          <w:sz w:val="22"/>
          <w:szCs w:val="22"/>
        </w:rPr>
        <w:t xml:space="preserve">Record count comparison: Yardi source count vs. Upward mirror count</w:t>
      </w:r>
    </w:p>
    <w:p>
      <w:pPr>
        <w:pStyle w:val="ListParagraph"/>
        <w:numPr>
          <w:ilvl w:val="0"/>
          <w:numId w:val="3"/>
        </w:numPr>
        <w:spacing w:after="80"/>
      </w:pPr>
      <w:r>
        <w:rPr>
          <w:rFonts w:ascii="Arial" w:cs="Arial" w:eastAsia="Arial" w:hAnsi="Arial"/>
          <w:color w:val="333333"/>
          <w:sz w:val="22"/>
          <w:szCs w:val="22"/>
        </w:rPr>
        <w:t xml:space="preserve">Delta log: what changed in each sync cycle (new units, status changes, price updates)</w:t>
      </w:r>
    </w:p>
    <w:p>
      <w:pPr>
        <w:pStyle w:val="ListParagraph"/>
        <w:numPr>
          <w:ilvl w:val="0"/>
          <w:numId w:val="3"/>
        </w:numPr>
        <w:spacing w:after="80"/>
      </w:pPr>
      <w:r>
        <w:rPr>
          <w:rFonts w:ascii="Arial" w:cs="Arial" w:eastAsia="Arial" w:hAnsi="Arial"/>
          <w:color w:val="333333"/>
          <w:sz w:val="22"/>
          <w:szCs w:val="22"/>
        </w:rPr>
        <w:t xml:space="preserve">Sync error queue with details and retry capability</w:t>
      </w:r>
    </w:p>
    <w:p>
      <w:pPr>
        <w:pStyle w:val="ListParagraph"/>
        <w:numPr>
          <w:ilvl w:val="0"/>
          <w:numId w:val="3"/>
        </w:numPr>
        <w:spacing w:after="80"/>
      </w:pPr>
      <w:r>
        <w:rPr>
          <w:rFonts w:ascii="Arial" w:cs="Arial" w:eastAsia="Arial" w:hAnsi="Arial"/>
          <w:color w:val="333333"/>
          <w:sz w:val="22"/>
          <w:szCs w:val="22"/>
        </w:rPr>
        <w:t xml:space="preserve">Alert notifications for sync failures exceeding configurable thresholds (e.g., no sync for 24 hours)</w:t>
      </w:r>
    </w:p>
    <w:p>
      <w:pPr>
        <w:pStyle w:val="ListParagraph"/>
        <w:numPr>
          <w:ilvl w:val="0"/>
          <w:numId w:val="3"/>
        </w:numPr>
        <w:spacing w:after="80"/>
      </w:pPr>
      <w:r>
        <w:rPr>
          <w:rFonts w:ascii="Arial" w:cs="Arial" w:eastAsia="Arial" w:hAnsi="Arial"/>
          <w:color w:val="333333"/>
          <w:sz w:val="22"/>
          <w:szCs w:val="22"/>
        </w:rPr>
        <w:t xml:space="preserve">Manual force-sync option for individual properties or full portfolio</w:t>
      </w:r>
    </w:p>
    <w:p>
      <w:r>
        <w:br w:type="page"/>
      </w:r>
    </w:p>
    <w:p>
      <w:pPr>
        <w:pStyle w:val="Heading2"/>
        <w:spacing w:before="300" w:after="150"/>
      </w:pPr>
      <w:r>
        <w:t xml:space="preserve">Module 10: Real-Time Analytics Dashboard</w:t>
      </w:r>
    </w:p>
    <w:p>
      <w:pPr>
        <w:spacing w:after="120"/>
      </w:pPr>
      <w:r>
        <w:rPr>
          <w:rFonts w:ascii="Arial" w:cs="Arial" w:eastAsia="Arial" w:hAnsi="Arial"/>
          <w:color w:val="333333"/>
          <w:sz w:val="22"/>
          <w:szCs w:val="22"/>
        </w:rPr>
        <w:t xml:space="preserve">The analytics dashboard is the command center for portfolio owners, sales managers, and leadership. It provides real-time visibility into sales performance, inventory status, partner effectiveness, and year-over-year trends. The dashboard is built on top of the synced Yardi inventory data combined with Upward sale transaction records to deliver a unified analytical view.</w:t>
      </w:r>
    </w:p>
    <w:p>
      <w:pPr>
        <w:pStyle w:val="Heading3"/>
        <w:spacing w:before="300" w:after="150"/>
      </w:pPr>
      <w:r>
        <w:t xml:space="preserve">Dashboard Design Principles</w:t>
      </w:r>
    </w:p>
    <w:p>
      <w:pPr>
        <w:pStyle w:val="ListParagraph"/>
        <w:numPr>
          <w:ilvl w:val="0"/>
          <w:numId w:val="3"/>
        </w:numPr>
        <w:spacing w:after="80"/>
      </w:pPr>
      <w:r>
        <w:rPr>
          <w:rFonts w:ascii="Arial" w:cs="Arial" w:eastAsia="Arial" w:hAnsi="Arial"/>
          <w:color w:val="333333"/>
          <w:sz w:val="22"/>
          <w:szCs w:val="22"/>
        </w:rPr>
        <w:t xml:space="preserve">Real-time data refresh (within 5 minutes of any transaction or sync event)</w:t>
      </w:r>
    </w:p>
    <w:p>
      <w:pPr>
        <w:pStyle w:val="ListParagraph"/>
        <w:numPr>
          <w:ilvl w:val="0"/>
          <w:numId w:val="3"/>
        </w:numPr>
        <w:spacing w:after="80"/>
      </w:pPr>
      <w:r>
        <w:rPr>
          <w:rFonts w:ascii="Arial" w:cs="Arial" w:eastAsia="Arial" w:hAnsi="Arial"/>
          <w:color w:val="333333"/>
          <w:sz w:val="22"/>
          <w:szCs w:val="22"/>
        </w:rPr>
        <w:t xml:space="preserve">Interactive filters: by country, property, date range, unit type, broker/partner, sale status</w:t>
      </w:r>
    </w:p>
    <w:p>
      <w:pPr>
        <w:pStyle w:val="ListParagraph"/>
        <w:numPr>
          <w:ilvl w:val="0"/>
          <w:numId w:val="3"/>
        </w:numPr>
        <w:spacing w:after="80"/>
      </w:pPr>
      <w:r>
        <w:rPr>
          <w:rFonts w:ascii="Arial" w:cs="Arial" w:eastAsia="Arial" w:hAnsi="Arial"/>
          <w:color w:val="333333"/>
          <w:sz w:val="22"/>
          <w:szCs w:val="22"/>
        </w:rPr>
        <w:t xml:space="preserve">Drill-down capability: click any metric to see underlying records</w:t>
      </w:r>
    </w:p>
    <w:p>
      <w:pPr>
        <w:pStyle w:val="ListParagraph"/>
        <w:numPr>
          <w:ilvl w:val="0"/>
          <w:numId w:val="3"/>
        </w:numPr>
        <w:spacing w:after="80"/>
      </w:pPr>
      <w:r>
        <w:rPr>
          <w:rFonts w:ascii="Arial" w:cs="Arial" w:eastAsia="Arial" w:hAnsi="Arial"/>
          <w:color w:val="333333"/>
          <w:sz w:val="22"/>
          <w:szCs w:val="22"/>
        </w:rPr>
        <w:t xml:space="preserve">Responsive layout: optimized for large desktop monitors but functional on tablets</w:t>
      </w:r>
    </w:p>
    <w:p>
      <w:pPr>
        <w:pStyle w:val="ListParagraph"/>
        <w:numPr>
          <w:ilvl w:val="0"/>
          <w:numId w:val="3"/>
        </w:numPr>
        <w:spacing w:after="80"/>
      </w:pPr>
      <w:r>
        <w:rPr>
          <w:rFonts w:ascii="Arial" w:cs="Arial" w:eastAsia="Arial" w:hAnsi="Arial"/>
          <w:color w:val="333333"/>
          <w:sz w:val="22"/>
          <w:szCs w:val="22"/>
        </w:rPr>
        <w:t xml:space="preserve">Export capability: download any dashboard view as PDF or Excel</w:t>
      </w:r>
    </w:p>
    <w:p>
      <w:pPr>
        <w:pStyle w:val="ListParagraph"/>
        <w:numPr>
          <w:ilvl w:val="0"/>
          <w:numId w:val="3"/>
        </w:numPr>
        <w:spacing w:after="80"/>
      </w:pPr>
      <w:r>
        <w:rPr>
          <w:rFonts w:ascii="Arial" w:cs="Arial" w:eastAsia="Arial" w:hAnsi="Arial"/>
          <w:color w:val="333333"/>
          <w:sz w:val="22"/>
          <w:szCs w:val="22"/>
        </w:rPr>
        <w:t xml:space="preserve">Configurable: users can pin/unpin widgets and set default filters per their role</w:t>
      </w:r>
    </w:p>
    <w:p>
      <w:pPr>
        <w:pStyle w:val="ListParagraph"/>
        <w:numPr>
          <w:ilvl w:val="0"/>
          <w:numId w:val="3"/>
        </w:numPr>
        <w:spacing w:after="80"/>
      </w:pPr>
      <w:r>
        <w:rPr>
          <w:rFonts w:ascii="Arial" w:cs="Arial" w:eastAsia="Arial" w:hAnsi="Arial"/>
          <w:color w:val="333333"/>
          <w:sz w:val="22"/>
          <w:szCs w:val="22"/>
        </w:rPr>
        <w:t xml:space="preserve">Comparison mode: side-by-side views for any two time periods, properties, or partners</w:t>
      </w:r>
    </w:p>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1: Executive Summary KPIs</w:t>
      </w:r>
    </w:p>
    <w:p>
      <w:pPr>
        <w:spacing w:after="120"/>
      </w:pPr>
      <w:r>
        <w:rPr>
          <w:rFonts w:ascii="Arial" w:cs="Arial" w:eastAsia="Arial" w:hAnsi="Arial"/>
          <w:color w:val="333333"/>
          <w:sz w:val="22"/>
          <w:szCs w:val="22"/>
        </w:rPr>
        <w:t xml:space="preserve">The top-level KPI strip provides instant portfolio health at a glance. All KPIs update in real time and support drill-down.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KPI Widget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Drill-Down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Revenue (Current Period)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 of all confirmed net sale prices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number + trend arrow vs. prior period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list filtered by period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Sold (Current Period)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 of units with Confirmed/Completed status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 + % of total inventory</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Remaining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Available units across all properties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 donut chart (sold vs. available vs. reserved)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grid filtered to Available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Average Sale Price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Mean net sale price across confirmed sales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 + trend arrow</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list sorted by 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Average Days to Close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Mean days from unit listing to sale confirmation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 sparkline trend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sorted by close time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Commissions Payable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Sum of pending + approved commissions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Number split by Pending/Approved/Paid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management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Outstanding Receivables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buyer payments due but not yet received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 aging badge (overdue amount)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 schedules filtered to overdue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Collection Rate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Amount received / Amount due for current period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Percentage + gauge chart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Installment records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2: Sales Performance Analytics</w:t>
      </w:r>
    </w:p>
    <w:p>
      <w:pPr>
        <w:spacing w:after="120"/>
      </w:pPr>
      <w:r>
        <w:rPr>
          <w:rFonts w:ascii="Arial" w:cs="Arial" w:eastAsia="Arial" w:hAnsi="Arial"/>
          <w:color w:val="333333"/>
          <w:sz w:val="22"/>
          <w:szCs w:val="22"/>
        </w:rPr>
        <w:t xml:space="preserve">Detailed sales performance charts and graphs for deep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Trend Line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Monthly/quarterly sales count and revenue over time; dual-axis chart (units on left, revenue on right)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between monthly/quarterly; filter by property/country; hover for exact values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by Country</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Stacked bar chart or map view showing sales volume and revenue split across USA, Canada, India</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Click country to filter entire dashboard; compare mode between countries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by Property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Horizontal bar chart ranking properties by units sold or revenue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Sort by units or revenue; click to drill into property detail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Velocity / Absorption Rate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sold per month as percentage of total available inventory; tracks how fast inventory is moving</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 by unit type; historical trend overlay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Funnel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funnel: Available &gt; Reserved &gt; Under Agreement &gt; Sold &gt; Completed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each stage for unit list; conversion rates between stages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Price Per Sq Ft Analysis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Scatter plot of actual sale price/sq ft vs. list price/sq ft across units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 by property, unit type; identify discounting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Discount Analysis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Average discount % by property, broker, and unit type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Highlights where deep discounting is occurring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Source Breakdown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Pie chart: Manual Entry vs. AI Extraction; shows AI adoption rate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Click to see records by source</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3: Inventory Analytics</w:t>
      </w:r>
    </w:p>
    <w:p>
      <w:pPr>
        <w:spacing w:after="120"/>
      </w:pPr>
      <w:r>
        <w:rPr>
          <w:rFonts w:ascii="Arial" w:cs="Arial" w:eastAsia="Arial" w:hAnsi="Arial"/>
          <w:color w:val="333333"/>
          <w:sz w:val="22"/>
          <w:szCs w:val="22"/>
        </w:rPr>
        <w:t xml:space="preserve">Real-time inventory status powered by the Yardi inventory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Portfolio Inventory Overview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Treemap or stacked bar: total units by property, colored by status (Available/Reserved/Sold)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property to expand; filter by country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by Unit Type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Grouped bar chart: available vs. sold count for each unit type (Studio, 1BHK, 2BHK, etc.)</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 by property; shows demand patterns by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Value Summary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unsold inventory value (Available units x list price); total sold value; total portfolio value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country, by property; trend over time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Aging Inventory Report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available for 30+, 60+, 90+, 180+ days without sale; highlights stale inventory</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Drill into specific units; sortable by days on market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Floor-Level Heatmap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grid/heatmap per property showing floor-by-floor availability and pricing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Hover for unit details; click to see sale/availability record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Price vs. Inventory Scatter</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Bubble chart: x-axis = list price, y-axis = days on market, bubble size = area; identifies overpriced slow movers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 by property, unit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Inventory Added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Timeline showing when new units were synced from Yardi; tracks pipeline of new listings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Monthly/weekly view; by property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Forecast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Projected months to sell out remaining inventory based on current absorption rate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 adjustable assumption inputs</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4: Top Sales Partners (Brokers and Firms)</w:t>
      </w:r>
    </w:p>
    <w:p>
      <w:pPr>
        <w:spacing w:after="120"/>
      </w:pPr>
      <w:r>
        <w:rPr>
          <w:rFonts w:ascii="Arial" w:cs="Arial" w:eastAsia="Arial" w:hAnsi="Arial"/>
          <w:color w:val="333333"/>
          <w:sz w:val="22"/>
          <w:szCs w:val="22"/>
        </w:rPr>
        <w:t xml:space="preserve">This section ranks and analyzes the performance of sales partners, which can be individual brokers or brokerage firms. The default view shows the top 10 partners, expandable to a full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5 / Top 10 Leaderboard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Ranked table of sales partners by total revenue generated; shows: Rank, Partner Name, Type (Individual/Firm), Units Sold, Total Revenue, Avg Sale Price, Commission Earned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between Top 5/10/All; sort by any column; filter by country/property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Partner Performance Bar Chart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Horizontal bar chart comparing top partners side-by-side on revenue or units sold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Switch metric (revenue/units/commission); add/remove partners from 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Partner Trend Lines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Multi-line chart showing each top partner sales trend over the past 12 months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 up to 5 partners to compare; overlay with total market trend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Partner Market Share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Pie or donut chart: percentage of total sales attributable to each top partner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revenue or by units; filter by property/country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Partner Conversion Rate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reserved/offered units that convert to confirmed sale, by partner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Identifies most effective closers vs. those with high fallout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New vs. Repeat Partners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Split view: revenue from established partners vs. newly onboarded partners (last 90 days)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Track effectiveness of new partnerships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Efficiency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generated per dollar of commission paid; identifies cost-effective partnerships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Rank by efficiency ratio; filter by period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Partner Activity Timeline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Chronological view of sales by a selected partner; shows deal frequency and recency</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Select any partner; zoom to date range</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5: Year-over-Year Comparison</w:t>
      </w:r>
    </w:p>
    <w:p>
      <w:pPr>
        <w:spacing w:after="120"/>
      </w:pPr>
      <w:r>
        <w:rPr>
          <w:rFonts w:ascii="Arial" w:cs="Arial" w:eastAsia="Arial" w:hAnsi="Arial"/>
          <w:color w:val="333333"/>
          <w:sz w:val="22"/>
          <w:szCs w:val="22"/>
        </w:rPr>
        <w:t xml:space="preserve">Comprehensive comparison tools to analyze current year performance against previous years. This section is critical for portfolio owners to understand growth trajectories and identify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 Revenue Comparison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Dual-line chart: current year monthly revenue overlaid on previous year; shows growth/decline clearly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 comparison year (Y-1, Y-2, Y-3); filter by property/country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YoY Units Sold Comparison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Side-by-side bar chart: units sold per month, current year vs. comparison year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Cumulative or monthly view; filter by unit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 Average Price Trend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 chart comparing average sale price month-over-month across years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property, country, unit type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YoY Growth Summary Table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Summary table: Revenue Growth %, Units Sold Growth %, Avg Price Change %, Absorption Rate Change, Commission Cost Change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base year; by property/country/partner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Quarter-over-Quarter 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metrics but at quarterly granularity for less granular strategic view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quarter vs. same quarter prior year; vs. prior quarter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Seasonal Patterns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Heatmap showing which months/quarters historically perform best across years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Helps forecast optimal launch windows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Cumulative Sales Curve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Running total of sales through the year, current year vs. prior years; shows if ahead or behind pace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Projection line based on current velocity to estimate year-end total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YoY by Country</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Country-level comparison: how is each market performing relative to last year</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Drill into country for property-level breakdown</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Section 6: 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Chart / Widget</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vs. Collections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Dual-axis chart: confirmed sale revenue vs. actual cash collected over time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property/country; highlights collection gap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Cost Ratio</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 expense as % of total revenue; trend over time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partner, property; benchmark against targets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Receivables Aging Waterfall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Stacked bar: Current, 30-day, 60-day, 90-day, 120+ day outstanding amounts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aging bucket to see individual installments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Obligations Summary</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Country-wise breakdown of stamp duty, GST/HST, TDS, transfer tax collected/payable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Drill into specific tax type by property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Cash Flow Projection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Forward-looking: expected inflows (buyer installments due) vs. expected outflows (commission payments due) over next 90 days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Adjustable time horizon; by property</w:t>
            </w:r>
          </w:p>
        </w:tc>
      </w:tr>
    </w:tbl>
    <w:p>
      <w:pPr>
        <w:spacing w:after="120" w:before="200"/>
      </w:pPr>
      <w:r>
        <w:rPr>
          <w:rFonts w:ascii="Arial" w:cs="Arial" w:eastAsia="Arial" w:hAnsi="Arial"/>
          <w:color w:val="333333"/>
          <w:sz w:val="22"/>
          <w:szCs w:val="22"/>
        </w:rPr>
        <w:t xml:space="preserve"/>
      </w:r>
    </w:p>
    <w:p>
      <w:pPr>
        <w:pStyle w:val="Heading3"/>
        <w:spacing w:before="300" w:after="150"/>
      </w:pPr>
      <w:r>
        <w:t xml:space="preserve">Dashboard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Refresh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metrics refresh within 5 minutes of source data change; real-time WebSocket updates for active users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 Warehouse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Dedicated analytical data store (PostgreSQL materialized views or a lightweight warehouse like ClickHouse) separate from transactional DB to avoid query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Pre-Computed Aggregations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Daily/hourly rollup jobs for KPIs, partner rankings, and YoY comparisons to ensure sub-second dashboard load times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Caching Layer</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Redis cache for frequently accessed dashboard queries with 5-minute TTL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Support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Arbitrary date range selection; quick presets: Today, This Week, This Month, This Quarter, This Year, Last Year, Custom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 Persistence</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User-selected filters persist across sessions; role-based default filters (e.g., Property Admin sees only their properties)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Options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any chart/table as: PDF (formatted), Excel (data + chart), PNG (chart image), CSV (raw data)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Scheduled Reports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Users can schedule any dashboard view to be emailed as PDF on a daily/weekly/monthly cadence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Mobile Responsiveness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responsive on tablet (1024px+); simplified KPI view on mobile; charts stack vertically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Permissions</w:t>
            </w:r>
          </w:p>
        </w:tc>
        <w:tc>
          <w:tcPr>
            <w:tcW w:type="dxa" w:w="7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Dashboard widgets visible based on user role; Broker Portal users see only their own partner metrics</w:t>
            </w:r>
          </w:p>
        </w:tc>
      </w:tr>
    </w:tbl>
    <w:p>
      <w:r>
        <w:br w:type="page"/>
      </w:r>
    </w:p>
    <w:p>
      <w:pPr>
        <w:pStyle w:val="Heading1"/>
        <w:spacing w:before="300" w:after="150"/>
      </w:pPr>
      <w:r>
        <w:t xml:space="preserve">Non-Functional Requirements</w:t>
      </w:r>
    </w:p>
    <w:p>
      <w:pPr>
        <w:pStyle w:val="Heading2"/>
        <w:spacing w:before="300" w:after="150"/>
      </w:pPr>
      <w:r>
        <w:t xml:space="preserve">Performance</w:t>
      </w:r>
    </w:p>
    <w:p>
      <w:pPr>
        <w:pStyle w:val="ListParagraph"/>
        <w:numPr>
          <w:ilvl w:val="0"/>
          <w:numId w:val="3"/>
        </w:numPr>
        <w:spacing w:after="80"/>
      </w:pPr>
      <w:r>
        <w:rPr>
          <w:rFonts w:ascii="Arial" w:cs="Arial" w:eastAsia="Arial" w:hAnsi="Arial"/>
          <w:color w:val="333333"/>
          <w:sz w:val="22"/>
          <w:szCs w:val="22"/>
        </w:rPr>
        <w:t xml:space="preserve">Page load time: under 2 seconds for standard pages</w:t>
      </w:r>
    </w:p>
    <w:p>
      <w:pPr>
        <w:pStyle w:val="ListParagraph"/>
        <w:numPr>
          <w:ilvl w:val="0"/>
          <w:numId w:val="3"/>
        </w:numPr>
        <w:spacing w:after="80"/>
      </w:pPr>
      <w:r>
        <w:rPr>
          <w:rFonts w:ascii="Arial" w:cs="Arial" w:eastAsia="Arial" w:hAnsi="Arial"/>
          <w:color w:val="333333"/>
          <w:sz w:val="22"/>
          <w:szCs w:val="22"/>
        </w:rPr>
        <w:t xml:space="preserve">AI document processing: under 30 seconds for single document extraction</w:t>
      </w:r>
    </w:p>
    <w:p>
      <w:pPr>
        <w:pStyle w:val="ListParagraph"/>
        <w:numPr>
          <w:ilvl w:val="0"/>
          <w:numId w:val="3"/>
        </w:numPr>
        <w:spacing w:after="80"/>
      </w:pPr>
      <w:r>
        <w:rPr>
          <w:rFonts w:ascii="Arial" w:cs="Arial" w:eastAsia="Arial" w:hAnsi="Arial"/>
          <w:color w:val="333333"/>
          <w:sz w:val="22"/>
          <w:szCs w:val="22"/>
        </w:rPr>
        <w:t xml:space="preserve">Search results: under 1 second for any record search</w:t>
      </w:r>
    </w:p>
    <w:p>
      <w:pPr>
        <w:pStyle w:val="ListParagraph"/>
        <w:numPr>
          <w:ilvl w:val="0"/>
          <w:numId w:val="3"/>
        </w:numPr>
        <w:spacing w:after="80"/>
      </w:pPr>
      <w:r>
        <w:rPr>
          <w:rFonts w:ascii="Arial" w:cs="Arial" w:eastAsia="Arial" w:hAnsi="Arial"/>
          <w:color w:val="333333"/>
          <w:sz w:val="22"/>
          <w:szCs w:val="22"/>
        </w:rPr>
        <w:t xml:space="preserve">Concurrent users: support 200+ simultaneous users</w:t>
      </w:r>
    </w:p>
    <w:p>
      <w:pPr>
        <w:pStyle w:val="ListParagraph"/>
        <w:numPr>
          <w:ilvl w:val="0"/>
          <w:numId w:val="3"/>
        </w:numPr>
        <w:spacing w:after="80"/>
      </w:pPr>
      <w:r>
        <w:rPr>
          <w:rFonts w:ascii="Arial" w:cs="Arial" w:eastAsia="Arial" w:hAnsi="Arial"/>
          <w:color w:val="333333"/>
          <w:sz w:val="22"/>
          <w:szCs w:val="22"/>
        </w:rPr>
        <w:t xml:space="preserve">Yardi sync: process 500+ transactions per batch within 5 minutes</w:t>
      </w:r>
    </w:p>
    <w:p>
      <w:pPr>
        <w:pStyle w:val="ListParagraph"/>
        <w:numPr>
          <w:ilvl w:val="0"/>
          <w:numId w:val="3"/>
        </w:numPr>
        <w:spacing w:after="80"/>
      </w:pPr>
      <w:r>
        <w:rPr>
          <w:rFonts w:ascii="Arial" w:cs="Arial" w:eastAsia="Arial" w:hAnsi="Arial"/>
          <w:color w:val="333333"/>
          <w:sz w:val="22"/>
          <w:szCs w:val="22"/>
        </w:rPr>
        <w:t xml:space="preserve">Analytics dashboard: initial load under 3 seconds; chart interactions under 500ms</w:t>
      </w:r>
    </w:p>
    <w:p>
      <w:pPr>
        <w:pStyle w:val="ListParagraph"/>
        <w:numPr>
          <w:ilvl w:val="0"/>
          <w:numId w:val="3"/>
        </w:numPr>
        <w:spacing w:after="80"/>
      </w:pPr>
      <w:r>
        <w:rPr>
          <w:rFonts w:ascii="Arial" w:cs="Arial" w:eastAsia="Arial" w:hAnsi="Arial"/>
          <w:color w:val="333333"/>
          <w:sz w:val="22"/>
          <w:szCs w:val="22"/>
        </w:rPr>
        <w:t xml:space="preserve">Inventory sync from Yardi: full sync under 10 minutes for 10,000+ units; incremental sync under 60 seconds</w:t>
      </w:r>
    </w:p>
    <w:p>
      <w:pPr>
        <w:pStyle w:val="ListParagraph"/>
        <w:numPr>
          <w:ilvl w:val="0"/>
          <w:numId w:val="3"/>
        </w:numPr>
        <w:spacing w:after="80"/>
      </w:pPr>
      <w:r>
        <w:rPr>
          <w:rFonts w:ascii="Arial" w:cs="Arial" w:eastAsia="Arial" w:hAnsi="Arial"/>
          <w:color w:val="333333"/>
          <w:sz w:val="22"/>
          <w:szCs w:val="22"/>
        </w:rPr>
        <w:t xml:space="preserve">YoY comparison queries: pre-computed aggregations ensure sub-second response for any date range</w:t>
      </w:r>
    </w:p>
    <w:p>
      <w:pPr>
        <w:pStyle w:val="Heading2"/>
        <w:spacing w:before="300" w:after="150"/>
      </w:pPr>
      <w:r>
        <w:t xml:space="preserve">Security</w:t>
      </w:r>
    </w:p>
    <w:p>
      <w:pPr>
        <w:pStyle w:val="ListParagraph"/>
        <w:numPr>
          <w:ilvl w:val="0"/>
          <w:numId w:val="3"/>
        </w:numPr>
        <w:spacing w:after="80"/>
      </w:pPr>
      <w:r>
        <w:rPr>
          <w:rFonts w:ascii="Arial" w:cs="Arial" w:eastAsia="Arial" w:hAnsi="Arial"/>
          <w:color w:val="333333"/>
          <w:sz w:val="22"/>
          <w:szCs w:val="22"/>
        </w:rPr>
        <w:t xml:space="preserve">Authentication: Multi-factor authentication (MFA) mandatory for all users</w:t>
      </w:r>
    </w:p>
    <w:p>
      <w:pPr>
        <w:pStyle w:val="ListParagraph"/>
        <w:numPr>
          <w:ilvl w:val="0"/>
          <w:numId w:val="3"/>
        </w:numPr>
        <w:spacing w:after="80"/>
      </w:pPr>
      <w:r>
        <w:rPr>
          <w:rFonts w:ascii="Arial" w:cs="Arial" w:eastAsia="Arial" w:hAnsi="Arial"/>
          <w:color w:val="333333"/>
          <w:sz w:val="22"/>
          <w:szCs w:val="22"/>
        </w:rPr>
        <w:t xml:space="preserve">Authorization: Role-based access control (RBAC) with granular permissions</w:t>
      </w:r>
    </w:p>
    <w:p>
      <w:pPr>
        <w:pStyle w:val="ListParagraph"/>
        <w:numPr>
          <w:ilvl w:val="0"/>
          <w:numId w:val="3"/>
        </w:numPr>
        <w:spacing w:after="80"/>
      </w:pPr>
      <w:r>
        <w:rPr>
          <w:rFonts w:ascii="Arial" w:cs="Arial" w:eastAsia="Arial" w:hAnsi="Arial"/>
          <w:color w:val="333333"/>
          <w:sz w:val="22"/>
          <w:szCs w:val="22"/>
        </w:rPr>
        <w:t xml:space="preserve">Data Encryption: AES-256 at rest, TLS 1.3 in transit</w:t>
      </w:r>
    </w:p>
    <w:p>
      <w:pPr>
        <w:pStyle w:val="ListParagraph"/>
        <w:numPr>
          <w:ilvl w:val="0"/>
          <w:numId w:val="3"/>
        </w:numPr>
        <w:spacing w:after="80"/>
      </w:pPr>
      <w:r>
        <w:rPr>
          <w:rFonts w:ascii="Arial" w:cs="Arial" w:eastAsia="Arial" w:hAnsi="Arial"/>
          <w:color w:val="333333"/>
          <w:sz w:val="22"/>
          <w:szCs w:val="22"/>
        </w:rPr>
        <w:t xml:space="preserve">PII Protection: All personally identifiable information encrypted and access-logged</w:t>
      </w:r>
    </w:p>
    <w:p>
      <w:pPr>
        <w:pStyle w:val="ListParagraph"/>
        <w:numPr>
          <w:ilvl w:val="0"/>
          <w:numId w:val="3"/>
        </w:numPr>
        <w:spacing w:after="80"/>
      </w:pPr>
      <w:r>
        <w:rPr>
          <w:rFonts w:ascii="Arial" w:cs="Arial" w:eastAsia="Arial" w:hAnsi="Arial"/>
          <w:color w:val="333333"/>
          <w:sz w:val="22"/>
          <w:szCs w:val="22"/>
        </w:rPr>
        <w:t xml:space="preserve">Sensitive Financial Data: Bank accounts, tax IDs stored with field-level encryption</w:t>
      </w:r>
    </w:p>
    <w:p>
      <w:pPr>
        <w:pStyle w:val="ListParagraph"/>
        <w:numPr>
          <w:ilvl w:val="0"/>
          <w:numId w:val="3"/>
        </w:numPr>
        <w:spacing w:after="80"/>
      </w:pPr>
      <w:r>
        <w:rPr>
          <w:rFonts w:ascii="Arial" w:cs="Arial" w:eastAsia="Arial" w:hAnsi="Arial"/>
          <w:color w:val="333333"/>
          <w:sz w:val="22"/>
          <w:szCs w:val="22"/>
        </w:rPr>
        <w:t xml:space="preserve">Audit Logging: Every create, read, update, delete action logged with user, timestamp, IP</w:t>
      </w:r>
    </w:p>
    <w:p>
      <w:pPr>
        <w:pStyle w:val="ListParagraph"/>
        <w:numPr>
          <w:ilvl w:val="0"/>
          <w:numId w:val="3"/>
        </w:numPr>
        <w:spacing w:after="80"/>
      </w:pPr>
      <w:r>
        <w:rPr>
          <w:rFonts w:ascii="Arial" w:cs="Arial" w:eastAsia="Arial" w:hAnsi="Arial"/>
          <w:color w:val="333333"/>
          <w:sz w:val="22"/>
          <w:szCs w:val="22"/>
        </w:rPr>
        <w:t xml:space="preserve">Session Management: Auto-timeout after 30 minutes of inactivity; concurrent session limits</w:t>
      </w:r>
    </w:p>
    <w:p>
      <w:pPr>
        <w:pStyle w:val="ListParagraph"/>
        <w:numPr>
          <w:ilvl w:val="0"/>
          <w:numId w:val="3"/>
        </w:numPr>
        <w:spacing w:after="80"/>
      </w:pPr>
      <w:r>
        <w:rPr>
          <w:rFonts w:ascii="Arial" w:cs="Arial" w:eastAsia="Arial" w:hAnsi="Arial"/>
          <w:color w:val="333333"/>
          <w:sz w:val="22"/>
          <w:szCs w:val="22"/>
        </w:rPr>
        <w:t xml:space="preserve">Compliance: SOC 2 Type II, GDPR (for any EU data), PIPEDA (Canada), IT Act 2000 (India)</w:t>
      </w:r>
    </w:p>
    <w:p>
      <w:pPr>
        <w:pStyle w:val="Heading2"/>
        <w:spacing w:before="300" w:after="150"/>
      </w:pPr>
      <w:r>
        <w:t xml:space="preserve">Scalability</w:t>
      </w:r>
    </w:p>
    <w:p>
      <w:pPr>
        <w:pStyle w:val="ListParagraph"/>
        <w:numPr>
          <w:ilvl w:val="0"/>
          <w:numId w:val="3"/>
        </w:numPr>
        <w:spacing w:after="80"/>
      </w:pPr>
      <w:r>
        <w:rPr>
          <w:rFonts w:ascii="Arial" w:cs="Arial" w:eastAsia="Arial" w:hAnsi="Arial"/>
          <w:color w:val="333333"/>
          <w:sz w:val="22"/>
          <w:szCs w:val="22"/>
        </w:rPr>
        <w:t xml:space="preserve">Horizontal scaling for web and API tiers</w:t>
      </w:r>
    </w:p>
    <w:p>
      <w:pPr>
        <w:pStyle w:val="ListParagraph"/>
        <w:numPr>
          <w:ilvl w:val="0"/>
          <w:numId w:val="3"/>
        </w:numPr>
        <w:spacing w:after="80"/>
      </w:pPr>
      <w:r>
        <w:rPr>
          <w:rFonts w:ascii="Arial" w:cs="Arial" w:eastAsia="Arial" w:hAnsi="Arial"/>
          <w:color w:val="333333"/>
          <w:sz w:val="22"/>
          <w:szCs w:val="22"/>
        </w:rPr>
        <w:t xml:space="preserve">Database designed for partitioning by country/property</w:t>
      </w:r>
    </w:p>
    <w:p>
      <w:pPr>
        <w:pStyle w:val="ListParagraph"/>
        <w:numPr>
          <w:ilvl w:val="0"/>
          <w:numId w:val="3"/>
        </w:numPr>
        <w:spacing w:after="80"/>
      </w:pPr>
      <w:r>
        <w:rPr>
          <w:rFonts w:ascii="Arial" w:cs="Arial" w:eastAsia="Arial" w:hAnsi="Arial"/>
          <w:color w:val="333333"/>
          <w:sz w:val="22"/>
          <w:szCs w:val="22"/>
        </w:rPr>
        <w:t xml:space="preserve">AI processing queue with auto-scaling workers</w:t>
      </w:r>
    </w:p>
    <w:p>
      <w:pPr>
        <w:pStyle w:val="ListParagraph"/>
        <w:numPr>
          <w:ilvl w:val="0"/>
          <w:numId w:val="3"/>
        </w:numPr>
        <w:spacing w:after="80"/>
      </w:pPr>
      <w:r>
        <w:rPr>
          <w:rFonts w:ascii="Arial" w:cs="Arial" w:eastAsia="Arial" w:hAnsi="Arial"/>
          <w:color w:val="333333"/>
          <w:sz w:val="22"/>
          <w:szCs w:val="22"/>
        </w:rPr>
        <w:t xml:space="preserve">CDN for static assets; multi-region deployment capability</w:t>
      </w:r>
    </w:p>
    <w:p>
      <w:pPr>
        <w:pStyle w:val="Heading2"/>
        <w:spacing w:before="300" w:after="150"/>
      </w:pPr>
      <w:r>
        <w:t xml:space="preserve">Availability</w:t>
      </w:r>
    </w:p>
    <w:p>
      <w:pPr>
        <w:pStyle w:val="ListParagraph"/>
        <w:numPr>
          <w:ilvl w:val="0"/>
          <w:numId w:val="3"/>
        </w:numPr>
        <w:spacing w:after="80"/>
      </w:pPr>
      <w:r>
        <w:rPr>
          <w:rFonts w:ascii="Arial" w:cs="Arial" w:eastAsia="Arial" w:hAnsi="Arial"/>
          <w:color w:val="333333"/>
          <w:sz w:val="22"/>
          <w:szCs w:val="22"/>
        </w:rPr>
        <w:t xml:space="preserve">Target uptime: 99.9% SLA</w:t>
      </w:r>
    </w:p>
    <w:p>
      <w:pPr>
        <w:pStyle w:val="ListParagraph"/>
        <w:numPr>
          <w:ilvl w:val="0"/>
          <w:numId w:val="3"/>
        </w:numPr>
        <w:spacing w:after="80"/>
      </w:pPr>
      <w:r>
        <w:rPr>
          <w:rFonts w:ascii="Arial" w:cs="Arial" w:eastAsia="Arial" w:hAnsi="Arial"/>
          <w:color w:val="333333"/>
          <w:sz w:val="22"/>
          <w:szCs w:val="22"/>
        </w:rPr>
        <w:t xml:space="preserve">Automated failover for database and application tiers</w:t>
      </w:r>
    </w:p>
    <w:p>
      <w:pPr>
        <w:pStyle w:val="ListParagraph"/>
        <w:numPr>
          <w:ilvl w:val="0"/>
          <w:numId w:val="3"/>
        </w:numPr>
        <w:spacing w:after="80"/>
      </w:pPr>
      <w:r>
        <w:rPr>
          <w:rFonts w:ascii="Arial" w:cs="Arial" w:eastAsia="Arial" w:hAnsi="Arial"/>
          <w:color w:val="333333"/>
          <w:sz w:val="22"/>
          <w:szCs w:val="22"/>
        </w:rPr>
        <w:t xml:space="preserve">Daily automated backups with 30-day retention</w:t>
      </w:r>
    </w:p>
    <w:p>
      <w:pPr>
        <w:pStyle w:val="ListParagraph"/>
        <w:numPr>
          <w:ilvl w:val="0"/>
          <w:numId w:val="3"/>
        </w:numPr>
        <w:spacing w:after="80"/>
      </w:pPr>
      <w:r>
        <w:rPr>
          <w:rFonts w:ascii="Arial" w:cs="Arial" w:eastAsia="Arial" w:hAnsi="Arial"/>
          <w:color w:val="333333"/>
          <w:sz w:val="22"/>
          <w:szCs w:val="22"/>
        </w:rPr>
        <w:t xml:space="preserve">Disaster recovery plan with RPO &lt; 1 hour, RTO &lt; 4 hours</w:t>
      </w:r>
    </w:p>
    <w:p>
      <w:pPr>
        <w:pStyle w:val="Heading2"/>
        <w:spacing w:before="300" w:after="150"/>
      </w:pPr>
      <w:r>
        <w:t xml:space="preserve">Localization</w:t>
      </w:r>
    </w:p>
    <w:p>
      <w:pPr>
        <w:pStyle w:val="ListParagraph"/>
        <w:numPr>
          <w:ilvl w:val="0"/>
          <w:numId w:val="3"/>
        </w:numPr>
        <w:spacing w:after="80"/>
      </w:pPr>
      <w:r>
        <w:rPr>
          <w:rFonts w:ascii="Arial" w:cs="Arial" w:eastAsia="Arial" w:hAnsi="Arial"/>
          <w:color w:val="333333"/>
          <w:sz w:val="22"/>
          <w:szCs w:val="22"/>
        </w:rPr>
        <w:t xml:space="preserve">Currency display: USD ($), CAD (C$), INR (₹) with proper formatting</w:t>
      </w:r>
    </w:p>
    <w:p>
      <w:pPr>
        <w:pStyle w:val="ListParagraph"/>
        <w:numPr>
          <w:ilvl w:val="0"/>
          <w:numId w:val="3"/>
        </w:numPr>
        <w:spacing w:after="80"/>
      </w:pPr>
      <w:r>
        <w:rPr>
          <w:rFonts w:ascii="Arial" w:cs="Arial" w:eastAsia="Arial" w:hAnsi="Arial"/>
          <w:color w:val="333333"/>
          <w:sz w:val="22"/>
          <w:szCs w:val="22"/>
        </w:rPr>
        <w:t xml:space="preserve">Date formats: MM/DD/YYYY (USA), DD/MM/YYYY (India), YYYY-MM-DD (Canada, ISO)</w:t>
      </w:r>
    </w:p>
    <w:p>
      <w:pPr>
        <w:pStyle w:val="ListParagraph"/>
        <w:numPr>
          <w:ilvl w:val="0"/>
          <w:numId w:val="3"/>
        </w:numPr>
        <w:spacing w:after="80"/>
      </w:pPr>
      <w:r>
        <w:rPr>
          <w:rFonts w:ascii="Arial" w:cs="Arial" w:eastAsia="Arial" w:hAnsi="Arial"/>
          <w:color w:val="333333"/>
          <w:sz w:val="22"/>
          <w:szCs w:val="22"/>
        </w:rPr>
        <w:t xml:space="preserve">Area measurements: sq ft (USA/India), sq ft or sq m (Canada, configurable)</w:t>
      </w:r>
    </w:p>
    <w:p>
      <w:pPr>
        <w:pStyle w:val="ListParagraph"/>
        <w:numPr>
          <w:ilvl w:val="0"/>
          <w:numId w:val="3"/>
        </w:numPr>
        <w:spacing w:after="80"/>
      </w:pPr>
      <w:r>
        <w:rPr>
          <w:rFonts w:ascii="Arial" w:cs="Arial" w:eastAsia="Arial" w:hAnsi="Arial"/>
          <w:color w:val="333333"/>
          <w:sz w:val="22"/>
          <w:szCs w:val="22"/>
        </w:rPr>
        <w:t xml:space="preserve">Number formatting: 1,000,000.00 (USA/Canada), 10,00,000.00 (India, Lakhs/Crores)</w:t>
      </w:r>
    </w:p>
    <w:p>
      <w:pPr>
        <w:pStyle w:val="ListParagraph"/>
        <w:numPr>
          <w:ilvl w:val="0"/>
          <w:numId w:val="3"/>
        </w:numPr>
        <w:spacing w:after="80"/>
      </w:pPr>
      <w:r>
        <w:rPr>
          <w:rFonts w:ascii="Arial" w:cs="Arial" w:eastAsia="Arial" w:hAnsi="Arial"/>
          <w:color w:val="333333"/>
          <w:sz w:val="22"/>
          <w:szCs w:val="22"/>
        </w:rPr>
        <w:t xml:space="preserve">Timezone support per property location</w:t>
      </w:r>
    </w:p>
    <w:p>
      <w:r>
        <w:br w:type="page"/>
      </w:r>
    </w:p>
    <w:p>
      <w:pPr>
        <w:pStyle w:val="Heading1"/>
        <w:spacing w:before="300" w:after="150"/>
      </w:pPr>
      <w:r>
        <w:t xml:space="preserve">System Architecture Overview</w:t>
      </w:r>
    </w:p>
    <w:p>
      <w:pPr>
        <w:pStyle w:val="Heading2"/>
        <w:spacing w:before="300" w:after="150"/>
      </w:pPr>
      <w:r>
        <w:t xml:space="preserve">Technology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React.js / Next.js with TypeScript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Component-based, SSR support, strong ecosystem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UI Framework</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Tailwind CSS + shadcn/ui</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Rapid, consistent, accessible UI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API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(NestJS) or Python (FastAPI)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NestJS for enterprise patterns; FastAPI for AI-heavy workloads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PostgreSQL (primary)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ACID compliance, JSON support, strong geospatial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Storage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 S3 / Azure Blob Storage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Scalable, secure document storage with versioning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 ML Engine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Python + LangChain + GPT-4o / Claude API</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LLM-based extraction with OCR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OCR Layer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AWS Textract / Google Document AI / Tesseract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High-accuracy OCR for scanned documents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Search</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Elasticsearch</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Fast full-text search across all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Session management, API caching, rate limiting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Queue / Workers</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Bull (Node) / Celery (Python) with Redis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Async AI processing, Yardi sync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Auth0 / Keycloak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 SSO, MFA, RBAC</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Datadog / Grafana + Prometheus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APM, logging, alerting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Actions / GitLab CI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testing and deployment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AWS / Azure / GCP</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Multi-region cloud deployment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Charting / Visualization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Recharts / Apache ECharts (frontend)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dashboard charts, drill-down, export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Data Store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PostgreSQL Materialized Views or ClickHouse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Pre-aggregated analytics for sub-second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Scheduled Jobs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pg_cron / AWS EventBridge / node-cron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Aggregation rollups, inventory sync scheduling, report delivery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WebSocket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Socket.io / AWS AppSync</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Real-time dashboard updates on data changes</w:t>
            </w:r>
          </w:p>
        </w:tc>
      </w:tr>
    </w:tbl>
    <w:p>
      <w:pPr>
        <w:pStyle w:val="Heading2"/>
        <w:spacing w:before="300" w:after="150"/>
      </w:pPr>
      <w:r>
        <w:t xml:space="preserve">High-Level Architecture</w:t>
      </w:r>
    </w:p>
    <w:p>
      <w:pPr>
        <w:spacing w:after="120"/>
      </w:pPr>
      <w:r>
        <w:rPr>
          <w:rFonts w:ascii="Arial" w:cs="Arial" w:eastAsia="Arial" w:hAnsi="Arial"/>
          <w:color w:val="333333"/>
          <w:sz w:val="22"/>
          <w:szCs w:val="22"/>
        </w:rPr>
        <w:t xml:space="preserve">The system follows a microservices-oriented architecture with the following core services:</w:t>
      </w:r>
    </w:p>
    <w:p>
      <w:pPr>
        <w:pStyle w:val="ListParagraph"/>
        <w:numPr>
          <w:ilvl w:val="0"/>
          <w:numId w:val="7"/>
        </w:numPr>
        <w:spacing w:after="80"/>
      </w:pPr>
      <w:r>
        <w:rPr>
          <w:rFonts w:ascii="Arial" w:cs="Arial" w:eastAsia="Arial" w:hAnsi="Arial"/>
          <w:color w:val="333333"/>
          <w:sz w:val="22"/>
          <w:szCs w:val="22"/>
        </w:rPr>
        <w:t xml:space="preserve">API Gateway: Authentication, rate limiting, request routing</w:t>
      </w:r>
    </w:p>
    <w:p>
      <w:pPr>
        <w:pStyle w:val="ListParagraph"/>
        <w:numPr>
          <w:ilvl w:val="0"/>
          <w:numId w:val="7"/>
        </w:numPr>
        <w:spacing w:after="80"/>
      </w:pPr>
      <w:r>
        <w:rPr>
          <w:rFonts w:ascii="Arial" w:cs="Arial" w:eastAsia="Arial" w:hAnsi="Arial"/>
          <w:color w:val="333333"/>
          <w:sz w:val="22"/>
          <w:szCs w:val="22"/>
        </w:rPr>
        <w:t xml:space="preserve">Property Service: Property and unit CRUD, status management</w:t>
      </w:r>
    </w:p>
    <w:p>
      <w:pPr>
        <w:pStyle w:val="ListParagraph"/>
        <w:numPr>
          <w:ilvl w:val="0"/>
          <w:numId w:val="7"/>
        </w:numPr>
        <w:spacing w:after="80"/>
      </w:pPr>
      <w:r>
        <w:rPr>
          <w:rFonts w:ascii="Arial" w:cs="Arial" w:eastAsia="Arial" w:hAnsi="Arial"/>
          <w:color w:val="333333"/>
          <w:sz w:val="22"/>
          <w:szCs w:val="22"/>
        </w:rPr>
        <w:t xml:space="preserve">Sales Service: Sale transaction recording, lifecycle management</w:t>
      </w:r>
    </w:p>
    <w:p>
      <w:pPr>
        <w:pStyle w:val="ListParagraph"/>
        <w:numPr>
          <w:ilvl w:val="0"/>
          <w:numId w:val="7"/>
        </w:numPr>
        <w:spacing w:after="80"/>
      </w:pPr>
      <w:r>
        <w:rPr>
          <w:rFonts w:ascii="Arial" w:cs="Arial" w:eastAsia="Arial" w:hAnsi="Arial"/>
          <w:color w:val="333333"/>
          <w:sz w:val="22"/>
          <w:szCs w:val="22"/>
        </w:rPr>
        <w:t xml:space="preserve">Buyer Service: Buyer profiles, KYC management, joint buyer handling</w:t>
      </w:r>
    </w:p>
    <w:p>
      <w:pPr>
        <w:pStyle w:val="ListParagraph"/>
        <w:numPr>
          <w:ilvl w:val="0"/>
          <w:numId w:val="7"/>
        </w:numPr>
        <w:spacing w:after="80"/>
      </w:pPr>
      <w:r>
        <w:rPr>
          <w:rFonts w:ascii="Arial" w:cs="Arial" w:eastAsia="Arial" w:hAnsi="Arial"/>
          <w:color w:val="333333"/>
          <w:sz w:val="22"/>
          <w:szCs w:val="22"/>
        </w:rPr>
        <w:t xml:space="preserve">Broker Service: Broker profiles, commission configuration and calculation</w:t>
      </w:r>
    </w:p>
    <w:p>
      <w:pPr>
        <w:pStyle w:val="ListParagraph"/>
        <w:numPr>
          <w:ilvl w:val="0"/>
          <w:numId w:val="7"/>
        </w:numPr>
        <w:spacing w:after="80"/>
      </w:pPr>
      <w:r>
        <w:rPr>
          <w:rFonts w:ascii="Arial" w:cs="Arial" w:eastAsia="Arial" w:hAnsi="Arial"/>
          <w:color w:val="333333"/>
          <w:sz w:val="22"/>
          <w:szCs w:val="22"/>
        </w:rPr>
        <w:t xml:space="preserve">Payment Service: Payables (commissions), receivables (installments), payment processing</w:t>
      </w:r>
    </w:p>
    <w:p>
      <w:pPr>
        <w:pStyle w:val="ListParagraph"/>
        <w:numPr>
          <w:ilvl w:val="0"/>
          <w:numId w:val="7"/>
        </w:numPr>
        <w:spacing w:after="80"/>
      </w:pPr>
      <w:r>
        <w:rPr>
          <w:rFonts w:ascii="Arial" w:cs="Arial" w:eastAsia="Arial" w:hAnsi="Arial"/>
          <w:color w:val="333333"/>
          <w:sz w:val="22"/>
          <w:szCs w:val="22"/>
        </w:rPr>
        <w:t xml:space="preserve">AI Engine Service: Document upload, OCR, extraction, review, learning pipeline</w:t>
      </w:r>
    </w:p>
    <w:p>
      <w:pPr>
        <w:pStyle w:val="ListParagraph"/>
        <w:numPr>
          <w:ilvl w:val="0"/>
          <w:numId w:val="7"/>
        </w:numPr>
        <w:spacing w:after="80"/>
      </w:pPr>
      <w:r>
        <w:rPr>
          <w:rFonts w:ascii="Arial" w:cs="Arial" w:eastAsia="Arial" w:hAnsi="Arial"/>
          <w:color w:val="333333"/>
          <w:sz w:val="22"/>
          <w:szCs w:val="22"/>
        </w:rPr>
        <w:t xml:space="preserve">Integration Service: Yardi API connector, sync queue, error handling</w:t>
      </w:r>
    </w:p>
    <w:p>
      <w:pPr>
        <w:pStyle w:val="ListParagraph"/>
        <w:numPr>
          <w:ilvl w:val="0"/>
          <w:numId w:val="7"/>
        </w:numPr>
        <w:spacing w:after="80"/>
      </w:pPr>
      <w:r>
        <w:rPr>
          <w:rFonts w:ascii="Arial" w:cs="Arial" w:eastAsia="Arial" w:hAnsi="Arial"/>
          <w:color w:val="333333"/>
          <w:sz w:val="22"/>
          <w:szCs w:val="22"/>
        </w:rPr>
        <w:t xml:space="preserve">Inventory Sync Service: Yardi inventory pull, change detection, read-only mirror management, delta logging</w:t>
      </w:r>
    </w:p>
    <w:p>
      <w:pPr>
        <w:pStyle w:val="ListParagraph"/>
        <w:numPr>
          <w:ilvl w:val="0"/>
          <w:numId w:val="7"/>
        </w:numPr>
        <w:spacing w:after="80"/>
      </w:pPr>
      <w:r>
        <w:rPr>
          <w:rFonts w:ascii="Arial" w:cs="Arial" w:eastAsia="Arial" w:hAnsi="Arial"/>
          <w:color w:val="333333"/>
          <w:sz w:val="22"/>
          <w:szCs w:val="22"/>
        </w:rPr>
        <w:t xml:space="preserve">Compliance Service: Country-specific rules engine, tax calculations, validation</w:t>
      </w:r>
    </w:p>
    <w:p>
      <w:pPr>
        <w:pStyle w:val="ListParagraph"/>
        <w:numPr>
          <w:ilvl w:val="0"/>
          <w:numId w:val="7"/>
        </w:numPr>
        <w:spacing w:after="80"/>
      </w:pPr>
      <w:r>
        <w:rPr>
          <w:rFonts w:ascii="Arial" w:cs="Arial" w:eastAsia="Arial" w:hAnsi="Arial"/>
          <w:color w:val="333333"/>
          <w:sz w:val="22"/>
          <w:szCs w:val="22"/>
        </w:rPr>
        <w:t xml:space="preserve">Notification Service: Email, in-app notifications for payment reminders, approval requests</w:t>
      </w:r>
    </w:p>
    <w:p>
      <w:pPr>
        <w:pStyle w:val="ListParagraph"/>
        <w:numPr>
          <w:ilvl w:val="0"/>
          <w:numId w:val="7"/>
        </w:numPr>
        <w:spacing w:after="80"/>
      </w:pPr>
      <w:r>
        <w:rPr>
          <w:rFonts w:ascii="Arial" w:cs="Arial" w:eastAsia="Arial" w:hAnsi="Arial"/>
          <w:color w:val="333333"/>
          <w:sz w:val="22"/>
          <w:szCs w:val="22"/>
        </w:rPr>
        <w:t xml:space="preserve">Analytics and Reporting Service: Aggregation pipeline, dashboard APIs, KPI computation, YoY calculations, partner rankings, scheduled report delivery</w:t>
      </w:r>
    </w:p>
    <w:p>
      <w:r>
        <w:br w:type="page"/>
      </w:r>
    </w:p>
    <w:p>
      <w:pPr>
        <w:pStyle w:val="Heading1"/>
        <w:spacing w:before="300" w:after="150"/>
      </w:pPr>
      <w:r>
        <w:t xml:space="preserve">Database Architecture and Data Residency</w:t>
      </w:r>
    </w:p>
    <w:p>
      <w:pPr>
        <w:pStyle w:val="Heading2"/>
        <w:spacing w:before="300" w:after="150"/>
      </w:pPr>
      <w:r>
        <w:t xml:space="preserve">Multi-Tenant Data Modeling</w:t>
      </w:r>
    </w:p>
    <w:p>
      <w:pPr>
        <w:spacing w:after="120"/>
      </w:pPr>
      <w:r>
        <w:rPr>
          <w:rFonts w:ascii="Arial" w:cs="Arial" w:eastAsia="Arial" w:hAnsi="Arial"/>
          <w:color w:val="333333"/>
          <w:sz w:val="22"/>
          <w:szCs w:val="22"/>
        </w:rPr>
        <w:t xml:space="preserve">To balance data isolation with infrastructure efficiency, Upward uses the Shared Database, Separate Schema architecture. All clients operate on a single PostgreSQL instance, but each client or geographic region is allocated a separate database schema with its own tables. This provides strong data security and logical isolation for handling sensitive KYC documents (FINTRAC), financial disclosures (RESPA), and PII across jurisdictions, while keeping infrastructure costs moderate.</w:t>
      </w:r>
    </w:p>
    <w:p>
      <w:pPr>
        <w:pStyle w:val="Heading2"/>
        <w:spacing w:before="300" w:after="150"/>
      </w:pPr>
      <w:r>
        <w:t xml:space="preserve">Dynamic Attributes Pattern (JSONB Implementation)</w:t>
      </w:r>
    </w:p>
    <w:p>
      <w:pPr>
        <w:spacing w:after="120"/>
      </w:pPr>
      <w:r>
        <w:rPr>
          <w:rFonts w:ascii="Arial" w:cs="Arial" w:eastAsia="Arial" w:hAnsi="Arial"/>
          <w:color w:val="333333"/>
          <w:sz w:val="22"/>
          <w:szCs w:val="22"/>
        </w:rPr>
        <w:t xml:space="preserve">A fundamental challenge in multi-country software is the divergence of required data fields across jurisdictions. Hardcoding all fields into rigid relational tables creates sparsely populated, bloated structures requiring disruptive schema migrations whenever a jurisdiction updates its laws. Upward solves this with the Dynamic Attributes Pattern leveraging PostgreSQL JSONB columns:</w:t>
      </w:r>
    </w:p>
    <w:p>
      <w:pPr>
        <w:pStyle w:val="ListParagraph"/>
        <w:numPr>
          <w:ilvl w:val="0"/>
          <w:numId w:val="3"/>
        </w:numPr>
        <w:spacing w:after="80"/>
      </w:pPr>
      <w:r>
        <w:rPr>
          <w:rFonts w:ascii="Arial" w:cs="Arial" w:eastAsia="Arial" w:hAnsi="Arial"/>
          <w:color w:val="333333"/>
          <w:sz w:val="22"/>
          <w:szCs w:val="22"/>
        </w:rPr>
        <w:t xml:space="preserve">Base tables (Unit_Sales, Properties, Buyers, Commissions) contain only universally required columns applicable across all jurisdictions (e.g., sale_id, property_id, buyer_id, base_sale_price, transaction_date)</w:t>
      </w:r>
    </w:p>
    <w:p>
      <w:pPr>
        <w:pStyle w:val="ListParagraph"/>
        <w:numPr>
          <w:ilvl w:val="0"/>
          <w:numId w:val="3"/>
        </w:numPr>
        <w:spacing w:after="80"/>
      </w:pPr>
      <w:r>
        <w:rPr>
          <w:rFonts w:ascii="Arial" w:cs="Arial" w:eastAsia="Arial" w:hAnsi="Arial"/>
          <w:color w:val="333333"/>
          <w:sz w:val="22"/>
          <w:szCs w:val="22"/>
        </w:rPr>
        <w:t xml:space="preserve">A localized compliance_metadata JSONB column stores all region-specific data. For India: rera_reg_number, escrow_bank_details, carpet_area. For Canada: fintrac_24hr_flag, foreign_equity_pct, dual_process_id. For USA: ucd_closing_data, buyer_broker_agreement_verified</w:t>
      </w:r>
    </w:p>
    <w:p>
      <w:pPr>
        <w:pStyle w:val="ListParagraph"/>
        <w:numPr>
          <w:ilvl w:val="0"/>
          <w:numId w:val="3"/>
        </w:numPr>
        <w:spacing w:after="80"/>
      </w:pPr>
      <w:r>
        <w:rPr>
          <w:rFonts w:ascii="Arial" w:cs="Arial" w:eastAsia="Arial" w:hAnsi="Arial"/>
          <w:color w:val="333333"/>
          <w:sz w:val="22"/>
          <w:szCs w:val="22"/>
        </w:rPr>
        <w:t xml:space="preserve">The application frontend dynamically generates UI forms and AI extraction targets based purely on the property's country code</w:t>
      </w:r>
    </w:p>
    <w:p>
      <w:pPr>
        <w:pStyle w:val="ListParagraph"/>
        <w:numPr>
          <w:ilvl w:val="0"/>
          <w:numId w:val="3"/>
        </w:numPr>
        <w:spacing w:after="80"/>
      </w:pPr>
      <w:r>
        <w:rPr>
          <w:rFonts w:ascii="Arial" w:cs="Arial" w:eastAsia="Arial" w:hAnsi="Arial"/>
          <w:color w:val="333333"/>
          <w:sz w:val="22"/>
          <w:szCs w:val="22"/>
        </w:rPr>
        <w:t xml:space="preserve">This achieves infinite extensibility: new regulatory fields can be added instantly without database downtime or complex migrations</w:t>
      </w:r>
    </w:p>
    <w:p>
      <w:pPr>
        <w:pStyle w:val="Heading2"/>
        <w:spacing w:before="300" w:after="150"/>
      </w:pPr>
      <w:r>
        <w:t xml:space="preserve">Data Residency and Region-Aware Routing</w:t>
      </w:r>
    </w:p>
    <w:p>
      <w:pPr>
        <w:spacing w:after="120"/>
      </w:pPr>
      <w:r>
        <w:rPr>
          <w:rFonts w:ascii="Arial" w:cs="Arial" w:eastAsia="Arial" w:hAnsi="Arial"/>
          <w:color w:val="333333"/>
          <w:sz w:val="22"/>
          <w:szCs w:val="22"/>
        </w:rPr>
        <w:t xml:space="preserve">Sensitive PII extracted from contracts must comply with regional data residency requirements. The system employs intelligent region-aware routing:</w:t>
      </w:r>
    </w:p>
    <w:p>
      <w:pPr>
        <w:pStyle w:val="ListParagraph"/>
        <w:numPr>
          <w:ilvl w:val="0"/>
          <w:numId w:val="3"/>
        </w:numPr>
        <w:spacing w:after="80"/>
      </w:pPr>
      <w:r>
        <w:rPr>
          <w:rFonts w:ascii="Arial" w:cs="Arial" w:eastAsia="Arial" w:hAnsi="Arial"/>
          <w:color w:val="333333"/>
          <w:sz w:val="22"/>
          <w:szCs w:val="22"/>
        </w:rPr>
        <w:t xml:space="preserve">Canadian citizen data stored exclusively in Canadian cloud instances (e.g., AWS ca-central-1) to satisfy PIPEDA and federal auditing standards</w:t>
      </w:r>
    </w:p>
    <w:p>
      <w:pPr>
        <w:pStyle w:val="ListParagraph"/>
        <w:numPr>
          <w:ilvl w:val="0"/>
          <w:numId w:val="3"/>
        </w:numPr>
        <w:spacing w:after="80"/>
      </w:pPr>
      <w:r>
        <w:rPr>
          <w:rFonts w:ascii="Arial" w:cs="Arial" w:eastAsia="Arial" w:hAnsi="Arial"/>
          <w:color w:val="333333"/>
          <w:sz w:val="22"/>
          <w:szCs w:val="22"/>
        </w:rPr>
        <w:t xml:space="preserve">Indian data subject to Data Protection Act requirements; storage in India-region instances</w:t>
      </w:r>
    </w:p>
    <w:p>
      <w:pPr>
        <w:pStyle w:val="ListParagraph"/>
        <w:numPr>
          <w:ilvl w:val="0"/>
          <w:numId w:val="3"/>
        </w:numPr>
        <w:spacing w:after="80"/>
      </w:pPr>
      <w:r>
        <w:rPr>
          <w:rFonts w:ascii="Arial" w:cs="Arial" w:eastAsia="Arial" w:hAnsi="Arial"/>
          <w:color w:val="333333"/>
          <w:sz w:val="22"/>
          <w:szCs w:val="22"/>
        </w:rPr>
        <w:t xml:space="preserve">US data compliant with state-level privacy regulations (CCPA for California residents, etc.)</w:t>
      </w:r>
    </w:p>
    <w:p>
      <w:pPr>
        <w:pStyle w:val="ListParagraph"/>
        <w:numPr>
          <w:ilvl w:val="0"/>
          <w:numId w:val="3"/>
        </w:numPr>
        <w:spacing w:after="80"/>
      </w:pPr>
      <w:r>
        <w:rPr>
          <w:rFonts w:ascii="Arial" w:cs="Arial" w:eastAsia="Arial" w:hAnsi="Arial"/>
          <w:color w:val="333333"/>
          <w:sz w:val="22"/>
          <w:szCs w:val="22"/>
        </w:rPr>
        <w:t xml:space="preserve">Documents stored in object storage (S3/R2) encrypted at rest (AES-256) and in transit (TLS 1.3)</w:t>
      </w:r>
    </w:p>
    <w:p>
      <w:pPr>
        <w:pStyle w:val="ListParagraph"/>
        <w:numPr>
          <w:ilvl w:val="0"/>
          <w:numId w:val="3"/>
        </w:numPr>
        <w:spacing w:after="80"/>
      </w:pPr>
      <w:r>
        <w:rPr>
          <w:rFonts w:ascii="Arial" w:cs="Arial" w:eastAsia="Arial" w:hAnsi="Arial"/>
          <w:color w:val="333333"/>
          <w:sz w:val="22"/>
          <w:szCs w:val="22"/>
        </w:rPr>
        <w:t xml:space="preserve">RBAC rigorously enforced on HITL review process; PII redaction/obfuscation ensures reviewers only access specific bounding box snippets, not full unredacted documents</w:t>
      </w:r>
    </w:p>
    <w:p>
      <w:r>
        <w:br w:type="page"/>
      </w:r>
    </w:p>
    <w:p>
      <w:pPr>
        <w:pStyle w:val="Heading1"/>
        <w:spacing w:before="300" w:after="150"/>
      </w:pPr>
      <w:r>
        <w:t xml:space="preserve">Core Database Entity Model</w:t>
      </w:r>
    </w:p>
    <w:p>
      <w:pPr>
        <w:spacing w:after="120"/>
      </w:pPr>
      <w:r>
        <w:rPr>
          <w:rFonts w:ascii="Arial" w:cs="Arial" w:eastAsia="Arial" w:hAnsi="Arial"/>
          <w:color w:val="333333"/>
          <w:sz w:val="22"/>
          <w:szCs w:val="22"/>
        </w:rPr>
        <w:t xml:space="preserve">The following entities form the backbone of the Upward data model. Each entity maps to the data fields defined in the functional requirements sections above. All entities include a compliance_metadata JSONB column for country-specific fields per the Dynamic Attributes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Partition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 many Units, Sales, Broker Assignments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Property; Has one Sale (active)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 many Sales, Payment Schedules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Property, Unit, Buyer; Has one Commission, one Payment Schedule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 +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 many Sales, Commissions; May belong to Broker Firm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Firm</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Has many Brokers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Config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Broker or Firm; Scoped to Property (optional)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broker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Sale, Broker; Has many Payments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sale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Payment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Commission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payment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Schedule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Sale, Buyer; Has many Installments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Payment Schedule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due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Fee Detail</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Unit; Stores fees, charges, and Schedule D % per unit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Closing Info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Unit/Sale; Credits, penalties, legal fees at closing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sale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Critical Dates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Unit/Sale; Milestone dates from contract to occupancy</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Lease Info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Unit; Lease rights, assignment rights, tenant details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unit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Event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Buyer, Sale, Installment; Tracks bounced payments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buyer +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Fine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NSF Event; Fine amount, status, payment, waiver details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NSF event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Configuration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Property (or global); Default fine rules and escalation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Sale; Linked to AI Extraction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upload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Extraction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Belongs to Document; Has many Field Extractions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Correction 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AI Extraction; Used for model training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Sync Log</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Polymorphic: links to Commission Payment or Installment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sync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Polymorphic: any entity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date + entity type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Inventory Property</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Read-only mirror from Yardi; Has many Inventory Units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country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Inventory Unit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Belongs to Inventory Property; Read-only mirror from Yardi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Sync Job</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Tracks each sync execution: status, records processed, errors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sync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Change 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Records delta changes per sync: field changed, old value, new value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sync date + 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Aggregation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Pre-computed daily/monthly rollups for KPIs, partner rankings, YoY data</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period + dimension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Configuration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User-specific: pinned widgets, default filters, saved views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 user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Scheduled Report</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User-configured: report type, filters, frequency, recipients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By user</w:t>
            </w:r>
          </w:p>
        </w:tc>
      </w:tr>
    </w:tbl>
    <w:p>
      <w:r>
        <w:br w:type="page"/>
      </w:r>
    </w:p>
    <w:p>
      <w:pPr>
        <w:pStyle w:val="Heading1"/>
        <w:spacing w:before="300" w:after="150"/>
      </w:pPr>
      <w:r>
        <w:t xml:space="preserve">API Design Guidelines</w:t>
      </w:r>
    </w:p>
    <w:p>
      <w:pPr>
        <w:spacing w:after="120"/>
      </w:pPr>
      <w:r>
        <w:rPr>
          <w:rFonts w:ascii="Arial" w:cs="Arial" w:eastAsia="Arial" w:hAnsi="Arial"/>
          <w:color w:val="333333"/>
          <w:sz w:val="22"/>
          <w:szCs w:val="22"/>
        </w:rPr>
        <w:t xml:space="preserve">All APIs follow RESTful conventions with consistent patterns across the platform.</w:t>
      </w:r>
    </w:p>
    <w:p>
      <w:pPr>
        <w:pStyle w:val="Heading2"/>
        <w:spacing w:before="300" w:after="150"/>
      </w:pPr>
      <w:r>
        <w:t xml:space="preserve">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 Pattern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/api/v1/properties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/api/v1/properties/{id}/units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/api/v1/buyers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/api/v1/sales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 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/api/v1/brokers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/api/v1/commissions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Payments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/api/v1/commissions/{id}/payments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Schedules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/api/v1/payment-schedules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/api/v1/payment-schedules/{id}/installments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Fees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/api/v1/units/{id}/fees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Closing Info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/api/v1/units/{id}/closing-info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Critical Dates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/api/v1/units/{id}/critical-dates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Lease Info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/api/v1/units/{id}/lease-info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Events (by Buyer)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/api/v1/buyers/{id}/nsf-events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Event Detail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/api/v1/nsf-events/{id}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PATCH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Fines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/api/v1/nsf-events/{id}/fine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PATCH (pay/waive)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Configuration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/api/v1/properties/{id}/nsf-config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PUT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Document Upload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/api/v1/ai/documents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 (upload), 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Extraction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/api/v1/ai/extractions/{id}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PATCH (review)</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Extraction Approval</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/api/v1/ai/extractions/{id}/approve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/api/v1/integrations/yardi/sync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(trigger), GET (status)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Properties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/api/v1/inventory/properties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(read-only)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Units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/api/v1/inventory/properties/{id}/units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(read-only, filterable)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Sync Trigger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/api/v1/inventory/sync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 (trigger), GET (status/history)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Change Log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/api/v1/inventory/changelog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(delta changes per sync)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KPIs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/api/v1/analytics/kpis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(filtered by date/property/country)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Sales Performance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/api/v1/analytics/sales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(charts data)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Inventory</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/api/v1/analytics/inventory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(inventory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Partners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/api/v1/analytics/partners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(top partners, rankings)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YoY Comparison</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/api/v1/analytics/yoy</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 (year-over-year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Financial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/api/v1/analytics/financial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(receivables, commissions)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Export</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/api/v1/analytics/export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POST (PDF/Excel/CSV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Scheduled Reports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/api/v1/analytics/scheduled-reports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POST, PUT, DELETE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/api/v1/reports/{type}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GET</w:t>
            </w:r>
          </w:p>
        </w:tc>
      </w:tr>
    </w:tbl>
    <w:p>
      <w:pPr>
        <w:pStyle w:val="Heading2"/>
        <w:spacing w:before="300" w:after="150"/>
      </w:pPr>
      <w:r>
        <w:t xml:space="preserve">API Standards</w:t>
      </w:r>
    </w:p>
    <w:p>
      <w:pPr>
        <w:pStyle w:val="ListParagraph"/>
        <w:numPr>
          <w:ilvl w:val="0"/>
          <w:numId w:val="3"/>
        </w:numPr>
        <w:spacing w:after="80"/>
      </w:pPr>
      <w:r>
        <w:rPr>
          <w:rFonts w:ascii="Arial" w:cs="Arial" w:eastAsia="Arial" w:hAnsi="Arial"/>
          <w:color w:val="333333"/>
          <w:sz w:val="22"/>
          <w:szCs w:val="22"/>
        </w:rPr>
        <w:t xml:space="preserve">All responses in JSON with consistent envelope: { success, data, error, meta }</w:t>
      </w:r>
    </w:p>
    <w:p>
      <w:pPr>
        <w:pStyle w:val="ListParagraph"/>
        <w:numPr>
          <w:ilvl w:val="0"/>
          <w:numId w:val="3"/>
        </w:numPr>
        <w:spacing w:after="80"/>
      </w:pPr>
      <w:r>
        <w:rPr>
          <w:rFonts w:ascii="Arial" w:cs="Arial" w:eastAsia="Arial" w:hAnsi="Arial"/>
          <w:color w:val="333333"/>
          <w:sz w:val="22"/>
          <w:szCs w:val="22"/>
        </w:rPr>
        <w:t xml:space="preserve">Pagination: cursor-based for large datasets, offset-based for admin screens</w:t>
      </w:r>
    </w:p>
    <w:p>
      <w:pPr>
        <w:pStyle w:val="ListParagraph"/>
        <w:numPr>
          <w:ilvl w:val="0"/>
          <w:numId w:val="3"/>
        </w:numPr>
        <w:spacing w:after="80"/>
      </w:pPr>
      <w:r>
        <w:rPr>
          <w:rFonts w:ascii="Arial" w:cs="Arial" w:eastAsia="Arial" w:hAnsi="Arial"/>
          <w:color w:val="333333"/>
          <w:sz w:val="22"/>
          <w:szCs w:val="22"/>
        </w:rPr>
        <w:t xml:space="preserve">Filtering: query parameters for date ranges, status, country, property</w:t>
      </w:r>
    </w:p>
    <w:p>
      <w:pPr>
        <w:pStyle w:val="ListParagraph"/>
        <w:numPr>
          <w:ilvl w:val="0"/>
          <w:numId w:val="3"/>
        </w:numPr>
        <w:spacing w:after="80"/>
      </w:pPr>
      <w:r>
        <w:rPr>
          <w:rFonts w:ascii="Arial" w:cs="Arial" w:eastAsia="Arial" w:hAnsi="Arial"/>
          <w:color w:val="333333"/>
          <w:sz w:val="22"/>
          <w:szCs w:val="22"/>
        </w:rPr>
        <w:t xml:space="preserve">Versioning: URI-based (/v1/, /v2/)</w:t>
      </w:r>
    </w:p>
    <w:p>
      <w:pPr>
        <w:pStyle w:val="ListParagraph"/>
        <w:numPr>
          <w:ilvl w:val="0"/>
          <w:numId w:val="3"/>
        </w:numPr>
        <w:spacing w:after="80"/>
      </w:pPr>
      <w:r>
        <w:rPr>
          <w:rFonts w:ascii="Arial" w:cs="Arial" w:eastAsia="Arial" w:hAnsi="Arial"/>
          <w:color w:val="333333"/>
          <w:sz w:val="22"/>
          <w:szCs w:val="22"/>
        </w:rPr>
        <w:t xml:space="preserve">Rate limiting: 1000 requests/minute per user; 100 requests/minute for AI endpoints</w:t>
      </w:r>
    </w:p>
    <w:p>
      <w:pPr>
        <w:pStyle w:val="ListParagraph"/>
        <w:numPr>
          <w:ilvl w:val="0"/>
          <w:numId w:val="3"/>
        </w:numPr>
        <w:spacing w:after="80"/>
      </w:pPr>
      <w:r>
        <w:rPr>
          <w:rFonts w:ascii="Arial" w:cs="Arial" w:eastAsia="Arial" w:hAnsi="Arial"/>
          <w:color w:val="333333"/>
          <w:sz w:val="22"/>
          <w:szCs w:val="22"/>
        </w:rPr>
        <w:t xml:space="preserve">Webhooks: configurable for sale creation, payment received, sync completion events</w:t>
      </w:r>
    </w:p>
    <w:p>
      <w:r>
        <w:br w:type="page"/>
      </w:r>
    </w:p>
    <w:p>
      <w:pPr>
        <w:pStyle w:val="Heading1"/>
        <w:spacing w:before="300" w:after="150"/>
      </w:pPr>
      <w:r>
        <w:t xml:space="preserve">Key UI Screens and Wireframe Descriptions</w:t>
      </w:r>
    </w:p>
    <w:p>
      <w:pPr>
        <w:spacing w:after="120"/>
      </w:pPr>
      <w:r>
        <w:rPr>
          <w:rFonts w:ascii="Arial" w:cs="Arial" w:eastAsia="Arial" w:hAnsi="Arial"/>
          <w:color w:val="333333"/>
          <w:sz w:val="22"/>
          <w:szCs w:val="22"/>
        </w:rPr>
        <w:t xml:space="preserve">The following screens represent the primary user interfaces in the Upward platform. These descriptions serve as requirements for the design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Overview of sales activity and KPIs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summary by property/country, revenue charts, pending approvals, AI processing queue, recent activity feed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List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Browse and manage properties</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Filterable list with status badges, unit count, sold/available ratio, country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Grid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all units in a property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Grid or floor-plan view, color-coded by status, quick-sale action, pricing details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 Recording Form</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Manual sale entry</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Multi-step form: select unit, enter buyer, broker, pricing, tax calc, document upload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Upload &amp; Extract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upload and AI processing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Drag-and-drop upload, processing status, queue position, batch upload support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Review Screen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Review AI-extracted data</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Split-screen: document viewer (left) + extracted form (right), confidence scores, field highlighting, approve/correct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Profile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Buyer detail view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 info, KYC status, purchase history, payment schedule summary, NSF risk badge, NSF history timeline, outstanding fines, documents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NSF History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event log and fine management</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Chronological NSF event list, fine status/payment tracking, resubmission status, risk indicator, export for collections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Detail 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Comprehensive unit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unit info tabs: General, Fees &amp; Charges, Closing Info, Critical Dates, Lease Info, Sale History, Documents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Profile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Broker detail view</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Contact/license info, commission config, sales history, payment history, performance metrics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and manage commissions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of pending/approved/paid commissions, bulk approve, create payment, filter by broker/property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Schedule View</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 installment tracking</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Timeline view of installments, NSF alert banner for flagged buyers, status indicators, record payment action, send reminder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 monitoring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Pending/synced/failed counts, sync history, retry controls, connection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Explorer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Browse synced Yardi inventory</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list with availability stats, unit-level grid view, status filters, search, floor heatmap, days-on-market indicators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Sync Monitor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inventory sync from Yardi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sync time per property, record counts, delta changes, error log, manual force-sync button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Analytics Dashboard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Executive real-time analytics</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KPI strip, sales trend charts, inventory overview, partner leaderboard, YoY comparison, financial summary; all interactive with drill-down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Partner Leaderboard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sales partner rankings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 5/10/All toggle, ranked table with revenue/units/commission, trend sparklines, comparison mode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YoY Comparison View</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Year-over-year analysis</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Dual-line charts, growth % tables, seasonal heatmap, cumulative pace tracker; configurable comparison year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 &amp; Scheduled Reports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 generation and scheduling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On-demand reports, scheduled email delivery config, export as PDF/Excel/CSV</w:t>
            </w:r>
          </w:p>
        </w:tc>
      </w:tr>
    </w:tbl>
    <w:p>
      <w:r>
        <w:br w:type="page"/>
      </w:r>
    </w:p>
    <w:p>
      <w:pPr>
        <w:pStyle w:val="Heading1"/>
        <w:spacing w:before="300" w:after="150"/>
      </w:pPr>
      <w:r>
        <w:t xml:space="preserve">Reporting Requirements</w:t>
      </w:r>
    </w:p>
    <w:p>
      <w:pPr>
        <w:pStyle w:val="Heading2"/>
        <w:spacing w:before="300" w:after="150"/>
      </w:pPr>
      <w:r>
        <w:t xml:space="preserve">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Report Name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Summary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units sold, revenue by period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property, country, broker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Sales Pipeline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by status (available, reserved, sold)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date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Commission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Commissions earned, paid, pending by broker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date range, property,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Receivables Aging</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Outstanding buyer payments by aging bucket</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buyer, aging bucket (30/60/90/120+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Payables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Outstanding broker payments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 date range,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Collection Efficiency</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Payment received vs due by period</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date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Performance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Extraction accuracy, corrections, processing 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document type, field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Compliance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KYC status, tax withholding, regulatory flags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 property,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 Sync Status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 success/failure rates, pending items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sync type,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Audit Trail</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All system actions with user attribution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range, user, action type, 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Status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 inventory snapshot: available, reserved, sold units by property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 property, unit type,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Aging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Units on market for 30+/60+/90+/180+ days without sale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country, days on market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Absorption Rate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 units sold as % of available inventory per property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country, date range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Top Partners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Ranked sales partners by revenue, units, commission; with trend data</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Date range, country, property, partner type (individual/firm)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 Sales Comparison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Side-by-side metrics for current vs. previous year(s)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Comparison year, country, property, granularity (monthly/quarterly)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Portfolio Valuation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Total inventory value, sold value, unsold value by property and country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Country, property, as-of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Velocity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 from listing to sale by property, unit type, price band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date range, unit type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Cash Flow Forecast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Projected inflows (buyer installments) vs outflows (commissions) for next 30/60/90 days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time horizon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 Events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NSF events by buyer, property, and period; includes fine amounts and resolution status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range, buyer, property, fine status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Risk Report</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Buyers flagged with high NSF frequency; escalation recommendations</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NSF count threshold, property, country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Outstanding NSF Fines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Unpaid fines aging report with buyer contact details for collections follow-up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Fine status, aging bucket, property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Unit Fees Summary</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Aggregate fees and charges by property; compares across units for pricing consistency</w:t>
            </w:r>
          </w:p>
        </w:tc>
        <w:tc>
          <w:tcPr>
            <w:tcW w:type="dxa" w:w="3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fee type, unit type</w:t>
            </w:r>
          </w:p>
        </w:tc>
      </w:tr>
    </w:tbl>
    <w:p>
      <w:pPr>
        <w:pStyle w:val="Heading2"/>
        <w:spacing w:before="300" w:after="150"/>
      </w:pPr>
      <w:r>
        <w:t xml:space="preserve">Export Formats</w:t>
      </w:r>
    </w:p>
    <w:p>
      <w:pPr>
        <w:pStyle w:val="ListParagraph"/>
        <w:numPr>
          <w:ilvl w:val="0"/>
          <w:numId w:val="3"/>
        </w:numPr>
        <w:spacing w:after="80"/>
      </w:pPr>
      <w:r>
        <w:rPr>
          <w:rFonts w:ascii="Arial" w:cs="Arial" w:eastAsia="Arial" w:hAnsi="Arial"/>
          <w:color w:val="333333"/>
          <w:sz w:val="22"/>
          <w:szCs w:val="22"/>
        </w:rPr>
        <w:t xml:space="preserve">PDF: Formatted reports with company branding</w:t>
      </w:r>
    </w:p>
    <w:p>
      <w:pPr>
        <w:pStyle w:val="ListParagraph"/>
        <w:numPr>
          <w:ilvl w:val="0"/>
          <w:numId w:val="3"/>
        </w:numPr>
        <w:spacing w:after="80"/>
      </w:pPr>
      <w:r>
        <w:rPr>
          <w:rFonts w:ascii="Arial" w:cs="Arial" w:eastAsia="Arial" w:hAnsi="Arial"/>
          <w:color w:val="333333"/>
          <w:sz w:val="22"/>
          <w:szCs w:val="22"/>
        </w:rPr>
        <w:t xml:space="preserve">Excel (XLSX): Data exports with filters and pivot-ready formatting</w:t>
      </w:r>
    </w:p>
    <w:p>
      <w:pPr>
        <w:pStyle w:val="ListParagraph"/>
        <w:numPr>
          <w:ilvl w:val="0"/>
          <w:numId w:val="3"/>
        </w:numPr>
        <w:spacing w:after="80"/>
      </w:pPr>
      <w:r>
        <w:rPr>
          <w:rFonts w:ascii="Arial" w:cs="Arial" w:eastAsia="Arial" w:hAnsi="Arial"/>
          <w:color w:val="333333"/>
          <w:sz w:val="22"/>
          <w:szCs w:val="22"/>
        </w:rPr>
        <w:t xml:space="preserve">CSV: Raw data exports for custom analysis</w:t>
      </w:r>
    </w:p>
    <w:p>
      <w:r>
        <w:br w:type="page"/>
      </w:r>
    </w:p>
    <w:p>
      <w:pPr>
        <w:pStyle w:val="Heading1"/>
        <w:spacing w:before="300" w:after="150"/>
      </w:pPr>
      <w:r>
        <w:t xml:space="preserve">Project Phases and Milestones</w:t>
      </w:r>
    </w:p>
    <w:p>
      <w:pPr>
        <w:pStyle w:val="Heading2"/>
        <w:spacing w:before="300" w:after="150"/>
      </w:pPr>
      <w:r>
        <w:t xml:space="preserve">Phase 1: Foundation (Weeks 1–8)</w:t>
      </w:r>
    </w:p>
    <w:p>
      <w:pPr>
        <w:pStyle w:val="ListParagraph"/>
        <w:numPr>
          <w:ilvl w:val="0"/>
          <w:numId w:val="3"/>
        </w:numPr>
        <w:spacing w:after="80"/>
      </w:pPr>
      <w:r>
        <w:rPr>
          <w:rFonts w:ascii="Arial" w:cs="Arial" w:eastAsia="Arial" w:hAnsi="Arial"/>
          <w:color w:val="333333"/>
          <w:sz w:val="22"/>
          <w:szCs w:val="22"/>
        </w:rPr>
        <w:t xml:space="preserve">Project setup: repository, CI/CD, cloud infrastructure, database schema</w:t>
      </w:r>
    </w:p>
    <w:p>
      <w:pPr>
        <w:pStyle w:val="ListParagraph"/>
        <w:numPr>
          <w:ilvl w:val="0"/>
          <w:numId w:val="3"/>
        </w:numPr>
        <w:spacing w:after="80"/>
      </w:pPr>
      <w:r>
        <w:rPr>
          <w:rFonts w:ascii="Arial" w:cs="Arial" w:eastAsia="Arial" w:hAnsi="Arial"/>
          <w:color w:val="333333"/>
          <w:sz w:val="22"/>
          <w:szCs w:val="22"/>
        </w:rPr>
        <w:t xml:space="preserve">Authentication and RBAC implementation</w:t>
      </w:r>
    </w:p>
    <w:p>
      <w:pPr>
        <w:pStyle w:val="ListParagraph"/>
        <w:numPr>
          <w:ilvl w:val="0"/>
          <w:numId w:val="3"/>
        </w:numPr>
        <w:spacing w:after="80"/>
      </w:pPr>
      <w:r>
        <w:rPr>
          <w:rFonts w:ascii="Arial" w:cs="Arial" w:eastAsia="Arial" w:hAnsi="Arial"/>
          <w:color w:val="333333"/>
          <w:sz w:val="22"/>
          <w:szCs w:val="22"/>
        </w:rPr>
        <w:t xml:space="preserve">Property and Unit management module</w:t>
      </w:r>
    </w:p>
    <w:p>
      <w:pPr>
        <w:pStyle w:val="ListParagraph"/>
        <w:numPr>
          <w:ilvl w:val="0"/>
          <w:numId w:val="3"/>
        </w:numPr>
        <w:spacing w:after="80"/>
      </w:pPr>
      <w:r>
        <w:rPr>
          <w:rFonts w:ascii="Arial" w:cs="Arial" w:eastAsia="Arial" w:hAnsi="Arial"/>
          <w:color w:val="333333"/>
          <w:sz w:val="22"/>
          <w:szCs w:val="22"/>
        </w:rPr>
        <w:t xml:space="preserve">Buyer management module with KYC</w:t>
      </w:r>
    </w:p>
    <w:p>
      <w:pPr>
        <w:pStyle w:val="ListParagraph"/>
        <w:numPr>
          <w:ilvl w:val="0"/>
          <w:numId w:val="3"/>
        </w:numPr>
        <w:spacing w:after="80"/>
      </w:pPr>
      <w:r>
        <w:rPr>
          <w:rFonts w:ascii="Arial" w:cs="Arial" w:eastAsia="Arial" w:hAnsi="Arial"/>
          <w:color w:val="333333"/>
          <w:sz w:val="22"/>
          <w:szCs w:val="22"/>
        </w:rPr>
        <w:t xml:space="preserve">Country-specific compliance rules engine (USA, Canada, India)</w:t>
      </w:r>
    </w:p>
    <w:p>
      <w:pPr>
        <w:pStyle w:val="Heading2"/>
        <w:spacing w:before="300" w:after="150"/>
      </w:pPr>
      <w:r>
        <w:t xml:space="preserve">Phase 2: Sales and Brokers (Weeks 9–16)</w:t>
      </w:r>
    </w:p>
    <w:p>
      <w:pPr>
        <w:pStyle w:val="ListParagraph"/>
        <w:numPr>
          <w:ilvl w:val="0"/>
          <w:numId w:val="3"/>
        </w:numPr>
        <w:spacing w:after="80"/>
      </w:pPr>
      <w:r>
        <w:rPr>
          <w:rFonts w:ascii="Arial" w:cs="Arial" w:eastAsia="Arial" w:hAnsi="Arial"/>
          <w:color w:val="333333"/>
          <w:sz w:val="22"/>
          <w:szCs w:val="22"/>
        </w:rPr>
        <w:t xml:space="preserve">Sale transaction recording (manual entry)</w:t>
      </w:r>
    </w:p>
    <w:p>
      <w:pPr>
        <w:pStyle w:val="ListParagraph"/>
        <w:numPr>
          <w:ilvl w:val="0"/>
          <w:numId w:val="3"/>
        </w:numPr>
        <w:spacing w:after="80"/>
      </w:pPr>
      <w:r>
        <w:rPr>
          <w:rFonts w:ascii="Arial" w:cs="Arial" w:eastAsia="Arial" w:hAnsi="Arial"/>
          <w:color w:val="333333"/>
          <w:sz w:val="22"/>
          <w:szCs w:val="22"/>
        </w:rPr>
        <w:t xml:space="preserve">Broker and broker firm management</w:t>
      </w:r>
    </w:p>
    <w:p>
      <w:pPr>
        <w:pStyle w:val="ListParagraph"/>
        <w:numPr>
          <w:ilvl w:val="0"/>
          <w:numId w:val="3"/>
        </w:numPr>
        <w:spacing w:after="80"/>
      </w:pPr>
      <w:r>
        <w:rPr>
          <w:rFonts w:ascii="Arial" w:cs="Arial" w:eastAsia="Arial" w:hAnsi="Arial"/>
          <w:color w:val="333333"/>
          <w:sz w:val="22"/>
          <w:szCs w:val="22"/>
        </w:rPr>
        <w:t xml:space="preserve">Commission configuration and calculation engine</w:t>
      </w:r>
    </w:p>
    <w:p>
      <w:pPr>
        <w:pStyle w:val="ListParagraph"/>
        <w:numPr>
          <w:ilvl w:val="0"/>
          <w:numId w:val="3"/>
        </w:numPr>
        <w:spacing w:after="80"/>
      </w:pPr>
      <w:r>
        <w:rPr>
          <w:rFonts w:ascii="Arial" w:cs="Arial" w:eastAsia="Arial" w:hAnsi="Arial"/>
          <w:color w:val="333333"/>
          <w:sz w:val="22"/>
          <w:szCs w:val="22"/>
        </w:rPr>
        <w:t xml:space="preserve">Commission payable creation and approval workflow</w:t>
      </w:r>
    </w:p>
    <w:p>
      <w:pPr>
        <w:pStyle w:val="Heading2"/>
        <w:spacing w:before="300" w:after="150"/>
      </w:pPr>
      <w:r>
        <w:t xml:space="preserve">Phase 3: Payments (Weeks 17–22)</w:t>
      </w:r>
    </w:p>
    <w:p>
      <w:pPr>
        <w:pStyle w:val="ListParagraph"/>
        <w:numPr>
          <w:ilvl w:val="0"/>
          <w:numId w:val="3"/>
        </w:numPr>
        <w:spacing w:after="80"/>
      </w:pPr>
      <w:r>
        <w:rPr>
          <w:rFonts w:ascii="Arial" w:cs="Arial" w:eastAsia="Arial" w:hAnsi="Arial"/>
          <w:color w:val="333333"/>
          <w:sz w:val="22"/>
          <w:szCs w:val="22"/>
        </w:rPr>
        <w:t xml:space="preserve">Buyer payment schedule generation</w:t>
      </w:r>
    </w:p>
    <w:p>
      <w:pPr>
        <w:pStyle w:val="ListParagraph"/>
        <w:numPr>
          <w:ilvl w:val="0"/>
          <w:numId w:val="3"/>
        </w:numPr>
        <w:spacing w:after="80"/>
      </w:pPr>
      <w:r>
        <w:rPr>
          <w:rFonts w:ascii="Arial" w:cs="Arial" w:eastAsia="Arial" w:hAnsi="Arial"/>
          <w:color w:val="333333"/>
          <w:sz w:val="22"/>
          <w:szCs w:val="22"/>
        </w:rPr>
        <w:t xml:space="preserve">Installment tracking and recording</w:t>
      </w:r>
    </w:p>
    <w:p>
      <w:pPr>
        <w:pStyle w:val="ListParagraph"/>
        <w:numPr>
          <w:ilvl w:val="0"/>
          <w:numId w:val="3"/>
        </w:numPr>
        <w:spacing w:after="80"/>
      </w:pPr>
      <w:r>
        <w:rPr>
          <w:rFonts w:ascii="Arial" w:cs="Arial" w:eastAsia="Arial" w:hAnsi="Arial"/>
          <w:color w:val="333333"/>
          <w:sz w:val="22"/>
          <w:szCs w:val="22"/>
        </w:rPr>
        <w:t xml:space="preserve">Broker commission payment processing</w:t>
      </w:r>
    </w:p>
    <w:p>
      <w:pPr>
        <w:pStyle w:val="ListParagraph"/>
        <w:numPr>
          <w:ilvl w:val="0"/>
          <w:numId w:val="3"/>
        </w:numPr>
        <w:spacing w:after="80"/>
      </w:pPr>
      <w:r>
        <w:rPr>
          <w:rFonts w:ascii="Arial" w:cs="Arial" w:eastAsia="Arial" w:hAnsi="Arial"/>
          <w:color w:val="333333"/>
          <w:sz w:val="22"/>
          <w:szCs w:val="22"/>
        </w:rPr>
        <w:t xml:space="preserve">Payment dashboards and notifications</w:t>
      </w:r>
    </w:p>
    <w:p>
      <w:pPr>
        <w:pStyle w:val="Heading2"/>
        <w:spacing w:before="300" w:after="150"/>
      </w:pPr>
      <w:r>
        <w:t xml:space="preserve">Phase 4: AI Engine (Weeks 23–34)</w:t>
      </w:r>
    </w:p>
    <w:p>
      <w:pPr>
        <w:pStyle w:val="ListParagraph"/>
        <w:numPr>
          <w:ilvl w:val="0"/>
          <w:numId w:val="3"/>
        </w:numPr>
        <w:spacing w:after="80"/>
      </w:pPr>
      <w:r>
        <w:rPr>
          <w:rFonts w:ascii="Arial" w:cs="Arial" w:eastAsia="Arial" w:hAnsi="Arial"/>
          <w:color w:val="333333"/>
          <w:sz w:val="22"/>
          <w:szCs w:val="22"/>
        </w:rPr>
        <w:t xml:space="preserve">OCR pipeline integration (Textract / Document AI)</w:t>
      </w:r>
    </w:p>
    <w:p>
      <w:pPr>
        <w:pStyle w:val="ListParagraph"/>
        <w:numPr>
          <w:ilvl w:val="0"/>
          <w:numId w:val="3"/>
        </w:numPr>
        <w:spacing w:after="80"/>
      </w:pPr>
      <w:r>
        <w:rPr>
          <w:rFonts w:ascii="Arial" w:cs="Arial" w:eastAsia="Arial" w:hAnsi="Arial"/>
          <w:color w:val="333333"/>
          <w:sz w:val="22"/>
          <w:szCs w:val="22"/>
        </w:rPr>
        <w:t xml:space="preserve">LLM-based field extraction engine</w:t>
      </w:r>
    </w:p>
    <w:p>
      <w:pPr>
        <w:pStyle w:val="ListParagraph"/>
        <w:numPr>
          <w:ilvl w:val="0"/>
          <w:numId w:val="3"/>
        </w:numPr>
        <w:spacing w:after="80"/>
      </w:pPr>
      <w:r>
        <w:rPr>
          <w:rFonts w:ascii="Arial" w:cs="Arial" w:eastAsia="Arial" w:hAnsi="Arial"/>
          <w:color w:val="333333"/>
          <w:sz w:val="22"/>
          <w:szCs w:val="22"/>
        </w:rPr>
        <w:t xml:space="preserve">AI review interface (split-screen)</w:t>
      </w:r>
    </w:p>
    <w:p>
      <w:pPr>
        <w:pStyle w:val="ListParagraph"/>
        <w:numPr>
          <w:ilvl w:val="0"/>
          <w:numId w:val="3"/>
        </w:numPr>
        <w:spacing w:after="80"/>
      </w:pPr>
      <w:r>
        <w:rPr>
          <w:rFonts w:ascii="Arial" w:cs="Arial" w:eastAsia="Arial" w:hAnsi="Arial"/>
          <w:color w:val="333333"/>
          <w:sz w:val="22"/>
          <w:szCs w:val="22"/>
        </w:rPr>
        <w:t xml:space="preserve">Automated commission payable generation from AI extraction</w:t>
      </w:r>
    </w:p>
    <w:p>
      <w:pPr>
        <w:pStyle w:val="ListParagraph"/>
        <w:numPr>
          <w:ilvl w:val="0"/>
          <w:numId w:val="3"/>
        </w:numPr>
        <w:spacing w:after="80"/>
      </w:pPr>
      <w:r>
        <w:rPr>
          <w:rFonts w:ascii="Arial" w:cs="Arial" w:eastAsia="Arial" w:hAnsi="Arial"/>
          <w:color w:val="333333"/>
          <w:sz w:val="22"/>
          <w:szCs w:val="22"/>
        </w:rPr>
        <w:t xml:space="preserve">Automated payment schedule generation from AI extraction</w:t>
      </w:r>
    </w:p>
    <w:p>
      <w:pPr>
        <w:pStyle w:val="ListParagraph"/>
        <w:numPr>
          <w:ilvl w:val="0"/>
          <w:numId w:val="3"/>
        </w:numPr>
        <w:spacing w:after="80"/>
      </w:pPr>
      <w:r>
        <w:rPr>
          <w:rFonts w:ascii="Arial" w:cs="Arial" w:eastAsia="Arial" w:hAnsi="Arial"/>
          <w:color w:val="333333"/>
          <w:sz w:val="22"/>
          <w:szCs w:val="22"/>
        </w:rPr>
        <w:t xml:space="preserve">Self-learning feedback loop and correction logging</w:t>
      </w:r>
    </w:p>
    <w:p>
      <w:pPr>
        <w:pStyle w:val="ListParagraph"/>
        <w:numPr>
          <w:ilvl w:val="0"/>
          <w:numId w:val="3"/>
        </w:numPr>
        <w:spacing w:after="80"/>
      </w:pPr>
      <w:r>
        <w:rPr>
          <w:rFonts w:ascii="Arial" w:cs="Arial" w:eastAsia="Arial" w:hAnsi="Arial"/>
          <w:color w:val="333333"/>
          <w:sz w:val="22"/>
          <w:szCs w:val="22"/>
        </w:rPr>
        <w:t xml:space="preserve">Model training pipeline and versioning</w:t>
      </w:r>
    </w:p>
    <w:p>
      <w:pPr>
        <w:pStyle w:val="ListParagraph"/>
        <w:numPr>
          <w:ilvl w:val="0"/>
          <w:numId w:val="3"/>
        </w:numPr>
        <w:spacing w:after="80"/>
      </w:pPr>
      <w:r>
        <w:rPr>
          <w:rFonts w:ascii="Arial" w:cs="Arial" w:eastAsia="Arial" w:hAnsi="Arial"/>
          <w:color w:val="333333"/>
          <w:sz w:val="22"/>
          <w:szCs w:val="22"/>
        </w:rPr>
        <w:t xml:space="preserve">AI accuracy dashboard and metrics</w:t>
      </w:r>
    </w:p>
    <w:p>
      <w:pPr>
        <w:pStyle w:val="Heading2"/>
        <w:spacing w:before="300" w:after="150"/>
      </w:pPr>
      <w:r>
        <w:t xml:space="preserve">Phase 5: Yardi Integration and Inventory Sync (Weeks 35–42)</w:t>
      </w:r>
    </w:p>
    <w:p>
      <w:pPr>
        <w:pStyle w:val="ListParagraph"/>
        <w:numPr>
          <w:ilvl w:val="0"/>
          <w:numId w:val="3"/>
        </w:numPr>
        <w:spacing w:after="80"/>
      </w:pPr>
      <w:r>
        <w:rPr>
          <w:rFonts w:ascii="Arial" w:cs="Arial" w:eastAsia="Arial" w:hAnsi="Arial"/>
          <w:color w:val="333333"/>
          <w:sz w:val="22"/>
          <w:szCs w:val="22"/>
        </w:rPr>
        <w:t xml:space="preserve">Yardi payables and receivables integration development and testing</w:t>
      </w:r>
    </w:p>
    <w:p>
      <w:pPr>
        <w:pStyle w:val="ListParagraph"/>
        <w:numPr>
          <w:ilvl w:val="0"/>
          <w:numId w:val="3"/>
        </w:numPr>
        <w:spacing w:after="80"/>
      </w:pPr>
      <w:r>
        <w:rPr>
          <w:rFonts w:ascii="Arial" w:cs="Arial" w:eastAsia="Arial" w:hAnsi="Arial"/>
          <w:color w:val="333333"/>
          <w:sz w:val="22"/>
          <w:szCs w:val="22"/>
        </w:rPr>
        <w:t xml:space="preserve">Yardi inventory sync pipeline: API connector, data mapping, incremental sync</w:t>
      </w:r>
    </w:p>
    <w:p>
      <w:pPr>
        <w:pStyle w:val="ListParagraph"/>
        <w:numPr>
          <w:ilvl w:val="0"/>
          <w:numId w:val="3"/>
        </w:numPr>
        <w:spacing w:after="80"/>
      </w:pPr>
      <w:r>
        <w:rPr>
          <w:rFonts w:ascii="Arial" w:cs="Arial" w:eastAsia="Arial" w:hAnsi="Arial"/>
          <w:color w:val="333333"/>
          <w:sz w:val="22"/>
          <w:szCs w:val="22"/>
        </w:rPr>
        <w:t xml:space="preserve">Inventory data model and read-only mirror with change tracking</w:t>
      </w:r>
    </w:p>
    <w:p>
      <w:pPr>
        <w:pStyle w:val="ListParagraph"/>
        <w:numPr>
          <w:ilvl w:val="0"/>
          <w:numId w:val="3"/>
        </w:numPr>
        <w:spacing w:after="80"/>
      </w:pPr>
      <w:r>
        <w:rPr>
          <w:rFonts w:ascii="Arial" w:cs="Arial" w:eastAsia="Arial" w:hAnsi="Arial"/>
          <w:color w:val="333333"/>
          <w:sz w:val="22"/>
          <w:szCs w:val="22"/>
        </w:rPr>
        <w:t xml:space="preserve">Inventory sync monitoring dashboard and error handling</w:t>
      </w:r>
    </w:p>
    <w:p>
      <w:pPr>
        <w:pStyle w:val="ListParagraph"/>
        <w:numPr>
          <w:ilvl w:val="0"/>
          <w:numId w:val="3"/>
        </w:numPr>
        <w:spacing w:after="80"/>
      </w:pPr>
      <w:r>
        <w:rPr>
          <w:rFonts w:ascii="Arial" w:cs="Arial" w:eastAsia="Arial" w:hAnsi="Arial"/>
          <w:color w:val="333333"/>
          <w:sz w:val="22"/>
          <w:szCs w:val="22"/>
        </w:rPr>
        <w:t xml:space="preserve">Sync scheduling, force-sync, and alert configuration</w:t>
      </w:r>
    </w:p>
    <w:p>
      <w:pPr>
        <w:pStyle w:val="ListParagraph"/>
        <w:numPr>
          <w:ilvl w:val="0"/>
          <w:numId w:val="3"/>
        </w:numPr>
        <w:spacing w:after="80"/>
      </w:pPr>
      <w:r>
        <w:rPr>
          <w:rFonts w:ascii="Arial" w:cs="Arial" w:eastAsia="Arial" w:hAnsi="Arial"/>
          <w:color w:val="333333"/>
          <w:sz w:val="22"/>
          <w:szCs w:val="22"/>
        </w:rPr>
        <w:t xml:space="preserve">UAT with live Yardi environments across all three countries</w:t>
      </w:r>
    </w:p>
    <w:p>
      <w:pPr>
        <w:pStyle w:val="Heading2"/>
        <w:spacing w:before="300" w:after="150"/>
      </w:pPr>
      <w:r>
        <w:t xml:space="preserve">Phase 6: Analytics Dashboard (Weeks 43–50)</w:t>
      </w:r>
    </w:p>
    <w:p>
      <w:pPr>
        <w:pStyle w:val="ListParagraph"/>
        <w:numPr>
          <w:ilvl w:val="0"/>
          <w:numId w:val="3"/>
        </w:numPr>
        <w:spacing w:after="80"/>
      </w:pPr>
      <w:r>
        <w:rPr>
          <w:rFonts w:ascii="Arial" w:cs="Arial" w:eastAsia="Arial" w:hAnsi="Arial"/>
          <w:color w:val="333333"/>
          <w:sz w:val="22"/>
          <w:szCs w:val="22"/>
        </w:rPr>
        <w:t xml:space="preserve">Analytics data warehouse setup (materialized views or ClickHouse)</w:t>
      </w:r>
    </w:p>
    <w:p>
      <w:pPr>
        <w:pStyle w:val="ListParagraph"/>
        <w:numPr>
          <w:ilvl w:val="0"/>
          <w:numId w:val="3"/>
        </w:numPr>
        <w:spacing w:after="80"/>
      </w:pPr>
      <w:r>
        <w:rPr>
          <w:rFonts w:ascii="Arial" w:cs="Arial" w:eastAsia="Arial" w:hAnsi="Arial"/>
          <w:color w:val="333333"/>
          <w:sz w:val="22"/>
          <w:szCs w:val="22"/>
        </w:rPr>
        <w:t xml:space="preserve">Pre-computed aggregation pipeline (daily/hourly rollups)</w:t>
      </w:r>
    </w:p>
    <w:p>
      <w:pPr>
        <w:pStyle w:val="ListParagraph"/>
        <w:numPr>
          <w:ilvl w:val="0"/>
          <w:numId w:val="3"/>
        </w:numPr>
        <w:spacing w:after="80"/>
      </w:pPr>
      <w:r>
        <w:rPr>
          <w:rFonts w:ascii="Arial" w:cs="Arial" w:eastAsia="Arial" w:hAnsi="Arial"/>
          <w:color w:val="333333"/>
          <w:sz w:val="22"/>
          <w:szCs w:val="22"/>
        </w:rPr>
        <w:t xml:space="preserve">Executive KPI dashboard with real-time refresh</w:t>
      </w:r>
    </w:p>
    <w:p>
      <w:pPr>
        <w:pStyle w:val="ListParagraph"/>
        <w:numPr>
          <w:ilvl w:val="0"/>
          <w:numId w:val="3"/>
        </w:numPr>
        <w:spacing w:after="80"/>
      </w:pPr>
      <w:r>
        <w:rPr>
          <w:rFonts w:ascii="Arial" w:cs="Arial" w:eastAsia="Arial" w:hAnsi="Arial"/>
          <w:color w:val="333333"/>
          <w:sz w:val="22"/>
          <w:szCs w:val="22"/>
        </w:rPr>
        <w:t xml:space="preserve">Sales performance analytics charts (trend lines, velocity, pipeline funnel, price analysis)</w:t>
      </w:r>
    </w:p>
    <w:p>
      <w:pPr>
        <w:pStyle w:val="ListParagraph"/>
        <w:numPr>
          <w:ilvl w:val="0"/>
          <w:numId w:val="3"/>
        </w:numPr>
        <w:spacing w:after="80"/>
      </w:pPr>
      <w:r>
        <w:rPr>
          <w:rFonts w:ascii="Arial" w:cs="Arial" w:eastAsia="Arial" w:hAnsi="Arial"/>
          <w:color w:val="333333"/>
          <w:sz w:val="22"/>
          <w:szCs w:val="22"/>
        </w:rPr>
        <w:t xml:space="preserve">Inventory analytics (portfolio overview, aging, floor heatmaps, forecast)</w:t>
      </w:r>
    </w:p>
    <w:p>
      <w:pPr>
        <w:pStyle w:val="ListParagraph"/>
        <w:numPr>
          <w:ilvl w:val="0"/>
          <w:numId w:val="3"/>
        </w:numPr>
        <w:spacing w:after="80"/>
      </w:pPr>
      <w:r>
        <w:rPr>
          <w:rFonts w:ascii="Arial" w:cs="Arial" w:eastAsia="Arial" w:hAnsi="Arial"/>
          <w:color w:val="333333"/>
          <w:sz w:val="22"/>
          <w:szCs w:val="22"/>
        </w:rPr>
        <w:t xml:space="preserve">Top sales partner leaderboard and partner comparison tools</w:t>
      </w:r>
    </w:p>
    <w:p>
      <w:pPr>
        <w:pStyle w:val="ListParagraph"/>
        <w:numPr>
          <w:ilvl w:val="0"/>
          <w:numId w:val="3"/>
        </w:numPr>
        <w:spacing w:after="80"/>
      </w:pPr>
      <w:r>
        <w:rPr>
          <w:rFonts w:ascii="Arial" w:cs="Arial" w:eastAsia="Arial" w:hAnsi="Arial"/>
          <w:color w:val="333333"/>
          <w:sz w:val="22"/>
          <w:szCs w:val="22"/>
        </w:rPr>
        <w:t xml:space="preserve">Year-over-year comparison module (revenue, units, pricing, seasonal patterns, cumulative curves)</w:t>
      </w:r>
    </w:p>
    <w:p>
      <w:pPr>
        <w:pStyle w:val="ListParagraph"/>
        <w:numPr>
          <w:ilvl w:val="0"/>
          <w:numId w:val="3"/>
        </w:numPr>
        <w:spacing w:after="80"/>
      </w:pPr>
      <w:r>
        <w:rPr>
          <w:rFonts w:ascii="Arial" w:cs="Arial" w:eastAsia="Arial" w:hAnsi="Arial"/>
          <w:color w:val="333333"/>
          <w:sz w:val="22"/>
          <w:szCs w:val="22"/>
        </w:rPr>
        <w:t xml:space="preserve">Financial overview dashboard (receivables aging, commission cost ratio, cash flow projection)</w:t>
      </w:r>
    </w:p>
    <w:p>
      <w:pPr>
        <w:pStyle w:val="ListParagraph"/>
        <w:numPr>
          <w:ilvl w:val="0"/>
          <w:numId w:val="3"/>
        </w:numPr>
        <w:spacing w:after="80"/>
      </w:pPr>
      <w:r>
        <w:rPr>
          <w:rFonts w:ascii="Arial" w:cs="Arial" w:eastAsia="Arial" w:hAnsi="Arial"/>
          <w:color w:val="333333"/>
          <w:sz w:val="22"/>
          <w:szCs w:val="22"/>
        </w:rPr>
        <w:t xml:space="preserve">Dashboard personalization: pinned widgets, saved filters, scheduled email reports</w:t>
      </w:r>
    </w:p>
    <w:p>
      <w:pPr>
        <w:pStyle w:val="ListParagraph"/>
        <w:numPr>
          <w:ilvl w:val="0"/>
          <w:numId w:val="3"/>
        </w:numPr>
        <w:spacing w:after="80"/>
      </w:pPr>
      <w:r>
        <w:rPr>
          <w:rFonts w:ascii="Arial" w:cs="Arial" w:eastAsia="Arial" w:hAnsi="Arial"/>
          <w:color w:val="333333"/>
          <w:sz w:val="22"/>
          <w:szCs w:val="22"/>
        </w:rPr>
        <w:t xml:space="preserve">Export engine: PDF, Excel, CSV, and PNG chart exports</w:t>
      </w:r>
    </w:p>
    <w:p>
      <w:pPr>
        <w:pStyle w:val="Heading2"/>
        <w:spacing w:before="300" w:after="150"/>
      </w:pPr>
      <w:r>
        <w:t xml:space="preserve">Phase 7: Testing, Optimization, and Launch (Weeks 51–56)</w:t>
      </w:r>
    </w:p>
    <w:p>
      <w:pPr>
        <w:pStyle w:val="ListParagraph"/>
        <w:numPr>
          <w:ilvl w:val="0"/>
          <w:numId w:val="3"/>
        </w:numPr>
        <w:spacing w:after="80"/>
      </w:pPr>
      <w:r>
        <w:rPr>
          <w:rFonts w:ascii="Arial" w:cs="Arial" w:eastAsia="Arial" w:hAnsi="Arial"/>
          <w:color w:val="333333"/>
          <w:sz w:val="22"/>
          <w:szCs w:val="22"/>
        </w:rPr>
        <w:t xml:space="preserve">End-to-end integration testing across all modules</w:t>
      </w:r>
    </w:p>
    <w:p>
      <w:pPr>
        <w:pStyle w:val="ListParagraph"/>
        <w:numPr>
          <w:ilvl w:val="0"/>
          <w:numId w:val="3"/>
        </w:numPr>
        <w:spacing w:after="80"/>
      </w:pPr>
      <w:r>
        <w:rPr>
          <w:rFonts w:ascii="Arial" w:cs="Arial" w:eastAsia="Arial" w:hAnsi="Arial"/>
          <w:color w:val="333333"/>
          <w:sz w:val="22"/>
          <w:szCs w:val="22"/>
        </w:rPr>
        <w:t xml:space="preserve">Reporting module finalization and cross-country validation</w:t>
      </w:r>
    </w:p>
    <w:p>
      <w:pPr>
        <w:pStyle w:val="ListParagraph"/>
        <w:numPr>
          <w:ilvl w:val="0"/>
          <w:numId w:val="3"/>
        </w:numPr>
        <w:spacing w:after="80"/>
      </w:pPr>
      <w:r>
        <w:rPr>
          <w:rFonts w:ascii="Arial" w:cs="Arial" w:eastAsia="Arial" w:hAnsi="Arial"/>
          <w:color w:val="333333"/>
          <w:sz w:val="22"/>
          <w:szCs w:val="22"/>
        </w:rPr>
        <w:t xml:space="preserve">Performance optimization and load testing (analytics queries, sync pipelines)</w:t>
      </w:r>
    </w:p>
    <w:p>
      <w:pPr>
        <w:pStyle w:val="ListParagraph"/>
        <w:numPr>
          <w:ilvl w:val="0"/>
          <w:numId w:val="3"/>
        </w:numPr>
        <w:spacing w:after="80"/>
      </w:pPr>
      <w:r>
        <w:rPr>
          <w:rFonts w:ascii="Arial" w:cs="Arial" w:eastAsia="Arial" w:hAnsi="Arial"/>
          <w:color w:val="333333"/>
          <w:sz w:val="22"/>
          <w:szCs w:val="22"/>
        </w:rPr>
        <w:t xml:space="preserve">Security audit and penetration testing</w:t>
      </w:r>
    </w:p>
    <w:p>
      <w:pPr>
        <w:pStyle w:val="ListParagraph"/>
        <w:numPr>
          <w:ilvl w:val="0"/>
          <w:numId w:val="3"/>
        </w:numPr>
        <w:spacing w:after="80"/>
      </w:pPr>
      <w:r>
        <w:rPr>
          <w:rFonts w:ascii="Arial" w:cs="Arial" w:eastAsia="Arial" w:hAnsi="Arial"/>
          <w:color w:val="333333"/>
          <w:sz w:val="22"/>
          <w:szCs w:val="22"/>
        </w:rPr>
        <w:t xml:space="preserve">UAT with real documents and live data from all three countries</w:t>
      </w:r>
    </w:p>
    <w:p>
      <w:pPr>
        <w:pStyle w:val="ListParagraph"/>
        <w:numPr>
          <w:ilvl w:val="0"/>
          <w:numId w:val="3"/>
        </w:numPr>
        <w:spacing w:after="80"/>
      </w:pPr>
      <w:r>
        <w:rPr>
          <w:rFonts w:ascii="Arial" w:cs="Arial" w:eastAsia="Arial" w:hAnsi="Arial"/>
          <w:color w:val="333333"/>
          <w:sz w:val="22"/>
          <w:szCs w:val="22"/>
        </w:rPr>
        <w:t xml:space="preserve">Production deployment and go-live</w:t>
      </w:r>
    </w:p>
    <w:p>
      <w:pPr>
        <w:pStyle w:val="Heading2"/>
        <w:spacing w:before="300" w:after="150"/>
      </w:pPr>
      <w:r>
        <w:t xml:space="preserve">Phase 8: Post-Launch (Weeks 57+)</w:t>
      </w:r>
    </w:p>
    <w:p>
      <w:pPr>
        <w:pStyle w:val="ListParagraph"/>
        <w:numPr>
          <w:ilvl w:val="0"/>
          <w:numId w:val="3"/>
        </w:numPr>
        <w:spacing w:after="80"/>
      </w:pPr>
      <w:r>
        <w:rPr>
          <w:rFonts w:ascii="Arial" w:cs="Arial" w:eastAsia="Arial" w:hAnsi="Arial"/>
          <w:color w:val="333333"/>
          <w:sz w:val="22"/>
          <w:szCs w:val="22"/>
        </w:rPr>
        <w:t xml:space="preserve">AI model monitoring and retraining cycles</w:t>
      </w:r>
    </w:p>
    <w:p>
      <w:pPr>
        <w:pStyle w:val="ListParagraph"/>
        <w:numPr>
          <w:ilvl w:val="0"/>
          <w:numId w:val="3"/>
        </w:numPr>
        <w:spacing w:after="80"/>
      </w:pPr>
      <w:r>
        <w:rPr>
          <w:rFonts w:ascii="Arial" w:cs="Arial" w:eastAsia="Arial" w:hAnsi="Arial"/>
          <w:color w:val="333333"/>
          <w:sz w:val="22"/>
          <w:szCs w:val="22"/>
        </w:rPr>
        <w:t xml:space="preserve">Analytics dashboard refinement based on user feedback and usage patterns</w:t>
      </w:r>
    </w:p>
    <w:p>
      <w:pPr>
        <w:pStyle w:val="ListParagraph"/>
        <w:numPr>
          <w:ilvl w:val="0"/>
          <w:numId w:val="3"/>
        </w:numPr>
        <w:spacing w:after="80"/>
      </w:pPr>
      <w:r>
        <w:rPr>
          <w:rFonts w:ascii="Arial" w:cs="Arial" w:eastAsia="Arial" w:hAnsi="Arial"/>
          <w:color w:val="333333"/>
          <w:sz w:val="22"/>
          <w:szCs w:val="22"/>
        </w:rPr>
        <w:t xml:space="preserve">Additional dashboard widgets and custom report builder</w:t>
      </w:r>
    </w:p>
    <w:p>
      <w:pPr>
        <w:pStyle w:val="ListParagraph"/>
        <w:numPr>
          <w:ilvl w:val="0"/>
          <w:numId w:val="3"/>
        </w:numPr>
        <w:spacing w:after="80"/>
      </w:pPr>
      <w:r>
        <w:rPr>
          <w:rFonts w:ascii="Arial" w:cs="Arial" w:eastAsia="Arial" w:hAnsi="Arial"/>
          <w:color w:val="333333"/>
          <w:sz w:val="22"/>
          <w:szCs w:val="22"/>
        </w:rPr>
        <w:t xml:space="preserve">Feature enhancements based on user feedback</w:t>
      </w:r>
    </w:p>
    <w:p>
      <w:pPr>
        <w:pStyle w:val="ListParagraph"/>
        <w:numPr>
          <w:ilvl w:val="0"/>
          <w:numId w:val="3"/>
        </w:numPr>
        <w:spacing w:after="80"/>
      </w:pPr>
      <w:r>
        <w:rPr>
          <w:rFonts w:ascii="Arial" w:cs="Arial" w:eastAsia="Arial" w:hAnsi="Arial"/>
          <w:color w:val="333333"/>
          <w:sz w:val="22"/>
          <w:szCs w:val="22"/>
        </w:rPr>
        <w:t xml:space="preserve">Additional country support (if needed)</w:t>
      </w:r>
    </w:p>
    <w:p>
      <w:pPr>
        <w:pStyle w:val="ListParagraph"/>
        <w:numPr>
          <w:ilvl w:val="0"/>
          <w:numId w:val="3"/>
        </w:numPr>
        <w:spacing w:after="80"/>
      </w:pPr>
      <w:r>
        <w:rPr>
          <w:rFonts w:ascii="Arial" w:cs="Arial" w:eastAsia="Arial" w:hAnsi="Arial"/>
          <w:color w:val="333333"/>
          <w:sz w:val="22"/>
          <w:szCs w:val="22"/>
        </w:rPr>
        <w:t xml:space="preserve">Mobile-responsive optimization</w:t>
      </w:r>
    </w:p>
    <w:p>
      <w:r>
        <w:br w:type="page"/>
      </w:r>
    </w:p>
    <w:p>
      <w:pPr>
        <w:pStyle w:val="Heading1"/>
        <w:spacing w:before="300" w:after="150"/>
      </w:pPr>
      <w:r>
        <w:t xml:space="preserve">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Manager / Scrum Master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planning, stakeholder communication, delivery tracking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Product Owner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Requirements prioritization, acceptance criteria, user story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Full-Stack Lead Developer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 decisions, code reviews, technical leadership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Frontend Developers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React UI development, responsive design, review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Developers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development, business logic, database, compliance engine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 / ML Engineer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OCR pipeline, LLM integration, extraction engine, self-learning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DevOps / Cloud Engineer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 CI/CD, monitoring, security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QA Engineer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Test automation, manual testing, cross-country scenario 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UI/UX Designer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Wireframes, prototypes, design system, AI review interface UX</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Integration Engineer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API integration, data mapping, sync pipeline</w:t>
            </w:r>
          </w:p>
        </w:tc>
      </w:tr>
    </w:tbl>
    <w:p>
      <w:r>
        <w:br w:type="page"/>
      </w:r>
    </w:p>
    <w:p>
      <w:pPr>
        <w:pStyle w:val="Heading1"/>
        <w:spacing w:before="300" w:after="150"/>
      </w:pPr>
      <w:r>
        <w:t xml:space="preserve">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extraction accuracy below target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with LLM + human review; invest in self-learning loop; set minimum confidence thresholds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API limitations or version incompatibility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Early API discovery sprint; fallback to bulk CSV import; maintain abstraction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Country-specific compliance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Engage legal consultants per country; build configurable rules engine; regular compliance audits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Document format variability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Support multiple OCR engines; template learning; manual entry fallback always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security breach (PII exposure)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Field-level encryption, SOC 2 compliance, penetration testing, access logging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Scope creep (feature additions)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Strict change control process; phased delivery; MVP-first 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 under load (AI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Queue-based processing; auto-scaling workers; processing SLA monitoring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 inventory data quality or schema changes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Schema validation on sync; delta change logging; alerting on unexpected field changes; graceful degradation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 dashboard performance at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Pre-computed aggregations; materialized views; Redis caching; query optimization; CDN for chart assets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sync data drift or staleness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Configurable sync frequency with monitoring; auto-alert on missed syncs; forced sync capability; last-sync timestamp visible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 comparison accuracy with partial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Handle edge cases: new properties, mid-year launches, currency changes; clearly label partial-data comparisons</w:t>
            </w:r>
          </w:p>
        </w:tc>
      </w:tr>
    </w:tbl>
    <w:p>
      <w:r>
        <w:br w:type="page"/>
      </w:r>
    </w:p>
    <w:p>
      <w:pPr>
        <w:pStyle w:val="Heading1"/>
        <w:spacing w:before="300" w:after="150"/>
      </w:pPr>
      <w:r>
        <w:t xml:space="preserve">Acceptance Criteria Summary</w:t>
      </w:r>
    </w:p>
    <w:p>
      <w:pPr>
        <w:pStyle w:val="Heading2"/>
        <w:spacing w:before="300" w:after="150"/>
      </w:pPr>
      <w:r>
        <w:t xml:space="preserve">AI Engine Acceptance</w:t>
      </w:r>
    </w:p>
    <w:p>
      <w:pPr>
        <w:pStyle w:val="ListParagraph"/>
        <w:numPr>
          <w:ilvl w:val="0"/>
          <w:numId w:val="3"/>
        </w:numPr>
        <w:spacing w:after="80"/>
      </w:pPr>
      <w:r>
        <w:rPr>
          <w:rFonts w:ascii="Arial" w:cs="Arial" w:eastAsia="Arial" w:hAnsi="Arial"/>
          <w:color w:val="333333"/>
          <w:sz w:val="22"/>
          <w:szCs w:val="22"/>
        </w:rPr>
        <w:t xml:space="preserve">AI must extract buyer name, sale price, and unit number with &gt;90% accuracy on first run</w:t>
      </w:r>
    </w:p>
    <w:p>
      <w:pPr>
        <w:pStyle w:val="ListParagraph"/>
        <w:numPr>
          <w:ilvl w:val="0"/>
          <w:numId w:val="3"/>
        </w:numPr>
        <w:spacing w:after="80"/>
      </w:pPr>
      <w:r>
        <w:rPr>
          <w:rFonts w:ascii="Arial" w:cs="Arial" w:eastAsia="Arial" w:hAnsi="Arial"/>
          <w:color w:val="333333"/>
          <w:sz w:val="22"/>
          <w:szCs w:val="22"/>
        </w:rPr>
        <w:t xml:space="preserve">After 20+ documents of same format, accuracy must exceed 95% for key fields</w:t>
      </w:r>
    </w:p>
    <w:p>
      <w:pPr>
        <w:pStyle w:val="ListParagraph"/>
        <w:numPr>
          <w:ilvl w:val="0"/>
          <w:numId w:val="3"/>
        </w:numPr>
        <w:spacing w:after="80"/>
      </w:pPr>
      <w:r>
        <w:rPr>
          <w:rFonts w:ascii="Arial" w:cs="Arial" w:eastAsia="Arial" w:hAnsi="Arial"/>
          <w:color w:val="333333"/>
          <w:sz w:val="22"/>
          <w:szCs w:val="22"/>
        </w:rPr>
        <w:t xml:space="preserve">All AI-generated records must be presented for human review before confirmation</w:t>
      </w:r>
    </w:p>
    <w:p>
      <w:pPr>
        <w:pStyle w:val="ListParagraph"/>
        <w:numPr>
          <w:ilvl w:val="0"/>
          <w:numId w:val="3"/>
        </w:numPr>
        <w:spacing w:after="80"/>
      </w:pPr>
      <w:r>
        <w:rPr>
          <w:rFonts w:ascii="Arial" w:cs="Arial" w:eastAsia="Arial" w:hAnsi="Arial"/>
          <w:color w:val="333333"/>
          <w:sz w:val="22"/>
          <w:szCs w:val="22"/>
        </w:rPr>
        <w:t xml:space="preserve">Self-learning must demonstrate measurable improvement visible in the AI metrics dashboard</w:t>
      </w:r>
    </w:p>
    <w:p>
      <w:pPr>
        <w:pStyle w:val="ListParagraph"/>
        <w:numPr>
          <w:ilvl w:val="0"/>
          <w:numId w:val="3"/>
        </w:numPr>
        <w:spacing w:after="80"/>
      </w:pPr>
      <w:r>
        <w:rPr>
          <w:rFonts w:ascii="Arial" w:cs="Arial" w:eastAsia="Arial" w:hAnsi="Arial"/>
          <w:color w:val="333333"/>
          <w:sz w:val="22"/>
          <w:szCs w:val="22"/>
        </w:rPr>
        <w:t xml:space="preserve">Commission payable must be auto-generated within 5 seconds of extraction approval</w:t>
      </w:r>
    </w:p>
    <w:p>
      <w:pPr>
        <w:pStyle w:val="ListParagraph"/>
        <w:numPr>
          <w:ilvl w:val="0"/>
          <w:numId w:val="3"/>
        </w:numPr>
        <w:spacing w:after="80"/>
      </w:pPr>
      <w:r>
        <w:rPr>
          <w:rFonts w:ascii="Arial" w:cs="Arial" w:eastAsia="Arial" w:hAnsi="Arial"/>
          <w:color w:val="333333"/>
          <w:sz w:val="22"/>
          <w:szCs w:val="22"/>
        </w:rPr>
        <w:t xml:space="preserve">Payment schedule must be auto-generated and match document terms with &gt;90% accuracy</w:t>
      </w:r>
    </w:p>
    <w:p>
      <w:pPr>
        <w:pStyle w:val="Heading2"/>
        <w:spacing w:before="300" w:after="150"/>
      </w:pPr>
      <w:r>
        <w:t xml:space="preserve">Integration Acceptance</w:t>
      </w:r>
    </w:p>
    <w:p>
      <w:pPr>
        <w:pStyle w:val="ListParagraph"/>
        <w:numPr>
          <w:ilvl w:val="0"/>
          <w:numId w:val="3"/>
        </w:numPr>
        <w:spacing w:after="80"/>
      </w:pPr>
      <w:r>
        <w:rPr>
          <w:rFonts w:ascii="Arial" w:cs="Arial" w:eastAsia="Arial" w:hAnsi="Arial"/>
          <w:color w:val="333333"/>
          <w:sz w:val="22"/>
          <w:szCs w:val="22"/>
        </w:rPr>
        <w:t xml:space="preserve">Yardi sync must process successfully for 95%+ of transactions on first attempt</w:t>
      </w:r>
    </w:p>
    <w:p>
      <w:pPr>
        <w:pStyle w:val="ListParagraph"/>
        <w:numPr>
          <w:ilvl w:val="0"/>
          <w:numId w:val="3"/>
        </w:numPr>
        <w:spacing w:after="80"/>
      </w:pPr>
      <w:r>
        <w:rPr>
          <w:rFonts w:ascii="Arial" w:cs="Arial" w:eastAsia="Arial" w:hAnsi="Arial"/>
          <w:color w:val="333333"/>
          <w:sz w:val="22"/>
          <w:szCs w:val="22"/>
        </w:rPr>
        <w:t xml:space="preserve">Failed syncs must be queued and retryable from the dashboard</w:t>
      </w:r>
    </w:p>
    <w:p>
      <w:pPr>
        <w:pStyle w:val="ListParagraph"/>
        <w:numPr>
          <w:ilvl w:val="0"/>
          <w:numId w:val="3"/>
        </w:numPr>
        <w:spacing w:after="80"/>
      </w:pPr>
      <w:r>
        <w:rPr>
          <w:rFonts w:ascii="Arial" w:cs="Arial" w:eastAsia="Arial" w:hAnsi="Arial"/>
          <w:color w:val="333333"/>
          <w:sz w:val="22"/>
          <w:szCs w:val="22"/>
        </w:rPr>
        <w:t xml:space="preserve">Payables and receivables in Yardi must reconcile exactly with Upward records</w:t>
      </w:r>
    </w:p>
    <w:p>
      <w:pPr>
        <w:pStyle w:val="Heading2"/>
        <w:spacing w:before="300" w:after="150"/>
      </w:pPr>
      <w:r>
        <w:t xml:space="preserve">Inventory Sync Acceptance</w:t>
      </w:r>
    </w:p>
    <w:p>
      <w:pPr>
        <w:pStyle w:val="ListParagraph"/>
        <w:numPr>
          <w:ilvl w:val="0"/>
          <w:numId w:val="3"/>
        </w:numPr>
        <w:spacing w:after="80"/>
      </w:pPr>
      <w:r>
        <w:rPr>
          <w:rFonts w:ascii="Arial" w:cs="Arial" w:eastAsia="Arial" w:hAnsi="Arial"/>
          <w:color w:val="333333"/>
          <w:sz w:val="22"/>
          <w:szCs w:val="22"/>
        </w:rPr>
        <w:t xml:space="preserve">Inventory data in Upward must match Yardi source data with 100% fidelity (read-only mirror)</w:t>
      </w:r>
    </w:p>
    <w:p>
      <w:pPr>
        <w:pStyle w:val="ListParagraph"/>
        <w:numPr>
          <w:ilvl w:val="0"/>
          <w:numId w:val="3"/>
        </w:numPr>
        <w:spacing w:after="80"/>
      </w:pPr>
      <w:r>
        <w:rPr>
          <w:rFonts w:ascii="Arial" w:cs="Arial" w:eastAsia="Arial" w:hAnsi="Arial"/>
          <w:color w:val="333333"/>
          <w:sz w:val="22"/>
          <w:szCs w:val="22"/>
        </w:rPr>
        <w:t xml:space="preserve">Full inventory sync for 10,000+ units must complete within 10 minutes</w:t>
      </w:r>
    </w:p>
    <w:p>
      <w:pPr>
        <w:pStyle w:val="ListParagraph"/>
        <w:numPr>
          <w:ilvl w:val="0"/>
          <w:numId w:val="3"/>
        </w:numPr>
        <w:spacing w:after="80"/>
      </w:pPr>
      <w:r>
        <w:rPr>
          <w:rFonts w:ascii="Arial" w:cs="Arial" w:eastAsia="Arial" w:hAnsi="Arial"/>
          <w:color w:val="333333"/>
          <w:sz w:val="22"/>
          <w:szCs w:val="22"/>
        </w:rPr>
        <w:t xml:space="preserve">Incremental sync must detect and apply changes within 60 seconds</w:t>
      </w:r>
    </w:p>
    <w:p>
      <w:pPr>
        <w:pStyle w:val="ListParagraph"/>
        <w:numPr>
          <w:ilvl w:val="0"/>
          <w:numId w:val="3"/>
        </w:numPr>
        <w:spacing w:after="80"/>
      </w:pPr>
      <w:r>
        <w:rPr>
          <w:rFonts w:ascii="Arial" w:cs="Arial" w:eastAsia="Arial" w:hAnsi="Arial"/>
          <w:color w:val="333333"/>
          <w:sz w:val="22"/>
          <w:szCs w:val="22"/>
        </w:rPr>
        <w:t xml:space="preserve">All changes must be logged in the delta change log with before/after values</w:t>
      </w:r>
    </w:p>
    <w:p>
      <w:pPr>
        <w:pStyle w:val="ListParagraph"/>
        <w:numPr>
          <w:ilvl w:val="0"/>
          <w:numId w:val="3"/>
        </w:numPr>
        <w:spacing w:after="80"/>
      </w:pPr>
      <w:r>
        <w:rPr>
          <w:rFonts w:ascii="Arial" w:cs="Arial" w:eastAsia="Arial" w:hAnsi="Arial"/>
          <w:color w:val="333333"/>
          <w:sz w:val="22"/>
          <w:szCs w:val="22"/>
        </w:rPr>
        <w:t xml:space="preserve">Sync failures must generate alerts and not corrupt existing mirror data</w:t>
      </w:r>
    </w:p>
    <w:p>
      <w:pPr>
        <w:pStyle w:val="ListParagraph"/>
        <w:numPr>
          <w:ilvl w:val="0"/>
          <w:numId w:val="3"/>
        </w:numPr>
        <w:spacing w:after="80"/>
      </w:pPr>
      <w:r>
        <w:rPr>
          <w:rFonts w:ascii="Arial" w:cs="Arial" w:eastAsia="Arial" w:hAnsi="Arial"/>
          <w:color w:val="333333"/>
          <w:sz w:val="22"/>
          <w:szCs w:val="22"/>
        </w:rPr>
        <w:t xml:space="preserve">Inventory data must be strictly read-only in Upward (no edit capability)</w:t>
      </w:r>
    </w:p>
    <w:p>
      <w:pPr>
        <w:pStyle w:val="Heading2"/>
        <w:spacing w:before="300" w:after="150"/>
      </w:pPr>
      <w:r>
        <w:t xml:space="preserve">Analytics Dashboard Acceptance</w:t>
      </w:r>
    </w:p>
    <w:p>
      <w:pPr>
        <w:pStyle w:val="ListParagraph"/>
        <w:numPr>
          <w:ilvl w:val="0"/>
          <w:numId w:val="3"/>
        </w:numPr>
        <w:spacing w:after="80"/>
      </w:pPr>
      <w:r>
        <w:rPr>
          <w:rFonts w:ascii="Arial" w:cs="Arial" w:eastAsia="Arial" w:hAnsi="Arial"/>
          <w:color w:val="333333"/>
          <w:sz w:val="22"/>
          <w:szCs w:val="22"/>
        </w:rPr>
        <w:t xml:space="preserve">Dashboard must load within 3 seconds with full KPI strip and primary charts</w:t>
      </w:r>
    </w:p>
    <w:p>
      <w:pPr>
        <w:pStyle w:val="ListParagraph"/>
        <w:numPr>
          <w:ilvl w:val="0"/>
          <w:numId w:val="3"/>
        </w:numPr>
        <w:spacing w:after="80"/>
      </w:pPr>
      <w:r>
        <w:rPr>
          <w:rFonts w:ascii="Arial" w:cs="Arial" w:eastAsia="Arial" w:hAnsi="Arial"/>
          <w:color w:val="333333"/>
          <w:sz w:val="22"/>
          <w:szCs w:val="22"/>
        </w:rPr>
        <w:t xml:space="preserve">All interactive filters must update charts within 500 milliseconds</w:t>
      </w:r>
    </w:p>
    <w:p>
      <w:pPr>
        <w:pStyle w:val="ListParagraph"/>
        <w:numPr>
          <w:ilvl w:val="0"/>
          <w:numId w:val="3"/>
        </w:numPr>
        <w:spacing w:after="80"/>
      </w:pPr>
      <w:r>
        <w:rPr>
          <w:rFonts w:ascii="Arial" w:cs="Arial" w:eastAsia="Arial" w:hAnsi="Arial"/>
          <w:color w:val="333333"/>
          <w:sz w:val="22"/>
          <w:szCs w:val="22"/>
        </w:rPr>
        <w:t xml:space="preserve">Top partner leaderboard must accurately rank by revenue, units, and commissions with real-time data</w:t>
      </w:r>
    </w:p>
    <w:p>
      <w:pPr>
        <w:pStyle w:val="ListParagraph"/>
        <w:numPr>
          <w:ilvl w:val="0"/>
          <w:numId w:val="3"/>
        </w:numPr>
        <w:spacing w:after="80"/>
      </w:pPr>
      <w:r>
        <w:rPr>
          <w:rFonts w:ascii="Arial" w:cs="Arial" w:eastAsia="Arial" w:hAnsi="Arial"/>
          <w:color w:val="333333"/>
          <w:sz w:val="22"/>
          <w:szCs w:val="22"/>
        </w:rPr>
        <w:t xml:space="preserve">YoY comparison must correctly calculate growth percentages and handle properties with partial-year data</w:t>
      </w:r>
    </w:p>
    <w:p>
      <w:pPr>
        <w:pStyle w:val="ListParagraph"/>
        <w:numPr>
          <w:ilvl w:val="0"/>
          <w:numId w:val="3"/>
        </w:numPr>
        <w:spacing w:after="80"/>
      </w:pPr>
      <w:r>
        <w:rPr>
          <w:rFonts w:ascii="Arial" w:cs="Arial" w:eastAsia="Arial" w:hAnsi="Arial"/>
          <w:color w:val="333333"/>
          <w:sz w:val="22"/>
          <w:szCs w:val="22"/>
        </w:rPr>
        <w:t xml:space="preserve">Inventory analytics must reflect the latest Yardi sync data within 5 minutes of sync completion</w:t>
      </w:r>
    </w:p>
    <w:p>
      <w:pPr>
        <w:pStyle w:val="ListParagraph"/>
        <w:numPr>
          <w:ilvl w:val="0"/>
          <w:numId w:val="3"/>
        </w:numPr>
        <w:spacing w:after="80"/>
      </w:pPr>
      <w:r>
        <w:rPr>
          <w:rFonts w:ascii="Arial" w:cs="Arial" w:eastAsia="Arial" w:hAnsi="Arial"/>
          <w:color w:val="333333"/>
          <w:sz w:val="22"/>
          <w:szCs w:val="22"/>
        </w:rPr>
        <w:t xml:space="preserve">All charts must support drill-down to underlying records</w:t>
      </w:r>
    </w:p>
    <w:p>
      <w:pPr>
        <w:pStyle w:val="ListParagraph"/>
        <w:numPr>
          <w:ilvl w:val="0"/>
          <w:numId w:val="3"/>
        </w:numPr>
        <w:spacing w:after="80"/>
      </w:pPr>
      <w:r>
        <w:rPr>
          <w:rFonts w:ascii="Arial" w:cs="Arial" w:eastAsia="Arial" w:hAnsi="Arial"/>
          <w:color w:val="333333"/>
          <w:sz w:val="22"/>
          <w:szCs w:val="22"/>
        </w:rPr>
        <w:t xml:space="preserve">Exports (PDF, Excel, CSV) must match on-screen data exactly</w:t>
      </w:r>
    </w:p>
    <w:p>
      <w:pPr>
        <w:pStyle w:val="ListParagraph"/>
        <w:numPr>
          <w:ilvl w:val="0"/>
          <w:numId w:val="3"/>
        </w:numPr>
        <w:spacing w:after="80"/>
      </w:pPr>
      <w:r>
        <w:rPr>
          <w:rFonts w:ascii="Arial" w:cs="Arial" w:eastAsia="Arial" w:hAnsi="Arial"/>
          <w:color w:val="333333"/>
          <w:sz w:val="22"/>
          <w:szCs w:val="22"/>
        </w:rPr>
        <w:t xml:space="preserve">Scheduled reports must deliver on configured cadence with less than 15 minutes delay</w:t>
      </w:r>
    </w:p>
    <w:p>
      <w:pPr>
        <w:pStyle w:val="Heading2"/>
        <w:spacing w:before="300" w:after="150"/>
      </w:pPr>
      <w:r>
        <w:t xml:space="preserve">Compliance Acceptance</w:t>
      </w:r>
    </w:p>
    <w:p>
      <w:pPr>
        <w:pStyle w:val="ListParagraph"/>
        <w:numPr>
          <w:ilvl w:val="0"/>
          <w:numId w:val="3"/>
        </w:numPr>
        <w:spacing w:after="80"/>
      </w:pPr>
      <w:r>
        <w:rPr>
          <w:rFonts w:ascii="Arial" w:cs="Arial" w:eastAsia="Arial" w:hAnsi="Arial"/>
          <w:color w:val="333333"/>
          <w:sz w:val="22"/>
          <w:szCs w:val="22"/>
        </w:rPr>
        <w:t xml:space="preserve">All mandatory fields per country must be enforced (no sale can be confirmed without them)</w:t>
      </w:r>
    </w:p>
    <w:p>
      <w:pPr>
        <w:pStyle w:val="ListParagraph"/>
        <w:numPr>
          <w:ilvl w:val="0"/>
          <w:numId w:val="3"/>
        </w:numPr>
        <w:spacing w:after="80"/>
      </w:pPr>
      <w:r>
        <w:rPr>
          <w:rFonts w:ascii="Arial" w:cs="Arial" w:eastAsia="Arial" w:hAnsi="Arial"/>
          <w:color w:val="333333"/>
          <w:sz w:val="22"/>
          <w:szCs w:val="22"/>
        </w:rPr>
        <w:t xml:space="preserve">Tax calculations must match manual calculations to within rounding tolerance</w:t>
      </w:r>
    </w:p>
    <w:p>
      <w:pPr>
        <w:pStyle w:val="ListParagraph"/>
        <w:numPr>
          <w:ilvl w:val="0"/>
          <w:numId w:val="3"/>
        </w:numPr>
        <w:spacing w:after="80"/>
      </w:pPr>
      <w:r>
        <w:rPr>
          <w:rFonts w:ascii="Arial" w:cs="Arial" w:eastAsia="Arial" w:hAnsi="Arial"/>
          <w:color w:val="333333"/>
          <w:sz w:val="22"/>
          <w:szCs w:val="22"/>
        </w:rPr>
        <w:t xml:space="preserve">KYC verification must be completed before any sale is marked as Confirmed</w:t>
      </w:r>
    </w:p>
    <w:p>
      <w:pPr>
        <w:pStyle w:val="ListParagraph"/>
        <w:numPr>
          <w:ilvl w:val="0"/>
          <w:numId w:val="3"/>
        </w:numPr>
        <w:spacing w:after="80"/>
      </w:pPr>
      <w:r>
        <w:rPr>
          <w:rFonts w:ascii="Arial" w:cs="Arial" w:eastAsia="Arial" w:hAnsi="Arial"/>
          <w:color w:val="333333"/>
          <w:sz w:val="22"/>
          <w:szCs w:val="22"/>
        </w:rPr>
        <w:t xml:space="preserve">Audit trail must be complete and immutable for all transactions</w:t>
      </w:r>
    </w:p>
    <w:p>
      <w:r>
        <w:br w:type="page"/>
      </w:r>
    </w:p>
    <w:p>
      <w:pPr>
        <w:pStyle w:val="Heading1"/>
        <w:spacing w:before="300" w:after="150"/>
      </w:pPr>
      <w: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individual sellable property unit (apartment, office, retail space, etc.)</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Sale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The transaction record when a unit is sold to a buyer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Licensed real estate agent or firm that facilitates a sale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Commission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Fee paid to a broker based on the sale of a unit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Payable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outgoing payment obligation (e.g., broker commission)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Receivable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 incoming payment expectation (e.g., buyer installment)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Installment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scheduled partial payment from a buyer toward the total sale price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RERA</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Real Estate Regulatory Authority (India)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FIRPTA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Foreign Investment in Real Property Tax Act (USA)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TDS</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Tax Deducted at Source (India)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HST / GST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Harmonized Sales Tax / Goods and Services Tax (Canada / India)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Stamp Duty</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Government tax on property transfer documents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Yardi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Third-party property management and accounting ERP system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OCR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Optical Character Recognition (converting scanned images to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Language Model (AI model used for document understanding)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KYC</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Know Your Customer (identity verification process)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Permanent Account Number (Indian tax identifier)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SIN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Social Insurance Number (Canadian tax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Security Number (US tax identifier)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FINTRAC</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Financial Transactions and Reports Analysis Centre (Canada)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Absorption Rate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rate at which available units are sold over a given period, expressed as a percentage of total inventory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Inventory Mirror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 read-only copy of Yardi property/unit data maintained in Upward for analytics purposes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Year-over-Year: comparison of a metric between the current year and the same period in the prior year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Delta Sync</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Incremental sync that transfers only changes since the last sync rather than full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Materialized 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pre-computed database query result stored for fast analytics access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KPI</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Key Performance Indicator: a measurable metric used to evaluate business success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Velocity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speed at which units are sold, typically measured as units per month</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Days on Market</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The number of days a unit has been listed as available without being sold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NSF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Non-Sufficient Funds: a payment (check or electronic) returned by the bank because the payer's account lacked sufficient funds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Tarion</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Ontario (Canada) new home warranty program that protects buyers of newly built homes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Bulletin 19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Tarion bulletin in Ontario requiring builders to provide certain warranties and disclosures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Interim Occupancy</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Period in pre-construction (Canada) when a buyer occupies a unit before the condo is registered; buyer pays occupancy fees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Schedule 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schedule in a Canadian purchase agreement outlining adjustments and charges at closing</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CAP Amendment</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Development Charges Cap Amendment fee in Ontario, reflecting changes to municipal development charges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RESPA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 Estate Settlement Procedures Act (USA) governing real estate transaction disclosures and prohibiting kickbacks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TRID</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TILA-RESPA Integrated Disclosure rule mandating standardized Closing Disclosures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UCD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Uniform Closing Dataset (v2.0) standardized schema for US closing disclosures published by Fannie Mae/Freddie Mac</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National Association of Realtors (USA); recent antitrust settlement abolished blanket MLS compensation offers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PCMLTFA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Proceeds of Crime (Money Laundering) and Terrorist Financing Act (Canada)</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LCTR</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Large Cash Transaction Report filed with FINTRAC for transactions of $10,000 CAD or more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VLM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Vision Language Model; multimodal AI that processes text, spatial position, and visual features simultaneously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LayoutLM</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Spatial-aware transformer model family for document AI that understands page layout and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HITL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Human-in-the-Loop; process where human reviewers validate and correct AI extractions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CLP</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Construction-Linked Plan; Indian payment structure where installments are tied to physical construction milestones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SIPP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 Interface Partnership Program; Yardi's deep API integration pathway ($25K/year per interface)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FinPayables</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Yardi's native CSV format for batch importing accounts payable transactions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Binary JSON data type in PostgreSQL used for flexible, region-specific compliance data storage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GCI</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Gross Commission Income; total commission earned before deductions, used in tiered split calculations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MCLR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Marginal Cost of Funds Based Lending Rate set by SBI (India); used as base for RERA delay penalty calculation</w:t>
            </w:r>
          </w:p>
        </w:tc>
      </w:tr>
    </w:tbl>
    <w:p>
      <w:r>
        <w:br w:type="page"/>
      </w:r>
    </w:p>
    <w:p>
      <w:pPr>
        <w:pStyle w:val="Heading1"/>
        <w:spacing w:before="300" w:after="150"/>
      </w:pPr>
      <w:r>
        <w:t xml:space="preserve">Strategic Implementation Principles</w:t>
      </w:r>
    </w:p>
    <w:p>
      <w:pPr>
        <w:spacing w:after="120"/>
      </w:pPr>
      <w:r>
        <w:rPr>
          <w:rFonts w:ascii="Arial" w:cs="Arial" w:eastAsia="Arial" w:hAnsi="Arial"/>
          <w:color w:val="333333"/>
          <w:sz w:val="22"/>
          <w:szCs w:val="22"/>
        </w:rPr>
        <w:t xml:space="preserve">The following non-negotiable principles must guide all engineering and product decisions throughout the development of Upward:</w:t>
      </w:r>
    </w:p>
    <w:p>
      <w:pPr>
        <w:spacing w:after="120"/>
      </w:pPr>
      <w:r>
        <w:rPr>
          <w:rFonts w:ascii="Arial" w:cs="Arial" w:eastAsia="Arial" w:hAnsi="Arial"/>
          <w:b/>
          <w:bCs/>
          <w:color w:val="1B4F72"/>
          <w:sz w:val="22"/>
          <w:szCs w:val="22"/>
        </w:rPr>
        <w:t xml:space="preserve">1. AI Pipeline Primacy: </w:t>
      </w:r>
      <w:r>
        <w:rPr>
          <w:rFonts w:ascii="Arial" w:cs="Arial" w:eastAsia="Arial" w:hAnsi="Arial"/>
          <w:sz w:val="22"/>
          <w:szCs w:val="22"/>
        </w:rPr>
        <w:t xml:space="preserve">The spatial-aware VLM architecture (LayoutLM/Nemotron) is the defining competitive advantage. The engineering team must not rely on simple zero-shot LLM prompts alone, as they cannot reliably parse tabular financial data within complex closing disclosures. The integration of spatial embeddings is non-negotiable. The HITL interface must be fully operational at day-one to capture edge cases, fuel the active learning loop, and prevent model degradation.</w:t>
      </w:r>
    </w:p>
    <w:p>
      <w:pPr>
        <w:spacing w:after="120"/>
      </w:pPr>
      <w:r>
        <w:rPr>
          <w:rFonts w:ascii="Arial" w:cs="Arial" w:eastAsia="Arial" w:hAnsi="Arial"/>
          <w:b/>
          <w:bCs/>
          <w:color w:val="1B4F72"/>
          <w:sz w:val="22"/>
          <w:szCs w:val="22"/>
        </w:rPr>
        <w:t xml:space="preserve">2. Compliance as Code: </w:t>
      </w:r>
      <w:r>
        <w:rPr>
          <w:rFonts w:ascii="Arial" w:cs="Arial" w:eastAsia="Arial" w:hAnsi="Arial"/>
          <w:sz w:val="22"/>
          <w:szCs w:val="22"/>
        </w:rPr>
        <w:t xml:space="preserve">Regulatory rules cannot be optional UI features. The system must enforce hard stops at the database layer. Examples: prevent contract finalization if Canadian FINTRAC 24-hour limits are breached without an LCTR; block sale confirmation if Indian RERA 70% escrow splits are improperly routed; prevent advance payment recording above 10% before agreement execution in India; auto-generate FIRPTA notices for foreign buyer transactions in USA.</w:t>
      </w:r>
    </w:p>
    <w:p>
      <w:pPr>
        <w:spacing w:after="120"/>
      </w:pPr>
      <w:r>
        <w:rPr>
          <w:rFonts w:ascii="Arial" w:cs="Arial" w:eastAsia="Arial" w:hAnsi="Arial"/>
          <w:b/>
          <w:bCs/>
          <w:color w:val="1B4F72"/>
          <w:sz w:val="22"/>
          <w:szCs w:val="22"/>
        </w:rPr>
        <w:t xml:space="preserve">3. Financial Abstraction: </w:t>
      </w:r>
      <w:r>
        <w:rPr>
          <w:rFonts w:ascii="Arial" w:cs="Arial" w:eastAsia="Arial" w:hAnsi="Arial"/>
          <w:sz w:val="22"/>
          <w:szCs w:val="22"/>
        </w:rPr>
        <w:t xml:space="preserve">The commission engine must remain entirely decoupled from traditional assumptions. It must handle post-NAR settlement landscapes where buyer and seller fees are independent, while simultaneously supporting construction-linked milestone triggers for India and tiered property-value splits for Canadian provinces. No hardcoded commission assumptions.</w:t>
      </w:r>
    </w:p>
    <w:p>
      <w:pPr>
        <w:spacing w:after="120"/>
      </w:pPr>
      <w:r>
        <w:rPr>
          <w:rFonts w:ascii="Arial" w:cs="Arial" w:eastAsia="Arial" w:hAnsi="Arial"/>
          <w:b/>
          <w:bCs/>
          <w:color w:val="1B4F72"/>
          <w:sz w:val="22"/>
          <w:szCs w:val="22"/>
        </w:rPr>
        <w:t xml:space="preserve">4. Phased Yardi Integration: </w:t>
      </w:r>
      <w:r>
        <w:rPr>
          <w:rFonts w:ascii="Arial" w:cs="Arial" w:eastAsia="Arial" w:hAnsi="Arial"/>
          <w:sz w:val="22"/>
          <w:szCs w:val="22"/>
        </w:rPr>
        <w:t xml:space="preserve">Initial Yardi integration leverages the FinPayables CSV/ETL methodology for rapid deployment and value demonstration without massive upfront costs. The SIPP API integration ($25K/year per interface) is reserved for Phase 2 targeting tier-one enterprise clients after platform value is proven.</w:t>
      </w:r>
    </w:p>
    <w:p>
      <w:pPr>
        <w:spacing w:after="120"/>
      </w:pPr>
      <w:r>
        <w:rPr>
          <w:rFonts w:ascii="Arial" w:cs="Arial" w:eastAsia="Arial" w:hAnsi="Arial"/>
          <w:b/>
          <w:bCs/>
          <w:color w:val="1B4F72"/>
          <w:sz w:val="22"/>
          <w:szCs w:val="22"/>
        </w:rPr>
        <w:t xml:space="preserve">5. JSONB Extensibility: </w:t>
      </w:r>
      <w:r>
        <w:rPr>
          <w:rFonts w:ascii="Arial" w:cs="Arial" w:eastAsia="Arial" w:hAnsi="Arial"/>
          <w:sz w:val="22"/>
          <w:szCs w:val="22"/>
        </w:rPr>
        <w:t xml:space="preserve">The Dynamic Attributes Pattern with JSONB compliance_metadata columns ensures the system can adapt to new regulatory fields in any jurisdiction without database downtime, schema migrations, or code deployment. New country support should require only configuration, not engineering.</w:t>
      </w:r>
    </w:p>
    <w:p>
      <w:r>
        <w:br w:type="page"/>
      </w:r>
    </w:p>
    <w:p>
      <w:pPr>
        <w:pStyle w:val="Heading1"/>
        <w:spacing w:before="300" w:after="150"/>
      </w:pPr>
      <w:r>
        <w:t xml:space="preserve">References and Regulatory Sources</w:t>
      </w:r>
    </w:p>
    <w:p>
      <w:pPr>
        <w:spacing w:after="120"/>
      </w:pPr>
      <w:r>
        <w:rPr>
          <w:rFonts w:ascii="Arial" w:cs="Arial" w:eastAsia="Arial" w:hAnsi="Arial"/>
          <w:color w:val="333333"/>
          <w:sz w:val="22"/>
          <w:szCs w:val="22"/>
        </w:rPr>
        <w:t xml:space="preserve">The following regulatory frameworks, industry standards, and technical references informed this specification:</w:t>
      </w:r>
    </w:p>
    <w:p>
      <w:pPr>
        <w:pStyle w:val="Heading3"/>
        <w:spacing w:before="300" w:after="150"/>
      </w:pPr>
      <w:r>
        <w:t xml:space="preserve">Regulatory and Legal</w:t>
      </w:r>
    </w:p>
    <w:p>
      <w:pPr>
        <w:pStyle w:val="ListParagraph"/>
        <w:numPr>
          <w:ilvl w:val="0"/>
          <w:numId w:val="3"/>
        </w:numPr>
        <w:spacing w:after="80"/>
      </w:pPr>
      <w:r>
        <w:rPr>
          <w:rFonts w:ascii="Arial" w:cs="Arial" w:eastAsia="Arial" w:hAnsi="Arial"/>
          <w:color w:val="333333"/>
          <w:sz w:val="22"/>
          <w:szCs w:val="22"/>
        </w:rPr>
        <w:t xml:space="preserve">RESPA (Real Estate Settlement Procedures Act) and TRID (TILA-RESPA Integrated Disclosure) rule – US consumer protection</w:t>
      </w:r>
    </w:p>
    <w:p>
      <w:pPr>
        <w:pStyle w:val="ListParagraph"/>
        <w:numPr>
          <w:ilvl w:val="0"/>
          <w:numId w:val="3"/>
        </w:numPr>
        <w:spacing w:after="80"/>
      </w:pPr>
      <w:r>
        <w:rPr>
          <w:rFonts w:ascii="Arial" w:cs="Arial" w:eastAsia="Arial" w:hAnsi="Arial"/>
          <w:color w:val="333333"/>
          <w:sz w:val="22"/>
          <w:szCs w:val="22"/>
        </w:rPr>
        <w:t xml:space="preserve">Uniform Closing Dataset (UCD) v2.0 – Fannie Mae/Freddie Mac standardized closing data schema</w:t>
      </w:r>
    </w:p>
    <w:p>
      <w:pPr>
        <w:pStyle w:val="ListParagraph"/>
        <w:numPr>
          <w:ilvl w:val="0"/>
          <w:numId w:val="3"/>
        </w:numPr>
        <w:spacing w:after="80"/>
      </w:pPr>
      <w:r>
        <w:rPr>
          <w:rFonts w:ascii="Arial" w:cs="Arial" w:eastAsia="Arial" w:hAnsi="Arial"/>
          <w:color w:val="333333"/>
          <w:sz w:val="22"/>
          <w:szCs w:val="22"/>
        </w:rPr>
        <w:t xml:space="preserve">NAR Antitrust Settlement (2024) – Abolished blanket MLS compensation; mandated buyer-broker agreements</w:t>
      </w:r>
    </w:p>
    <w:p>
      <w:pPr>
        <w:pStyle w:val="ListParagraph"/>
        <w:numPr>
          <w:ilvl w:val="0"/>
          <w:numId w:val="3"/>
        </w:numPr>
        <w:spacing w:after="80"/>
      </w:pPr>
      <w:r>
        <w:rPr>
          <w:rFonts w:ascii="Arial" w:cs="Arial" w:eastAsia="Arial" w:hAnsi="Arial"/>
          <w:color w:val="333333"/>
          <w:sz w:val="22"/>
          <w:szCs w:val="22"/>
        </w:rPr>
        <w:t xml:space="preserve">FINTRAC / PCMLTFA – Canadian AML/KYC requirements for real estate reporting entities</w:t>
      </w:r>
    </w:p>
    <w:p>
      <w:pPr>
        <w:pStyle w:val="ListParagraph"/>
        <w:numPr>
          <w:ilvl w:val="0"/>
          <w:numId w:val="3"/>
        </w:numPr>
        <w:spacing w:after="80"/>
      </w:pPr>
      <w:r>
        <w:rPr>
          <w:rFonts w:ascii="Arial" w:cs="Arial" w:eastAsia="Arial" w:hAnsi="Arial"/>
          <w:color w:val="333333"/>
          <w:sz w:val="22"/>
          <w:szCs w:val="22"/>
        </w:rPr>
        <w:t xml:space="preserve">Prohibition on the Purchase of Residential Property by Non-Canadians Act – Foreign ownership restrictions (3% equity threshold)</w:t>
      </w:r>
    </w:p>
    <w:p>
      <w:pPr>
        <w:pStyle w:val="ListParagraph"/>
        <w:numPr>
          <w:ilvl w:val="0"/>
          <w:numId w:val="3"/>
        </w:numPr>
        <w:spacing w:after="80"/>
      </w:pPr>
      <w:r>
        <w:rPr>
          <w:rFonts w:ascii="Arial" w:cs="Arial" w:eastAsia="Arial" w:hAnsi="Arial"/>
          <w:color w:val="333333"/>
          <w:sz w:val="22"/>
          <w:szCs w:val="22"/>
        </w:rPr>
        <w:t xml:space="preserve">RERA (Real Estate Regulation and Development Act, 2016) – Indian buyer protection, escrow mandates, milestone payments</w:t>
      </w:r>
    </w:p>
    <w:p>
      <w:pPr>
        <w:pStyle w:val="ListParagraph"/>
        <w:numPr>
          <w:ilvl w:val="0"/>
          <w:numId w:val="3"/>
        </w:numPr>
        <w:spacing w:after="80"/>
      </w:pPr>
      <w:r>
        <w:rPr>
          <w:rFonts w:ascii="Arial" w:cs="Arial" w:eastAsia="Arial" w:hAnsi="Arial"/>
          <w:color w:val="333333"/>
          <w:sz w:val="22"/>
          <w:szCs w:val="22"/>
        </w:rPr>
        <w:t xml:space="preserve">Income Tax Act (India) Section 194-IA – TDS on property transactions</w:t>
      </w:r>
    </w:p>
    <w:p>
      <w:pPr>
        <w:pStyle w:val="ListParagraph"/>
        <w:numPr>
          <w:ilvl w:val="0"/>
          <w:numId w:val="3"/>
        </w:numPr>
        <w:spacing w:after="80"/>
      </w:pPr>
      <w:r>
        <w:rPr>
          <w:rFonts w:ascii="Arial" w:cs="Arial" w:eastAsia="Arial" w:hAnsi="Arial"/>
          <w:color w:val="333333"/>
          <w:sz w:val="22"/>
          <w:szCs w:val="22"/>
        </w:rPr>
        <w:t xml:space="preserve">FIRPTA (Foreign Investment in Real Property Tax Act) – US withholding on foreign persons</w:t>
      </w:r>
    </w:p>
    <w:p>
      <w:pPr>
        <w:pStyle w:val="ListParagraph"/>
        <w:numPr>
          <w:ilvl w:val="0"/>
          <w:numId w:val="3"/>
        </w:numPr>
        <w:spacing w:after="80"/>
      </w:pPr>
      <w:r>
        <w:rPr>
          <w:rFonts w:ascii="Arial" w:cs="Arial" w:eastAsia="Arial" w:hAnsi="Arial"/>
          <w:color w:val="333333"/>
          <w:sz w:val="22"/>
          <w:szCs w:val="22"/>
        </w:rPr>
        <w:t xml:space="preserve">PIPEDA – Canadian personal data protection</w:t>
      </w:r>
    </w:p>
    <w:p>
      <w:pPr>
        <w:pStyle w:val="ListParagraph"/>
        <w:numPr>
          <w:ilvl w:val="0"/>
          <w:numId w:val="3"/>
        </w:numPr>
        <w:spacing w:after="80"/>
      </w:pPr>
      <w:r>
        <w:rPr>
          <w:rFonts w:ascii="Arial" w:cs="Arial" w:eastAsia="Arial" w:hAnsi="Arial"/>
          <w:color w:val="333333"/>
          <w:sz w:val="22"/>
          <w:szCs w:val="22"/>
        </w:rPr>
        <w:t xml:space="preserve">Prohibition of Benami Property Transactions Act – India</w:t>
      </w:r>
    </w:p>
    <w:p>
      <w:pPr>
        <w:pStyle w:val="ListParagraph"/>
        <w:numPr>
          <w:ilvl w:val="0"/>
          <w:numId w:val="3"/>
        </w:numPr>
        <w:spacing w:after="80"/>
      </w:pPr>
      <w:r>
        <w:rPr>
          <w:rFonts w:ascii="Arial" w:cs="Arial" w:eastAsia="Arial" w:hAnsi="Arial"/>
          <w:color w:val="333333"/>
          <w:sz w:val="22"/>
          <w:szCs w:val="22"/>
        </w:rPr>
        <w:t xml:space="preserve">FEMA (Foreign Exchange Management Act) – India NRI/foreign national property rules</w:t>
      </w:r>
    </w:p>
    <w:p>
      <w:pPr>
        <w:pStyle w:val="Heading3"/>
        <w:spacing w:before="300" w:after="150"/>
      </w:pPr>
      <w:r>
        <w:t xml:space="preserve">Technical and Industry</w:t>
      </w:r>
    </w:p>
    <w:p>
      <w:pPr>
        <w:pStyle w:val="ListParagraph"/>
        <w:numPr>
          <w:ilvl w:val="0"/>
          <w:numId w:val="3"/>
        </w:numPr>
        <w:spacing w:after="80"/>
      </w:pPr>
      <w:r>
        <w:rPr>
          <w:rFonts w:ascii="Arial" w:cs="Arial" w:eastAsia="Arial" w:hAnsi="Arial"/>
          <w:color w:val="333333"/>
          <w:sz w:val="22"/>
          <w:szCs w:val="22"/>
        </w:rPr>
        <w:t xml:space="preserve">LayoutLMv3 / Spatial-Aware Transformers – Multimodal document AI architecture</w:t>
      </w:r>
    </w:p>
    <w:p>
      <w:pPr>
        <w:pStyle w:val="ListParagraph"/>
        <w:numPr>
          <w:ilvl w:val="0"/>
          <w:numId w:val="3"/>
        </w:numPr>
        <w:spacing w:after="80"/>
      </w:pPr>
      <w:r>
        <w:rPr>
          <w:rFonts w:ascii="Arial" w:cs="Arial" w:eastAsia="Arial" w:hAnsi="Arial"/>
          <w:color w:val="333333"/>
          <w:sz w:val="22"/>
          <w:szCs w:val="22"/>
        </w:rPr>
        <w:t xml:space="preserve">NVIDIA Nemotron Parse – VLM for complex document extraction</w:t>
      </w:r>
    </w:p>
    <w:p>
      <w:pPr>
        <w:pStyle w:val="ListParagraph"/>
        <w:numPr>
          <w:ilvl w:val="0"/>
          <w:numId w:val="3"/>
        </w:numPr>
        <w:spacing w:after="80"/>
      </w:pPr>
      <w:r>
        <w:rPr>
          <w:rFonts w:ascii="Arial" w:cs="Arial" w:eastAsia="Arial" w:hAnsi="Arial"/>
          <w:color w:val="333333"/>
          <w:sz w:val="22"/>
          <w:szCs w:val="22"/>
        </w:rPr>
        <w:t xml:space="preserve">Active Learning / HITL Pipelines – Self-improving ML system design</w:t>
      </w:r>
    </w:p>
    <w:p>
      <w:pPr>
        <w:pStyle w:val="ListParagraph"/>
        <w:numPr>
          <w:ilvl w:val="0"/>
          <w:numId w:val="3"/>
        </w:numPr>
        <w:spacing w:after="80"/>
      </w:pPr>
      <w:r>
        <w:rPr>
          <w:rFonts w:ascii="Arial" w:cs="Arial" w:eastAsia="Arial" w:hAnsi="Arial"/>
          <w:color w:val="333333"/>
          <w:sz w:val="22"/>
          <w:szCs w:val="22"/>
        </w:rPr>
        <w:t xml:space="preserve">Yardi Voyager SIPP (Standard Interface Partnership Program) – Deep API integration</w:t>
      </w:r>
    </w:p>
    <w:p>
      <w:pPr>
        <w:pStyle w:val="ListParagraph"/>
        <w:numPr>
          <w:ilvl w:val="0"/>
          <w:numId w:val="3"/>
        </w:numPr>
        <w:spacing w:after="80"/>
      </w:pPr>
      <w:r>
        <w:rPr>
          <w:rFonts w:ascii="Arial" w:cs="Arial" w:eastAsia="Arial" w:hAnsi="Arial"/>
          <w:color w:val="333333"/>
          <w:sz w:val="22"/>
          <w:szCs w:val="22"/>
        </w:rPr>
        <w:t xml:space="preserve">Yardi FinPayables CSV Format – Batch import schema for payables</w:t>
      </w:r>
    </w:p>
    <w:p>
      <w:pPr>
        <w:pStyle w:val="ListParagraph"/>
        <w:numPr>
          <w:ilvl w:val="0"/>
          <w:numId w:val="3"/>
        </w:numPr>
        <w:spacing w:after="80"/>
      </w:pPr>
      <w:r>
        <w:rPr>
          <w:rFonts w:ascii="Arial" w:cs="Arial" w:eastAsia="Arial" w:hAnsi="Arial"/>
          <w:color w:val="333333"/>
          <w:sz w:val="22"/>
          <w:szCs w:val="22"/>
        </w:rPr>
        <w:t xml:space="preserve">Multi-Tenant Database Modeling – Shared Database, Separate Schema pattern</w:t>
      </w:r>
    </w:p>
    <w:p>
      <w:pPr>
        <w:pStyle w:val="ListParagraph"/>
        <w:numPr>
          <w:ilvl w:val="0"/>
          <w:numId w:val="3"/>
        </w:numPr>
        <w:spacing w:after="80"/>
      </w:pPr>
      <w:r>
        <w:rPr>
          <w:rFonts w:ascii="Arial" w:cs="Arial" w:eastAsia="Arial" w:hAnsi="Arial"/>
          <w:color w:val="333333"/>
          <w:sz w:val="22"/>
          <w:szCs w:val="22"/>
        </w:rPr>
        <w:t xml:space="preserve">Dynamic Attributes Pattern (JSONB) – Region-aware extensible data modeling</w:t>
      </w:r>
    </w:p>
    <w:p>
      <w:pPr>
        <w:pStyle w:val="ListParagraph"/>
        <w:numPr>
          <w:ilvl w:val="0"/>
          <w:numId w:val="3"/>
        </w:numPr>
        <w:spacing w:after="80"/>
      </w:pPr>
      <w:r>
        <w:rPr>
          <w:rFonts w:ascii="Arial" w:cs="Arial" w:eastAsia="Arial" w:hAnsi="Arial"/>
          <w:color w:val="333333"/>
          <w:sz w:val="22"/>
          <w:szCs w:val="22"/>
        </w:rPr>
        <w:t xml:space="preserve">Multi-Tier Amortization Schedules – Actual/360, Actual/365, 30/360 interest methods</w:t>
      </w:r>
    </w:p>
    <w:p>
      <w:pPr>
        <w:spacing w:after="120" w:before="600"/>
      </w:pPr>
      <w:r>
        <w:rPr>
          <w:rFonts w:ascii="Arial" w:cs="Arial" w:eastAsia="Arial" w:hAnsi="Arial"/>
          <w:color w:val="333333"/>
          <w:sz w:val="22"/>
          <w:szCs w:val="22"/>
        </w:rPr>
        <w:t xml:space="preserve"/>
      </w:r>
    </w:p>
    <w:p>
      <w:pPr>
        <w:pBdr>
          <w:top w:val="single" w:color="2E86C1" w:sz="4" w:space="8"/>
        </w:pBdr>
        <w:spacing w:before="400"/>
        <w:jc w:val="center"/>
      </w:pPr>
      <w:r>
        <w:rPr>
          <w:rFonts w:ascii="Arial" w:cs="Arial" w:eastAsia="Arial" w:hAnsi="Arial"/>
          <w:b/>
          <w:bCs/>
          <w:color w:val="1B4F72"/>
          <w:sz w:val="22"/>
          <w:szCs w:val="22"/>
        </w:rPr>
        <w:t xml:space="preserve">END OF SPECIFICATION DOCUMENT</w:t>
      </w:r>
    </w:p>
    <w:p>
      <w:pPr>
        <w:jc w:val="center"/>
      </w:pPr>
      <w:r>
        <w:rPr>
          <w:rFonts w:ascii="Arial" w:cs="Arial" w:eastAsia="Arial" w:hAnsi="Arial"/>
          <w:color w:val="555555"/>
          <w:sz w:val="18"/>
          <w:szCs w:val="18"/>
        </w:rPr>
        <w:t xml:space="preserve">Upward v2.0 Definitive | Prepared February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555555"/>
        <w:sz w:val="16"/>
        <w:szCs w:val="16"/>
      </w:rPr>
      <w:t xml:space="preserve">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b/>
        <w:bCs/>
        <w:color w:val="1B4F72"/>
        <w:sz w:val="18"/>
        <w:szCs w:val="18"/>
      </w:rPr>
      <w:t xml:space="preserve">UPWARD</w:t>
    </w:r>
    <w:r>
      <w:rPr>
        <w:rFonts w:ascii="Arial" w:cs="Arial" w:eastAsia="Arial" w:hAnsi="Arial"/>
        <w:color w:val="555555"/>
        <w:sz w:val="18"/>
        <w:szCs w:val="18"/>
      </w:rPr>
      <w:t xml:space="preserve">	Product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6" w:space="4"/>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2026-02-28T07:29:07.461Z</dcterms:created>
  <dcterms:modified xsi:type="dcterms:W3CDTF">2026-02-28T07:29:07.461Z</dcterms:modified>
</cp:coreProperties>
</file>

<file path=docProps/custom.xml><?xml version="1.0" encoding="utf-8"?>
<Properties xmlns="http://schemas.openxmlformats.org/officeDocument/2006/custom-properties" xmlns:vt="http://schemas.openxmlformats.org/officeDocument/2006/docPropsVTypes"/>
</file>