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Upcoming Project Guidelines and Architectural Rules</w:t>
      </w:r>
    </w:p>
    <w:p>
      <w:r>
        <w:t>• Production Database: PostgreSQL is the confirmed production database. SQLite is strictly reserved for local prototyping.</w:t>
      </w:r>
    </w:p>
    <w:p>
      <w:r>
        <w:t>• LLM Fallback Protocol: Always follow the priority chain Groq -&gt; Gemini -&gt; OpenRouter.</w:t>
      </w:r>
    </w:p>
    <w:p>
      <w:r>
        <w:t>• Zero Downtime Deployments: Blue/green rolling updates are mandatory for all production deployments.</w:t>
      </w:r>
    </w:p>
    <w:p>
      <w:r>
        <w:t>• Internal Communication: Microservices must use gRPC for high-throughput internal RPC and REST/OpenAPI for external clients.</w:t>
      </w:r>
    </w:p>
    <w:p>
      <w:r>
        <w:t>• Grounded Knowledge: All factual responses generated by AI assistants must cite retrieved chunks [1], [2] with provenance tracking.</w:t>
      </w:r>
    </w:p>
  </w:body>
</w:document>
</file>