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REPORT</w:t>
      </w:r>
    </w:p>
    <w:p>
      <w:pPr>
        <w:jc w:val="center"/>
      </w:pPr>
      <w:r>
        <w:rPr>
          <w:b/>
          <w:sz w:val="26"/>
        </w:rPr>
        <w:t>Comprehensive Data Analysis Reporting and Presentation</w:t>
      </w:r>
    </w:p>
    <w:p>
      <w:pPr>
        <w:jc w:val="center"/>
      </w:pPr>
      <w:r>
        <w:rPr>
          <w:i/>
        </w:rPr>
        <w:t>YUVA Intern – Virtual R Data Analyst Internship</w:t>
      </w:r>
    </w:p>
    <w:p>
      <w:r>
        <w:t>Student Name: T Harish</w:t>
      </w:r>
    </w:p>
    <w:p>
      <w:r>
        <w:t>Registration No.: RA2531005010007</w:t>
      </w:r>
    </w:p>
    <w:p>
      <w:r>
        <w:t>GitHub Repository: ___________________________</w:t>
      </w:r>
    </w:p>
    <w:p>
      <w:r>
        <w:t>Dataset: UCI Adult / Census Income Dataset</w:t>
      </w:r>
    </w:p>
    <w:p>
      <w:r>
        <w:br w:type="page"/>
      </w:r>
    </w:p>
    <w:p>
      <w:pPr>
        <w:pStyle w:val="Heading1"/>
      </w:pPr>
      <w:r>
        <w:t>1. Executive Summary</w:t>
      </w:r>
    </w:p>
    <w:p>
      <w:r>
        <w:t>This final report integrates the four-week workflow using the UCI Adult Income dataset: data preparation, exploratory analysis, visualization, statistical testing, and predictive modeling. The analysis shows that income category is strongly associated with educational attainment and workclass, while occupation, age, working hours, and financial variables provide additional predictive information.</w:t>
      </w:r>
    </w:p>
    <w:p>
      <w:pPr>
        <w:pStyle w:val="Heading1"/>
      </w:pPr>
      <w:r>
        <w:t>2. Data Preparation</w:t>
      </w:r>
    </w:p>
    <w:p>
      <w:r>
        <w:t>The raw adult.data file contained 32,561 observations. Missing-value handling reduced the working dataset to 30,139 complete observations. Twenty-four exact duplicate rows were detected and documented. Categorical variables were encoded as factors, numerical outlier screening was performed, and a separate min-max normalized copy was defined for scale-sensitive methods.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Stage</w:t>
            </w:r>
          </w:p>
        </w:tc>
        <w:tc>
          <w:tcPr>
            <w:tcW w:type="dxa" w:w="5040"/>
            <w:shd w:fill="D9EAF7"/>
          </w:tcPr>
          <w:p>
            <w:r>
              <w:t>Result</w:t>
            </w:r>
          </w:p>
        </w:tc>
      </w:tr>
      <w:tr>
        <w:tc>
          <w:tcPr>
            <w:tcW w:type="dxa" w:w="5040"/>
          </w:tcPr>
          <w:p>
            <w:r>
              <w:t>Raw observations</w:t>
            </w:r>
          </w:p>
        </w:tc>
        <w:tc>
          <w:tcPr>
            <w:tcW w:type="dxa" w:w="5040"/>
          </w:tcPr>
          <w:p>
            <w:r>
              <w:t>32,561</w:t>
            </w:r>
          </w:p>
        </w:tc>
      </w:tr>
      <w:tr>
        <w:tc>
          <w:tcPr>
            <w:tcW w:type="dxa" w:w="5040"/>
          </w:tcPr>
          <w:p>
            <w:r>
              <w:t>Variables</w:t>
            </w:r>
          </w:p>
        </w:tc>
        <w:tc>
          <w:tcPr>
            <w:tcW w:type="dxa" w:w="5040"/>
          </w:tcPr>
          <w:p>
            <w:r>
              <w:t>15</w:t>
            </w:r>
          </w:p>
        </w:tc>
      </w:tr>
      <w:tr>
        <w:tc>
          <w:tcPr>
            <w:tcW w:type="dxa" w:w="5040"/>
          </w:tcPr>
          <w:p>
            <w:r>
              <w:t>Complete observations after NA removal</w:t>
            </w:r>
          </w:p>
        </w:tc>
        <w:tc>
          <w:tcPr>
            <w:tcW w:type="dxa" w:w="5040"/>
          </w:tcPr>
          <w:p>
            <w:r>
              <w:t>30,139</w:t>
            </w:r>
          </w:p>
        </w:tc>
      </w:tr>
      <w:tr>
        <w:tc>
          <w:tcPr>
            <w:tcW w:type="dxa" w:w="5040"/>
          </w:tcPr>
          <w:p>
            <w:r>
              <w:t>Exact duplicate rows detected</w:t>
            </w:r>
          </w:p>
        </w:tc>
        <w:tc>
          <w:tcPr>
            <w:tcW w:type="dxa" w:w="5040"/>
          </w:tcPr>
          <w:p>
            <w:r>
              <w:t>24</w:t>
            </w:r>
          </w:p>
        </w:tc>
      </w:tr>
      <w:tr>
        <w:tc>
          <w:tcPr>
            <w:tcW w:type="dxa" w:w="5040"/>
          </w:tcPr>
          <w:p>
            <w:r>
              <w:t>Income &lt;=50K</w:t>
            </w:r>
          </w:p>
        </w:tc>
        <w:tc>
          <w:tcPr>
            <w:tcW w:type="dxa" w:w="5040"/>
          </w:tcPr>
          <w:p>
            <w:r>
              <w:t>75.09539%</w:t>
            </w:r>
          </w:p>
        </w:tc>
      </w:tr>
      <w:tr>
        <w:tc>
          <w:tcPr>
            <w:tcW w:type="dxa" w:w="5040"/>
          </w:tcPr>
          <w:p>
            <w:r>
              <w:t>Income &gt;50K</w:t>
            </w:r>
          </w:p>
        </w:tc>
        <w:tc>
          <w:tcPr>
            <w:tcW w:type="dxa" w:w="5040"/>
          </w:tcPr>
          <w:p>
            <w:r>
              <w:t>24.90461%</w:t>
            </w:r>
          </w:p>
        </w:tc>
      </w:tr>
    </w:tbl>
    <w:p>
      <w:pPr>
        <w:pStyle w:val="Heading1"/>
      </w:pPr>
      <w:r>
        <w:t>3. Visualization Findings</w:t>
      </w:r>
    </w:p>
    <w:p>
      <w:r>
        <w:drawing>
          <wp:inline xmlns:a="http://schemas.openxmlformats.org/drawingml/2006/main" xmlns:pic="http://schemas.openxmlformats.org/drawingml/2006/picture">
            <wp:extent cx="5760720" cy="3131037"/>
            <wp:docPr id="1" name="Picture 1"/>
            <wp:cNvGraphicFramePr>
              <a:graphicFrameLocks noChangeAspect="1"/>
            </wp:cNvGraphicFramePr>
            <a:graphic>
              <a:graphicData uri="http://schemas.openxmlformats.org/drawingml/2006/picture">
                <pic:pic>
                  <pic:nvPicPr>
                    <pic:cNvPr id="0" name="education_income.png"/>
                    <pic:cNvPicPr/>
                  </pic:nvPicPr>
                  <pic:blipFill>
                    <a:blip r:embed="rId9"/>
                    <a:stretch>
                      <a:fillRect/>
                    </a:stretch>
                  </pic:blipFill>
                  <pic:spPr>
                    <a:xfrm>
                      <a:off x="0" y="0"/>
                      <a:ext cx="5760720" cy="3131037"/>
                    </a:xfrm>
                    <a:prstGeom prst="rect"/>
                  </pic:spPr>
                </pic:pic>
              </a:graphicData>
            </a:graphic>
          </wp:inline>
        </w:drawing>
      </w:r>
    </w:p>
    <w:p>
      <w:pPr>
        <w:jc w:val="center"/>
      </w:pPr>
      <w:r>
        <w:rPr>
          <w:i/>
        </w:rPr>
        <w:t>Figure 1. Education and income composition.</w:t>
      </w:r>
    </w:p>
    <w:p>
      <w:r>
        <w:t>Education shows a strong descriptive gradient in the share of observations above $50K.</w:t>
      </w:r>
    </w:p>
    <w:p>
      <w:r>
        <w:drawing>
          <wp:inline xmlns:a="http://schemas.openxmlformats.org/drawingml/2006/main" xmlns:pic="http://schemas.openxmlformats.org/drawingml/2006/picture">
            <wp:extent cx="5760720" cy="3159221"/>
            <wp:docPr id="2" name="Picture 2"/>
            <wp:cNvGraphicFramePr>
              <a:graphicFrameLocks noChangeAspect="1"/>
            </wp:cNvGraphicFramePr>
            <a:graphic>
              <a:graphicData uri="http://schemas.openxmlformats.org/drawingml/2006/picture">
                <pic:pic>
                  <pic:nvPicPr>
                    <pic:cNvPr id="0" name="workclass_income.png"/>
                    <pic:cNvPicPr/>
                  </pic:nvPicPr>
                  <pic:blipFill>
                    <a:blip r:embed="rId10"/>
                    <a:stretch>
                      <a:fillRect/>
                    </a:stretch>
                  </pic:blipFill>
                  <pic:spPr>
                    <a:xfrm>
                      <a:off x="0" y="0"/>
                      <a:ext cx="5760720" cy="3159221"/>
                    </a:xfrm>
                    <a:prstGeom prst="rect"/>
                  </pic:spPr>
                </pic:pic>
              </a:graphicData>
            </a:graphic>
          </wp:inline>
        </w:drawing>
      </w:r>
    </w:p>
    <w:p>
      <w:pPr>
        <w:jc w:val="center"/>
      </w:pPr>
      <w:r>
        <w:rPr>
          <w:i/>
        </w:rPr>
        <w:t>Figure 2. Workclass and income composition.</w:t>
      </w:r>
    </w:p>
    <w:p>
      <w:r>
        <w:t>Workclass categories have materially different income compositions, while private employment is the largest category by count.</w:t>
      </w:r>
    </w:p>
    <w:p>
      <w:r>
        <w:drawing>
          <wp:inline xmlns:a="http://schemas.openxmlformats.org/drawingml/2006/main" xmlns:pic="http://schemas.openxmlformats.org/drawingml/2006/picture">
            <wp:extent cx="5760720" cy="2844760"/>
            <wp:docPr id="3" name="Picture 3"/>
            <wp:cNvGraphicFramePr>
              <a:graphicFrameLocks noChangeAspect="1"/>
            </wp:cNvGraphicFramePr>
            <a:graphic>
              <a:graphicData uri="http://schemas.openxmlformats.org/drawingml/2006/picture">
                <pic:pic>
                  <pic:nvPicPr>
                    <pic:cNvPr id="0" name="higher_income_by_education.png"/>
                    <pic:cNvPicPr/>
                  </pic:nvPicPr>
                  <pic:blipFill>
                    <a:blip r:embed="rId11"/>
                    <a:stretch>
                      <a:fillRect/>
                    </a:stretch>
                  </pic:blipFill>
                  <pic:spPr>
                    <a:xfrm>
                      <a:off x="0" y="0"/>
                      <a:ext cx="5760720" cy="2844760"/>
                    </a:xfrm>
                    <a:prstGeom prst="rect"/>
                  </pic:spPr>
                </pic:pic>
              </a:graphicData>
            </a:graphic>
          </wp:inline>
        </w:drawing>
      </w:r>
    </w:p>
    <w:p>
      <w:pPr>
        <w:jc w:val="center"/>
      </w:pPr>
      <w:r>
        <w:rPr>
          <w:i/>
        </w:rPr>
        <w:t>Figure 3. Higher-income share by education.</w:t>
      </w:r>
    </w:p>
    <w:p>
      <w:r>
        <w:t>The conditional percentage view makes the education-income pattern easier to compare across categories of different sizes.</w:t>
      </w:r>
    </w:p>
    <w:p>
      <w:pPr>
        <w:pStyle w:val="Heading1"/>
      </w:pPr>
      <w:r>
        <w:t>4. Statistical Evidence</w:t>
      </w:r>
    </w:p>
    <w:p>
      <w:r>
        <w:t>Education and income: χ² = 4069.28, df = 15, p &lt; 2.2 × 10⁻¹⁶. Workclass and income: χ² = 802.98, df = 6, p = 3.492e-170. Both tests support the conclusion that these categorical variables are associated with income class in the cleaned dataset.</w:t>
      </w:r>
    </w:p>
    <w:p>
      <w:pPr>
        <w:pStyle w:val="Heading1"/>
      </w:pPr>
      <w:r>
        <w:t>5. Predictive Modeling</w:t>
      </w:r>
    </w:p>
    <w:p>
      <w:r>
        <w:t>The proposed predictive model is binary logistic regression with an 80/20 stratified split and 5-fold cross-validation. Predictors include age, workclass, education, education_num, marital status, occupation, relationship, race, sex, capital gain, capital loss, hours worked, and native country.</w:t>
      </w:r>
    </w:p>
    <w:p>
      <w:pPr>
        <w:ind w:left="288"/>
      </w:pPr>
      <w:r>
        <w:rPr>
          <w:rFonts w:ascii="Courier New" w:hAnsi="Courier New"/>
          <w:sz w:val="17"/>
        </w:rPr>
        <w:t>set.seed(42)</w:t>
        <w:br/>
        <w:t># 80/20 stratified split</w:t>
        <w:br/>
        <w:t>idx &lt;- createDataPartition(adult_model$income, p=0.80, list=FALSE)</w:t>
        <w:br/>
        <w:t>train &lt;- adult_model[idx, ]</w:t>
        <w:br/>
        <w:t>test  &lt;- adult_model[-idx, ]</w:t>
        <w:br/>
        <w:br/>
        <w:t># 5-fold cross-validated logistic regression</w:t>
        <w:br/>
        <w:t>ctrl &lt;- trainControl(method="cv", number=5,</w:t>
        <w:br/>
        <w:t xml:space="preserve">                     classProbs=TRUE, summaryFunction=twoClassSummary)</w:t>
        <w:br/>
        <w:br/>
        <w:t>fit &lt;- train(income ~ age + workclass + education + education_num +</w:t>
        <w:br/>
        <w:t xml:space="preserve">             marital_status + occupation + relationship + race + sex +</w:t>
        <w:br/>
        <w:t xml:space="preserve">             capital_gain + capital_loss + hours_per_week + native_country,</w:t>
        <w:br/>
        <w:t xml:space="preserve">             data=train, method="glm", family=binomial(),</w:t>
        <w:br/>
        <w:t xml:space="preserve">             metric="ROC", trControl=ctrl)</w:t>
        <w:br/>
        <w:br/>
        <w:t>pred_prob &lt;- predict(fit, test, type="prob")[,"&gt;50K"]</w:t>
        <w:br/>
        <w:t>pred_class &lt;- factor(ifelse(pred_prob &gt;= 0.5, "&gt;50K", "&lt;=50K"),</w:t>
        <w:br/>
        <w:t xml:space="preserve">                     levels=levels(test$income))</w:t>
        <w:br/>
        <w:br/>
        <w:t>confusionMatrix(pred_class, test$income, positive="&gt;50K")</w:t>
      </w:r>
    </w:p>
    <w:p>
      <w:pPr>
        <w:pStyle w:val="Heading1"/>
      </w:pPr>
      <w:r>
        <w:t>6. Model Reporting Checklist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Required evidence</w:t>
            </w:r>
          </w:p>
        </w:tc>
        <w:tc>
          <w:tcPr>
            <w:tcW w:type="dxa" w:w="5040"/>
            <w:shd w:fill="D9EAF7"/>
          </w:tcPr>
          <w:p>
            <w:r>
              <w:t>Status</w:t>
            </w:r>
          </w:p>
        </w:tc>
      </w:tr>
      <w:tr>
        <w:tc>
          <w:tcPr>
            <w:tcW w:type="dxa" w:w="5040"/>
          </w:tcPr>
          <w:p>
            <w:r>
              <w:t>Train/test split shown in R code</w:t>
            </w:r>
          </w:p>
        </w:tc>
        <w:tc>
          <w:tcPr>
            <w:tcW w:type="dxa" w:w="5040"/>
          </w:tcPr>
          <w:p>
            <w:r>
              <w:t>Included</w:t>
            </w:r>
          </w:p>
        </w:tc>
      </w:tr>
      <w:tr>
        <w:tc>
          <w:tcPr>
            <w:tcW w:type="dxa" w:w="5040"/>
          </w:tcPr>
          <w:p>
            <w:r>
              <w:t>5-fold cross-validation</w:t>
            </w:r>
          </w:p>
        </w:tc>
        <w:tc>
          <w:tcPr>
            <w:tcW w:type="dxa" w:w="5040"/>
          </w:tcPr>
          <w:p>
            <w:r>
              <w:t>Included</w:t>
            </w:r>
          </w:p>
        </w:tc>
      </w:tr>
      <w:tr>
        <w:tc>
          <w:tcPr>
            <w:tcW w:type="dxa" w:w="5040"/>
          </w:tcPr>
          <w:p>
            <w:r>
              <w:t>Confusion matrix</w:t>
            </w:r>
          </w:p>
        </w:tc>
        <w:tc>
          <w:tcPr>
            <w:tcW w:type="dxa" w:w="5040"/>
          </w:tcPr>
          <w:p>
            <w:r>
              <w:t>Generated by R code</w:t>
            </w:r>
          </w:p>
        </w:tc>
      </w:tr>
      <w:tr>
        <w:tc>
          <w:tcPr>
            <w:tcW w:type="dxa" w:w="5040"/>
          </w:tcPr>
          <w:p>
            <w:r>
              <w:t>Accuracy</w:t>
            </w:r>
          </w:p>
        </w:tc>
        <w:tc>
          <w:tcPr>
            <w:tcW w:type="dxa" w:w="5040"/>
          </w:tcPr>
          <w:p>
            <w:r>
              <w:t>Generated by R code</w:t>
            </w:r>
          </w:p>
        </w:tc>
      </w:tr>
      <w:tr>
        <w:tc>
          <w:tcPr>
            <w:tcW w:type="dxa" w:w="5040"/>
          </w:tcPr>
          <w:p>
            <w:r>
              <w:t>Precision / Recall / F1</w:t>
            </w:r>
          </w:p>
        </w:tc>
        <w:tc>
          <w:tcPr>
            <w:tcW w:type="dxa" w:w="5040"/>
          </w:tcPr>
          <w:p>
            <w:r>
              <w:t>Generated by R code</w:t>
            </w:r>
          </w:p>
        </w:tc>
      </w:tr>
      <w:tr>
        <w:tc>
          <w:tcPr>
            <w:tcW w:type="dxa" w:w="5040"/>
          </w:tcPr>
          <w:p>
            <w:r>
              <w:t>ROC-AUC</w:t>
            </w:r>
          </w:p>
        </w:tc>
        <w:tc>
          <w:tcPr>
            <w:tcW w:type="dxa" w:w="5040"/>
          </w:tcPr>
          <w:p>
            <w:r>
              <w:t>Generated by R code</w:t>
            </w:r>
          </w:p>
        </w:tc>
      </w:tr>
      <w:tr>
        <w:tc>
          <w:tcPr>
            <w:tcW w:type="dxa" w:w="5040"/>
          </w:tcPr>
          <w:p>
            <w:r>
              <w:t>Model limitations</w:t>
            </w:r>
          </w:p>
        </w:tc>
        <w:tc>
          <w:tcPr>
            <w:tcW w:type="dxa" w:w="5040"/>
          </w:tcPr>
          <w:p>
            <w:r>
              <w:t>Discussed</w:t>
            </w:r>
          </w:p>
        </w:tc>
      </w:tr>
    </w:tbl>
    <w:p>
      <w:pPr>
        <w:pStyle w:val="Heading1"/>
      </w:pPr>
      <w:r>
        <w:t>7. Business / Analytical Implications</w:t>
      </w:r>
    </w:p>
    <w:p>
      <w:r>
        <w:t>The analysis demonstrates why income prediction should use multiple variables rather than a single demographic characteristic. Education, employment category, occupation, age, hours worked, and financial variables collectively contain information about the income class. At the same time, associations should not be interpreted as causal effects, and the model should be evaluated for class imbalance and potential fairness concerns before any real-world decision use.</w:t>
      </w:r>
    </w:p>
    <w:p>
      <w:pPr>
        <w:pStyle w:val="Heading1"/>
      </w:pPr>
      <w:r>
        <w:t>8. Challenges and Lessons Learned</w:t>
      </w:r>
    </w:p>
    <w:p>
      <w:r>
        <w:t>The main practical challenges were missing categorical values, highly skewed financial variables, uneven category sizes, and target-class imbalance. The workflow shows the importance of inspecting data quality before modeling, choosing visualizations according to the analytical question, and evaluating classification performance with more than one metric.</w:t>
      </w:r>
    </w:p>
    <w:p>
      <w:pPr>
        <w:pStyle w:val="Heading1"/>
      </w:pPr>
      <w:r>
        <w:t>9. Future Improvements</w:t>
      </w:r>
    </w:p>
    <w:p>
      <w:r>
        <w:t>Future work can compare logistic regression with decision trees and random forests, use repeated cross-validation, tune thresholds for minority-class recall, evaluate calibration, test alternative handling of fnlwgt, and conduct a fairness audit across demographic groups.</w:t>
      </w:r>
    </w:p>
    <w:p>
      <w:pPr>
        <w:pStyle w:val="Heading1"/>
      </w:pPr>
      <w:r>
        <w:t>10. Final Conclusion</w:t>
      </w:r>
    </w:p>
    <w:p>
      <w:r>
        <w:t>The four-week project demonstrates a complete introductory R analytics workflow from raw data to statistical evidence and predictive modeling. The strongest verified findings are the large differences in income composition across education and workclass categories and the clear need to account for class imbalance when evaluating prediction.</w:t>
      </w:r>
    </w:p>
    <w:p>
      <w:pPr>
        <w:pStyle w:val="Heading1"/>
      </w:pPr>
      <w:r>
        <w:t>11. Final Submission Requirements</w:t>
      </w:r>
    </w:p>
    <w:p>
      <w:r>
        <w:t>Upload the appropriate Week 1, Week 2, Week 3, and Week 4 DOC/DOCX reports to the corresponding YUVA submission fields. Use one public GitHub repository containing the R scripts, dataset files where permitted, and plot outputs. Replace every placeholder for student information and GitHub URL before submission.</w:t>
      </w:r>
    </w:p>
    <w:p>
      <w:r>
        <w:t>Dataset source: UCI Machine Learning Repository – Adult dataset: https://archive.ics.uci.edu/dataset/2/adult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